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6FD0" w14:textId="77777777" w:rsidR="00F3485A" w:rsidRPr="00771CA2" w:rsidRDefault="00F3485A" w:rsidP="00F3485A">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65157305"/>
      <w:r w:rsidRPr="00771CA2">
        <w:rPr>
          <w:rFonts w:ascii="Times New Roman" w:hAnsi="Times New Roman" w:cs="Times New Roman"/>
          <w:b/>
          <w:bCs/>
          <w:sz w:val="24"/>
          <w:szCs w:val="24"/>
        </w:rPr>
        <w:t xml:space="preserve">9.8 Section 1983 Claim Against Local Governing Body Defendants Based </w:t>
      </w:r>
    </w:p>
    <w:p w14:paraId="071240BA" w14:textId="77777777" w:rsidR="00F3485A" w:rsidRPr="00771CA2" w:rsidRDefault="00F3485A" w:rsidP="00F3485A">
      <w:pPr>
        <w:autoSpaceDE w:val="0"/>
        <w:autoSpaceDN w:val="0"/>
        <w:adjustRightInd w:val="0"/>
        <w:spacing w:after="0" w:line="240" w:lineRule="auto"/>
        <w:jc w:val="center"/>
        <w:outlineLvl w:val="1"/>
        <w:rPr>
          <w:rFonts w:ascii="Times New Roman" w:hAnsi="Times New Roman" w:cs="Times New Roman"/>
          <w:b/>
          <w:bCs/>
          <w:sz w:val="24"/>
          <w:szCs w:val="24"/>
        </w:rPr>
      </w:pPr>
      <w:r w:rsidRPr="00771CA2">
        <w:rPr>
          <w:rFonts w:ascii="Times New Roman" w:hAnsi="Times New Roman" w:cs="Times New Roman"/>
          <w:b/>
          <w:bCs/>
          <w:sz w:val="24"/>
          <w:szCs w:val="24"/>
        </w:rPr>
        <w:t xml:space="preserve">on a Policy That Fails to Prevent Violations of Law or a Policy </w:t>
      </w:r>
    </w:p>
    <w:p w14:paraId="6249E1F4" w14:textId="77777777" w:rsidR="00F3485A" w:rsidRPr="00771CA2" w:rsidRDefault="00F3485A" w:rsidP="00F3485A">
      <w:pPr>
        <w:autoSpaceDE w:val="0"/>
        <w:autoSpaceDN w:val="0"/>
        <w:adjustRightInd w:val="0"/>
        <w:spacing w:after="0" w:line="240" w:lineRule="auto"/>
        <w:jc w:val="center"/>
        <w:outlineLvl w:val="1"/>
        <w:rPr>
          <w:rFonts w:ascii="Times New Roman" w:hAnsi="Times New Roman" w:cs="Times New Roman"/>
          <w:b/>
          <w:bCs/>
          <w:sz w:val="24"/>
          <w:szCs w:val="24"/>
        </w:rPr>
      </w:pPr>
      <w:r w:rsidRPr="00771CA2">
        <w:rPr>
          <w:rFonts w:ascii="Times New Roman" w:hAnsi="Times New Roman" w:cs="Times New Roman"/>
          <w:b/>
          <w:bCs/>
          <w:sz w:val="24"/>
          <w:szCs w:val="24"/>
        </w:rPr>
        <w:t>of Failure to Train—Elements and Burden of P</w:t>
      </w:r>
      <w:bookmarkEnd w:id="0"/>
      <w:r w:rsidRPr="00771CA2">
        <w:rPr>
          <w:rFonts w:ascii="Times New Roman" w:hAnsi="Times New Roman" w:cs="Times New Roman"/>
          <w:b/>
          <w:bCs/>
          <w:sz w:val="24"/>
          <w:szCs w:val="24"/>
        </w:rPr>
        <w:t>roof</w:t>
      </w:r>
    </w:p>
    <w:p w14:paraId="476E4B4C" w14:textId="77777777" w:rsidR="00F3485A" w:rsidRPr="00771CA2" w:rsidRDefault="00F3485A" w:rsidP="00F3485A">
      <w:pPr>
        <w:autoSpaceDE w:val="0"/>
        <w:autoSpaceDN w:val="0"/>
        <w:adjustRightInd w:val="0"/>
        <w:spacing w:after="0" w:line="240" w:lineRule="auto"/>
        <w:rPr>
          <w:rFonts w:ascii="Times New Roman" w:hAnsi="Times New Roman" w:cs="Times New Roman"/>
          <w:b/>
          <w:bCs/>
          <w:sz w:val="24"/>
          <w:szCs w:val="24"/>
        </w:rPr>
      </w:pPr>
    </w:p>
    <w:p w14:paraId="6D4B6D89" w14:textId="162B7DFA"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 xml:space="preserve">In order to prevail on </w:t>
      </w:r>
      <w:r w:rsidR="00DC6D9C">
        <w:rPr>
          <w:rFonts w:ascii="Times New Roman" w:hAnsi="Times New Roman" w:cs="Times New Roman"/>
          <w:sz w:val="24"/>
          <w:szCs w:val="24"/>
        </w:rPr>
        <w:t>plaintiff</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00DC6D9C">
        <w:rPr>
          <w:rFonts w:ascii="Times New Roman" w:hAnsi="Times New Roman" w:cs="Times New Roman"/>
          <w:sz w:val="24"/>
          <w:szCs w:val="24"/>
        </w:rPr>
        <w:t>’s</w:t>
      </w:r>
      <w:r w:rsidRPr="00771CA2">
        <w:rPr>
          <w:rFonts w:ascii="Times New Roman" w:hAnsi="Times New Roman" w:cs="Times New Roman"/>
          <w:sz w:val="24"/>
          <w:szCs w:val="24"/>
        </w:rPr>
        <w:t>§ 1983 claim against defendant [</w:t>
      </w:r>
      <w:r w:rsidRPr="00771CA2">
        <w:rPr>
          <w:rFonts w:ascii="Times New Roman" w:hAnsi="Times New Roman" w:cs="Times New Roman"/>
          <w:i/>
          <w:iCs/>
          <w:sz w:val="24"/>
          <w:szCs w:val="24"/>
          <w:u w:val="single"/>
        </w:rPr>
        <w:t>name of local governing body</w:t>
      </w:r>
      <w:r w:rsidRPr="00771CA2">
        <w:rPr>
          <w:rFonts w:ascii="Times New Roman" w:hAnsi="Times New Roman" w:cs="Times New Roman"/>
          <w:sz w:val="24"/>
          <w:szCs w:val="24"/>
        </w:rPr>
        <w:t xml:space="preserve">] alleging liability based on a policy [that fails to prevent violations of law by its] [of a failure to train its] [police officers] [employees], plaintiff </w:t>
      </w:r>
      <w:r w:rsidR="00930E05">
        <w:rPr>
          <w:rFonts w:ascii="Times New Roman" w:hAnsi="Times New Roman" w:cs="Times New Roman"/>
          <w:sz w:val="24"/>
          <w:szCs w:val="24"/>
        </w:rPr>
        <w:t>[</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 xml:space="preserve">] </w:t>
      </w:r>
      <w:r w:rsidRPr="00771CA2">
        <w:rPr>
          <w:rFonts w:ascii="Times New Roman" w:hAnsi="Times New Roman" w:cs="Times New Roman"/>
          <w:sz w:val="24"/>
          <w:szCs w:val="24"/>
        </w:rPr>
        <w:t>must prove each of the following elements by a preponderance of the evidence:</w:t>
      </w:r>
    </w:p>
    <w:p w14:paraId="01B61330"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410ADA00" w14:textId="357456DA" w:rsidR="00F3485A" w:rsidRPr="00771CA2" w:rsidRDefault="00930E05" w:rsidP="00D7095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First, </w:t>
      </w:r>
      <w:r w:rsidR="00F3485A" w:rsidRPr="00771CA2">
        <w:rPr>
          <w:rFonts w:ascii="Times New Roman" w:hAnsi="Times New Roman" w:cs="Times New Roman"/>
          <w:sz w:val="24"/>
          <w:szCs w:val="24"/>
        </w:rPr>
        <w:t>the [act[s]] [failure to act] of [</w:t>
      </w:r>
      <w:r w:rsidR="00F3485A" w:rsidRPr="00771CA2">
        <w:rPr>
          <w:rFonts w:ascii="Times New Roman" w:hAnsi="Times New Roman" w:cs="Times New Roman"/>
          <w:i/>
          <w:iCs/>
          <w:sz w:val="24"/>
          <w:szCs w:val="24"/>
          <w:u w:val="single"/>
        </w:rPr>
        <w:t xml:space="preserve">name of defendant’s </w:t>
      </w:r>
      <w:r w:rsidR="00F3485A" w:rsidRPr="00771CA2">
        <w:rPr>
          <w:rFonts w:ascii="Times New Roman" w:hAnsi="Times New Roman" w:cs="Times New Roman"/>
          <w:sz w:val="24"/>
          <w:szCs w:val="24"/>
        </w:rPr>
        <w:t>[</w:t>
      </w:r>
      <w:r w:rsidR="00F3485A" w:rsidRPr="00771CA2">
        <w:rPr>
          <w:rFonts w:ascii="Times New Roman" w:hAnsi="Times New Roman" w:cs="Times New Roman"/>
          <w:i/>
          <w:iCs/>
          <w:sz w:val="24"/>
          <w:szCs w:val="24"/>
          <w:u w:val="single"/>
        </w:rPr>
        <w:t>police officer[s]</w:t>
      </w:r>
      <w:r w:rsidR="00F3485A" w:rsidRPr="00771CA2">
        <w:rPr>
          <w:rFonts w:ascii="Times New Roman" w:hAnsi="Times New Roman" w:cs="Times New Roman"/>
          <w:sz w:val="24"/>
          <w:szCs w:val="24"/>
        </w:rPr>
        <w:t>] [</w:t>
      </w:r>
      <w:r w:rsidR="00F3485A" w:rsidRPr="00771CA2">
        <w:rPr>
          <w:rFonts w:ascii="Times New Roman" w:hAnsi="Times New Roman" w:cs="Times New Roman"/>
          <w:i/>
          <w:iCs/>
          <w:sz w:val="24"/>
          <w:szCs w:val="24"/>
          <w:u w:val="single"/>
        </w:rPr>
        <w:t>employee[s]</w:t>
      </w:r>
      <w:r w:rsidR="00F3485A" w:rsidRPr="00771CA2">
        <w:rPr>
          <w:rFonts w:ascii="Times New Roman" w:hAnsi="Times New Roman" w:cs="Times New Roman"/>
          <w:sz w:val="24"/>
          <w:szCs w:val="24"/>
        </w:rPr>
        <w:t xml:space="preserve">]] deprived plaintiff </w:t>
      </w:r>
      <w:r>
        <w:rPr>
          <w:rFonts w:ascii="Times New Roman" w:hAnsi="Times New Roman" w:cs="Times New Roman"/>
          <w:sz w:val="24"/>
          <w:szCs w:val="24"/>
        </w:rPr>
        <w:t>[</w:t>
      </w:r>
      <w:r w:rsidRPr="003719CF">
        <w:rPr>
          <w:rFonts w:ascii="Times New Roman" w:hAnsi="Times New Roman" w:cs="Times New Roman"/>
          <w:i/>
          <w:iCs/>
          <w:sz w:val="24"/>
          <w:szCs w:val="24"/>
          <w:u w:val="single"/>
        </w:rPr>
        <w:t>name</w:t>
      </w:r>
      <w:r>
        <w:rPr>
          <w:rFonts w:ascii="Times New Roman" w:hAnsi="Times New Roman" w:cs="Times New Roman"/>
          <w:sz w:val="24"/>
          <w:szCs w:val="24"/>
        </w:rPr>
        <w:t xml:space="preserve">] </w:t>
      </w:r>
      <w:r w:rsidR="00F3485A" w:rsidRPr="00771CA2">
        <w:rPr>
          <w:rFonts w:ascii="Times New Roman" w:hAnsi="Times New Roman" w:cs="Times New Roman"/>
          <w:sz w:val="24"/>
          <w:szCs w:val="24"/>
        </w:rPr>
        <w:t xml:space="preserve">of [his] [her] particular rights under [the laws of the United States] [the United States Constitution] as explained in later </w:t>
      </w:r>
      <w:proofErr w:type="gramStart"/>
      <w:r w:rsidR="00F3485A" w:rsidRPr="00771CA2">
        <w:rPr>
          <w:rFonts w:ascii="Times New Roman" w:hAnsi="Times New Roman" w:cs="Times New Roman"/>
          <w:sz w:val="24"/>
          <w:szCs w:val="24"/>
        </w:rPr>
        <w:t>instructions;</w:t>
      </w:r>
      <w:proofErr w:type="gramEnd"/>
    </w:p>
    <w:p w14:paraId="585A095E" w14:textId="77777777" w:rsidR="00F3485A" w:rsidRPr="00771CA2" w:rsidRDefault="00F3485A" w:rsidP="00D7095F">
      <w:pPr>
        <w:autoSpaceDE w:val="0"/>
        <w:autoSpaceDN w:val="0"/>
        <w:adjustRightInd w:val="0"/>
        <w:spacing w:after="0" w:line="240" w:lineRule="auto"/>
        <w:ind w:firstLine="720"/>
        <w:rPr>
          <w:rFonts w:ascii="Times New Roman" w:hAnsi="Times New Roman" w:cs="Times New Roman"/>
          <w:sz w:val="24"/>
          <w:szCs w:val="24"/>
        </w:rPr>
      </w:pPr>
    </w:p>
    <w:p w14:paraId="1126440D" w14:textId="4B34AEF4" w:rsidR="00F3485A" w:rsidRPr="00771CA2" w:rsidRDefault="00930E05" w:rsidP="00D7095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Second, </w:t>
      </w:r>
      <w:r w:rsidR="00F3485A" w:rsidRPr="00771CA2">
        <w:rPr>
          <w:rFonts w:ascii="Times New Roman" w:hAnsi="Times New Roman" w:cs="Times New Roman"/>
          <w:sz w:val="24"/>
          <w:szCs w:val="24"/>
        </w:rPr>
        <w:t>[</w:t>
      </w:r>
      <w:r w:rsidR="00F3485A" w:rsidRPr="00771CA2">
        <w:rPr>
          <w:rFonts w:ascii="Times New Roman" w:hAnsi="Times New Roman" w:cs="Times New Roman"/>
          <w:i/>
          <w:iCs/>
          <w:sz w:val="24"/>
          <w:szCs w:val="24"/>
          <w:u w:val="single"/>
        </w:rPr>
        <w:t xml:space="preserve">name of defendant’s </w:t>
      </w:r>
      <w:r w:rsidR="00F3485A" w:rsidRPr="00771CA2">
        <w:rPr>
          <w:rFonts w:ascii="Times New Roman" w:hAnsi="Times New Roman" w:cs="Times New Roman"/>
          <w:sz w:val="24"/>
          <w:szCs w:val="24"/>
        </w:rPr>
        <w:t>[</w:t>
      </w:r>
      <w:r w:rsidR="00F3485A" w:rsidRPr="00771CA2">
        <w:rPr>
          <w:rFonts w:ascii="Times New Roman" w:hAnsi="Times New Roman" w:cs="Times New Roman"/>
          <w:i/>
          <w:iCs/>
          <w:sz w:val="24"/>
          <w:szCs w:val="24"/>
          <w:u w:val="single"/>
        </w:rPr>
        <w:t>police officer[s]</w:t>
      </w:r>
      <w:r w:rsidR="00F3485A" w:rsidRPr="00771CA2">
        <w:rPr>
          <w:rFonts w:ascii="Times New Roman" w:hAnsi="Times New Roman" w:cs="Times New Roman"/>
          <w:sz w:val="24"/>
          <w:szCs w:val="24"/>
        </w:rPr>
        <w:t>] [</w:t>
      </w:r>
      <w:r w:rsidR="00F3485A" w:rsidRPr="00771CA2">
        <w:rPr>
          <w:rFonts w:ascii="Times New Roman" w:hAnsi="Times New Roman" w:cs="Times New Roman"/>
          <w:i/>
          <w:iCs/>
          <w:sz w:val="24"/>
          <w:szCs w:val="24"/>
          <w:u w:val="single"/>
        </w:rPr>
        <w:t>employee[s</w:t>
      </w:r>
      <w:r w:rsidR="00F3485A" w:rsidRPr="00771CA2">
        <w:rPr>
          <w:rFonts w:ascii="Times New Roman" w:hAnsi="Times New Roman" w:cs="Times New Roman"/>
          <w:i/>
          <w:iCs/>
          <w:sz w:val="24"/>
          <w:szCs w:val="24"/>
        </w:rPr>
        <w:t>]</w:t>
      </w:r>
      <w:r w:rsidR="00F3485A" w:rsidRPr="00771CA2">
        <w:rPr>
          <w:rFonts w:ascii="Times New Roman" w:hAnsi="Times New Roman" w:cs="Times New Roman"/>
          <w:sz w:val="24"/>
          <w:szCs w:val="24"/>
        </w:rPr>
        <w:t xml:space="preserve">]] acted under color of state </w:t>
      </w:r>
      <w:proofErr w:type="gramStart"/>
      <w:r w:rsidR="00F3485A" w:rsidRPr="00771CA2">
        <w:rPr>
          <w:rFonts w:ascii="Times New Roman" w:hAnsi="Times New Roman" w:cs="Times New Roman"/>
          <w:sz w:val="24"/>
          <w:szCs w:val="24"/>
        </w:rPr>
        <w:t>law;</w:t>
      </w:r>
      <w:proofErr w:type="gramEnd"/>
      <w:r w:rsidR="00F3485A" w:rsidRPr="00771CA2">
        <w:rPr>
          <w:rFonts w:ascii="Times New Roman" w:hAnsi="Times New Roman" w:cs="Times New Roman"/>
          <w:sz w:val="24"/>
          <w:szCs w:val="24"/>
        </w:rPr>
        <w:t xml:space="preserve"> </w:t>
      </w:r>
    </w:p>
    <w:p w14:paraId="040D6597" w14:textId="77777777" w:rsidR="00F3485A" w:rsidRPr="00771CA2" w:rsidRDefault="00F3485A" w:rsidP="00D7095F">
      <w:pPr>
        <w:autoSpaceDE w:val="0"/>
        <w:autoSpaceDN w:val="0"/>
        <w:adjustRightInd w:val="0"/>
        <w:spacing w:after="0" w:line="240" w:lineRule="auto"/>
        <w:ind w:firstLine="720"/>
        <w:rPr>
          <w:rFonts w:ascii="Times New Roman" w:hAnsi="Times New Roman" w:cs="Times New Roman"/>
          <w:sz w:val="24"/>
          <w:szCs w:val="24"/>
        </w:rPr>
      </w:pPr>
    </w:p>
    <w:p w14:paraId="10FF148B" w14:textId="3F28A49A" w:rsidR="00F3485A" w:rsidRPr="00771CA2" w:rsidRDefault="00AC035B" w:rsidP="00D7095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Third, </w:t>
      </w:r>
      <w:r w:rsidR="00F3485A" w:rsidRPr="00771CA2">
        <w:rPr>
          <w:rFonts w:ascii="Times New Roman" w:hAnsi="Times New Roman" w:cs="Times New Roman"/>
          <w:sz w:val="24"/>
          <w:szCs w:val="24"/>
        </w:rPr>
        <w:t>the [training] policies of the defendant [</w:t>
      </w:r>
      <w:r w:rsidR="00F3485A" w:rsidRPr="00771CA2">
        <w:rPr>
          <w:rFonts w:ascii="Times New Roman" w:hAnsi="Times New Roman" w:cs="Times New Roman"/>
          <w:i/>
          <w:iCs/>
          <w:sz w:val="24"/>
          <w:szCs w:val="24"/>
          <w:u w:val="single"/>
        </w:rPr>
        <w:t>name of local governing body</w:t>
      </w:r>
      <w:r w:rsidR="00F3485A" w:rsidRPr="00771CA2">
        <w:rPr>
          <w:rFonts w:ascii="Times New Roman" w:hAnsi="Times New Roman" w:cs="Times New Roman"/>
          <w:sz w:val="24"/>
          <w:szCs w:val="24"/>
        </w:rPr>
        <w:t>] were not adequate to [prevent violations of law by its employees] [train its [police officers] [employees] to handle the usual and recurring situations with which they must deal</w:t>
      </w:r>
      <w:proofErr w:type="gramStart"/>
      <w:r w:rsidR="00F3485A" w:rsidRPr="00771CA2">
        <w:rPr>
          <w:rFonts w:ascii="Times New Roman" w:hAnsi="Times New Roman" w:cs="Times New Roman"/>
          <w:sz w:val="24"/>
          <w:szCs w:val="24"/>
        </w:rPr>
        <w:t>];</w:t>
      </w:r>
      <w:proofErr w:type="gramEnd"/>
    </w:p>
    <w:p w14:paraId="24C3E54D" w14:textId="77777777" w:rsidR="00F3485A" w:rsidRPr="00771CA2" w:rsidRDefault="00F3485A" w:rsidP="00D7095F">
      <w:pPr>
        <w:autoSpaceDE w:val="0"/>
        <w:autoSpaceDN w:val="0"/>
        <w:adjustRightInd w:val="0"/>
        <w:spacing w:after="0" w:line="240" w:lineRule="auto"/>
        <w:ind w:firstLine="720"/>
        <w:rPr>
          <w:rFonts w:ascii="Times New Roman" w:hAnsi="Times New Roman" w:cs="Times New Roman"/>
          <w:sz w:val="24"/>
          <w:szCs w:val="24"/>
        </w:rPr>
      </w:pPr>
    </w:p>
    <w:p w14:paraId="0A40756C" w14:textId="153F793F" w:rsidR="00F3485A" w:rsidRPr="00771CA2" w:rsidRDefault="00AC035B" w:rsidP="00D7095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Fourth, </w:t>
      </w:r>
      <w:r w:rsidR="00F3485A" w:rsidRPr="00771CA2">
        <w:rPr>
          <w:rFonts w:ascii="Times New Roman" w:hAnsi="Times New Roman" w:cs="Times New Roman"/>
          <w:sz w:val="24"/>
          <w:szCs w:val="24"/>
        </w:rPr>
        <w:t>the defendant [</w:t>
      </w:r>
      <w:r w:rsidR="00F3485A" w:rsidRPr="00771CA2">
        <w:rPr>
          <w:rFonts w:ascii="Times New Roman" w:hAnsi="Times New Roman" w:cs="Times New Roman"/>
          <w:i/>
          <w:iCs/>
          <w:sz w:val="24"/>
          <w:szCs w:val="24"/>
          <w:u w:val="single"/>
        </w:rPr>
        <w:t>name of local governing body</w:t>
      </w:r>
      <w:r w:rsidR="00F3485A" w:rsidRPr="00771CA2">
        <w:rPr>
          <w:rFonts w:ascii="Times New Roman" w:hAnsi="Times New Roman" w:cs="Times New Roman"/>
          <w:sz w:val="24"/>
          <w:szCs w:val="24"/>
        </w:rPr>
        <w:t>] was deliberately indifferent to the [substantial risk that its policies were inadequate to prevent violations of law by its employees] [known or obvious consequences of its failure to train its [police officers] [employees] adequately]; and</w:t>
      </w:r>
    </w:p>
    <w:p w14:paraId="65E5576B" w14:textId="77777777" w:rsidR="00F3485A" w:rsidRPr="00771CA2" w:rsidRDefault="00F3485A" w:rsidP="00D7095F">
      <w:pPr>
        <w:autoSpaceDE w:val="0"/>
        <w:autoSpaceDN w:val="0"/>
        <w:adjustRightInd w:val="0"/>
        <w:spacing w:after="0" w:line="240" w:lineRule="auto"/>
        <w:ind w:firstLine="720"/>
        <w:rPr>
          <w:rFonts w:ascii="Times New Roman" w:hAnsi="Times New Roman" w:cs="Times New Roman"/>
          <w:sz w:val="24"/>
          <w:szCs w:val="24"/>
        </w:rPr>
      </w:pPr>
    </w:p>
    <w:p w14:paraId="2A57A400" w14:textId="2E8AECC1" w:rsidR="00F3485A" w:rsidRPr="00771CA2" w:rsidRDefault="00AC035B" w:rsidP="00D7095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Fifth, </w:t>
      </w:r>
      <w:r w:rsidR="00F3485A" w:rsidRPr="00771CA2">
        <w:rPr>
          <w:rFonts w:ascii="Times New Roman" w:hAnsi="Times New Roman" w:cs="Times New Roman"/>
          <w:sz w:val="24"/>
          <w:szCs w:val="24"/>
        </w:rPr>
        <w:t>the failure of the defendant [</w:t>
      </w:r>
      <w:r w:rsidR="00F3485A" w:rsidRPr="00771CA2">
        <w:rPr>
          <w:rFonts w:ascii="Times New Roman" w:hAnsi="Times New Roman" w:cs="Times New Roman"/>
          <w:i/>
          <w:iCs/>
          <w:sz w:val="24"/>
          <w:szCs w:val="24"/>
          <w:u w:val="single"/>
        </w:rPr>
        <w:t>name of local governing body</w:t>
      </w:r>
      <w:r w:rsidR="00F3485A" w:rsidRPr="00771CA2">
        <w:rPr>
          <w:rFonts w:ascii="Times New Roman" w:hAnsi="Times New Roman" w:cs="Times New Roman"/>
          <w:sz w:val="24"/>
          <w:szCs w:val="24"/>
        </w:rPr>
        <w:t>] [to prevent violations of law by its employees] [to provide adequate training] caused the deprivation of plaintiff</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00F3485A" w:rsidRPr="00771CA2">
        <w:rPr>
          <w:rFonts w:ascii="Times New Roman" w:hAnsi="Times New Roman" w:cs="Times New Roman"/>
          <w:sz w:val="24"/>
          <w:szCs w:val="24"/>
        </w:rPr>
        <w:t>’s rights by the [</w:t>
      </w:r>
      <w:r w:rsidR="00F3485A" w:rsidRPr="00771CA2">
        <w:rPr>
          <w:rFonts w:ascii="Times New Roman" w:hAnsi="Times New Roman" w:cs="Times New Roman"/>
          <w:i/>
          <w:iCs/>
          <w:sz w:val="24"/>
          <w:szCs w:val="24"/>
          <w:u w:val="single"/>
        </w:rPr>
        <w:t>name of defendant’s</w:t>
      </w:r>
      <w:r w:rsidR="00F3485A" w:rsidRPr="00771CA2">
        <w:rPr>
          <w:rFonts w:ascii="Times New Roman" w:hAnsi="Times New Roman" w:cs="Times New Roman"/>
          <w:sz w:val="24"/>
          <w:szCs w:val="24"/>
        </w:rPr>
        <w:t xml:space="preserve"> [</w:t>
      </w:r>
      <w:r w:rsidR="00F3485A" w:rsidRPr="00771CA2">
        <w:rPr>
          <w:rFonts w:ascii="Times New Roman" w:hAnsi="Times New Roman" w:cs="Times New Roman"/>
          <w:i/>
          <w:iCs/>
          <w:sz w:val="24"/>
          <w:szCs w:val="24"/>
          <w:u w:val="single"/>
        </w:rPr>
        <w:t>police officer[s]</w:t>
      </w:r>
      <w:r w:rsidR="00F3485A" w:rsidRPr="00771CA2">
        <w:rPr>
          <w:rFonts w:ascii="Times New Roman" w:hAnsi="Times New Roman" w:cs="Times New Roman"/>
          <w:sz w:val="24"/>
          <w:szCs w:val="24"/>
          <w:u w:val="single"/>
        </w:rPr>
        <w:t>]</w:t>
      </w:r>
      <w:r w:rsidR="00F3485A" w:rsidRPr="00771CA2">
        <w:rPr>
          <w:rFonts w:ascii="Times New Roman" w:hAnsi="Times New Roman" w:cs="Times New Roman"/>
          <w:i/>
          <w:iCs/>
          <w:sz w:val="24"/>
          <w:szCs w:val="24"/>
          <w:u w:val="single"/>
        </w:rPr>
        <w:t xml:space="preserve"> </w:t>
      </w:r>
      <w:r w:rsidR="00F3485A" w:rsidRPr="00771CA2">
        <w:rPr>
          <w:rFonts w:ascii="Times New Roman" w:hAnsi="Times New Roman" w:cs="Times New Roman"/>
          <w:sz w:val="24"/>
          <w:szCs w:val="24"/>
          <w:u w:val="single"/>
        </w:rPr>
        <w:t>[</w:t>
      </w:r>
      <w:r w:rsidR="00F3485A" w:rsidRPr="00771CA2">
        <w:rPr>
          <w:rFonts w:ascii="Times New Roman" w:hAnsi="Times New Roman" w:cs="Times New Roman"/>
          <w:i/>
          <w:iCs/>
          <w:sz w:val="24"/>
          <w:szCs w:val="24"/>
          <w:u w:val="single"/>
        </w:rPr>
        <w:t>employee[s]</w:t>
      </w:r>
      <w:r w:rsidR="00F3485A" w:rsidRPr="00771CA2">
        <w:rPr>
          <w:rFonts w:ascii="Times New Roman" w:hAnsi="Times New Roman" w:cs="Times New Roman"/>
          <w:sz w:val="24"/>
          <w:szCs w:val="24"/>
        </w:rPr>
        <w:t>]]; that is, defendant</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00F3485A" w:rsidRPr="00771CA2">
        <w:rPr>
          <w:rFonts w:ascii="Times New Roman" w:hAnsi="Times New Roman" w:cs="Times New Roman"/>
          <w:sz w:val="24"/>
          <w:szCs w:val="24"/>
        </w:rPr>
        <w:t>’s failure [to prevent violations of law by its employees] [to train] played a substantial part in bringing about or actually causing the injury or damage to plaintiff</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00F3485A" w:rsidRPr="00771CA2">
        <w:rPr>
          <w:rFonts w:ascii="Times New Roman" w:hAnsi="Times New Roman" w:cs="Times New Roman"/>
          <w:sz w:val="24"/>
          <w:szCs w:val="24"/>
        </w:rPr>
        <w:t>.</w:t>
      </w:r>
    </w:p>
    <w:p w14:paraId="7F3B5EB3"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23ACFCE7"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A person acts “under color of state law” when the person acts or purports to act in the performance of official duties under any state, county, or municipal law, ordinance or regulation. [[The parties have stipulated that] [I instruct you that] [</w:t>
      </w:r>
      <w:r w:rsidRPr="00771CA2">
        <w:rPr>
          <w:rFonts w:ascii="Times New Roman" w:hAnsi="Times New Roman" w:cs="Times New Roman"/>
          <w:i/>
          <w:iCs/>
          <w:sz w:val="24"/>
          <w:szCs w:val="24"/>
          <w:u w:val="single"/>
        </w:rPr>
        <w:t>name of defendant’s</w:t>
      </w:r>
      <w:r w:rsidRPr="00771CA2">
        <w:rPr>
          <w:rFonts w:ascii="Times New Roman" w:hAnsi="Times New Roman" w:cs="Times New Roman"/>
          <w:sz w:val="24"/>
          <w:szCs w:val="24"/>
        </w:rPr>
        <w:t xml:space="preserve"> [</w:t>
      </w:r>
      <w:r w:rsidRPr="00771CA2">
        <w:rPr>
          <w:rFonts w:ascii="Times New Roman" w:hAnsi="Times New Roman" w:cs="Times New Roman"/>
          <w:i/>
          <w:iCs/>
          <w:sz w:val="24"/>
          <w:szCs w:val="24"/>
          <w:u w:val="single"/>
        </w:rPr>
        <w:t>police officer[s]</w:t>
      </w:r>
      <w:r w:rsidRPr="00771CA2">
        <w:rPr>
          <w:rFonts w:ascii="Times New Roman" w:hAnsi="Times New Roman" w:cs="Times New Roman"/>
          <w:sz w:val="24"/>
          <w:szCs w:val="24"/>
        </w:rPr>
        <w:t>] [</w:t>
      </w:r>
      <w:r w:rsidRPr="00771CA2">
        <w:rPr>
          <w:rFonts w:ascii="Times New Roman" w:hAnsi="Times New Roman" w:cs="Times New Roman"/>
          <w:i/>
          <w:iCs/>
          <w:sz w:val="24"/>
          <w:szCs w:val="24"/>
          <w:u w:val="single"/>
        </w:rPr>
        <w:t>employee[s]</w:t>
      </w:r>
      <w:r w:rsidRPr="00771CA2">
        <w:rPr>
          <w:rFonts w:ascii="Times New Roman" w:hAnsi="Times New Roman" w:cs="Times New Roman"/>
          <w:sz w:val="24"/>
          <w:szCs w:val="24"/>
        </w:rPr>
        <w:t>] acted under color of state law.]</w:t>
      </w:r>
    </w:p>
    <w:p w14:paraId="3E6EF7C5"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42240FD7" w14:textId="59B7D8A9"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 xml:space="preserve">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00930E05">
        <w:rPr>
          <w:rFonts w:ascii="Times New Roman" w:hAnsi="Times New Roman" w:cs="Times New Roman"/>
          <w:sz w:val="24"/>
          <w:szCs w:val="24"/>
        </w:rPr>
        <w:t>[</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 xml:space="preserve">] </w:t>
      </w:r>
      <w:r w:rsidRPr="00771CA2">
        <w:rPr>
          <w:rFonts w:ascii="Times New Roman" w:hAnsi="Times New Roman" w:cs="Times New Roman"/>
          <w:sz w:val="24"/>
          <w:szCs w:val="24"/>
        </w:rPr>
        <w:t>must show, in addition to a constitutional violation, that this policy amounts to deliberate indifference to plaintiff</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Pr="00771CA2">
        <w:rPr>
          <w:rFonts w:ascii="Times New Roman" w:hAnsi="Times New Roman" w:cs="Times New Roman"/>
          <w:sz w:val="24"/>
          <w:szCs w:val="24"/>
        </w:rPr>
        <w:t xml:space="preserve">’s constitutional rights, and that the policy caused the violation, in the sense that the municipality </w:t>
      </w:r>
    </w:p>
    <w:p w14:paraId="7C808BAF"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6A7BBDF2"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could have prevented the violation with an appropriate policy.]</w:t>
      </w:r>
    </w:p>
    <w:p w14:paraId="2832D30B"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40D71693" w14:textId="255BAE94"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 xml:space="preserve">“Deliberate indifference” is the conscious choice to disregard </w:t>
      </w:r>
      <w:r w:rsidR="00DC6D9C">
        <w:rPr>
          <w:rFonts w:ascii="Times New Roman" w:hAnsi="Times New Roman" w:cs="Times New Roman"/>
          <w:sz w:val="24"/>
          <w:szCs w:val="24"/>
        </w:rPr>
        <w:t xml:space="preserve">a known or obvious </w:t>
      </w:r>
      <w:r w:rsidRPr="00771CA2">
        <w:rPr>
          <w:rFonts w:ascii="Times New Roman" w:hAnsi="Times New Roman" w:cs="Times New Roman"/>
          <w:sz w:val="24"/>
          <w:szCs w:val="24"/>
        </w:rPr>
        <w:t xml:space="preserve">consequences of one’s acts or omissions.  </w:t>
      </w:r>
      <w:r w:rsidR="00930E05">
        <w:rPr>
          <w:rFonts w:ascii="Times New Roman" w:hAnsi="Times New Roman" w:cs="Times New Roman"/>
          <w:sz w:val="24"/>
          <w:szCs w:val="24"/>
        </w:rPr>
        <w:t>P</w:t>
      </w:r>
      <w:r w:rsidRPr="00771CA2">
        <w:rPr>
          <w:rFonts w:ascii="Times New Roman" w:hAnsi="Times New Roman" w:cs="Times New Roman"/>
          <w:sz w:val="24"/>
          <w:szCs w:val="24"/>
        </w:rPr>
        <w:t xml:space="preserve">laintiff </w:t>
      </w:r>
      <w:r w:rsidR="00930E05">
        <w:rPr>
          <w:rFonts w:ascii="Times New Roman" w:hAnsi="Times New Roman" w:cs="Times New Roman"/>
          <w:sz w:val="24"/>
          <w:szCs w:val="24"/>
        </w:rPr>
        <w:t>[</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 xml:space="preserve">] </w:t>
      </w:r>
      <w:r w:rsidRPr="00771CA2">
        <w:rPr>
          <w:rFonts w:ascii="Times New Roman" w:hAnsi="Times New Roman" w:cs="Times New Roman"/>
          <w:sz w:val="24"/>
          <w:szCs w:val="24"/>
        </w:rPr>
        <w:t xml:space="preserve">may prove deliberate indifference in this case by showing that </w:t>
      </w:r>
      <w:r w:rsidRPr="00771CA2">
        <w:rPr>
          <w:rFonts w:ascii="Times New Roman" w:hAnsi="Times New Roman"/>
          <w:sz w:val="24"/>
        </w:rPr>
        <w:t>the facts available to</w:t>
      </w:r>
      <w:r w:rsidRPr="00771CA2">
        <w:rPr>
          <w:rFonts w:ascii="Times New Roman" w:hAnsi="Times New Roman" w:cs="Times New Roman"/>
          <w:sz w:val="24"/>
          <w:szCs w:val="24"/>
        </w:rPr>
        <w:t xml:space="preserve"> defendant [</w:t>
      </w:r>
      <w:r w:rsidRPr="00771CA2">
        <w:rPr>
          <w:rFonts w:ascii="Times New Roman" w:hAnsi="Times New Roman" w:cs="Times New Roman"/>
          <w:i/>
          <w:iCs/>
          <w:sz w:val="24"/>
          <w:szCs w:val="24"/>
          <w:u w:val="single"/>
        </w:rPr>
        <w:t>name of local governing body</w:t>
      </w:r>
      <w:r w:rsidRPr="00771CA2">
        <w:rPr>
          <w:rFonts w:ascii="Times New Roman" w:hAnsi="Times New Roman" w:cs="Times New Roman"/>
          <w:sz w:val="24"/>
          <w:szCs w:val="24"/>
        </w:rPr>
        <w:t xml:space="preserve">] </w:t>
      </w:r>
      <w:r w:rsidRPr="00771CA2">
        <w:rPr>
          <w:rFonts w:ascii="Times New Roman" w:hAnsi="Times New Roman"/>
          <w:sz w:val="24"/>
        </w:rPr>
        <w:t>put it on actual or constructive notice that its</w:t>
      </w:r>
      <w:r w:rsidRPr="00771CA2">
        <w:rPr>
          <w:rFonts w:ascii="Times New Roman" w:hAnsi="Times New Roman" w:cs="Times New Roman"/>
          <w:sz w:val="24"/>
          <w:szCs w:val="24"/>
        </w:rPr>
        <w:t xml:space="preserve"> [failure to implement adequate policies] [failure to train adequately] </w:t>
      </w:r>
      <w:r w:rsidRPr="00771CA2">
        <w:rPr>
          <w:rFonts w:ascii="Times New Roman" w:hAnsi="Times New Roman"/>
          <w:sz w:val="24"/>
        </w:rPr>
        <w:t>was substantially certain to result in the violation of the constitutional rights of persons such as plaintiff</w:t>
      </w:r>
      <w:r w:rsidR="00930E05">
        <w:rPr>
          <w:rFonts w:ascii="Times New Roman" w:hAnsi="Times New Roman"/>
          <w:sz w:val="24"/>
        </w:rPr>
        <w:t xml:space="preserve"> </w:t>
      </w:r>
      <w:r w:rsidR="00930E05">
        <w:rPr>
          <w:rFonts w:ascii="Times New Roman" w:hAnsi="Times New Roman" w:cs="Times New Roman"/>
          <w:sz w:val="24"/>
          <w:szCs w:val="24"/>
        </w:rPr>
        <w:t>[</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Pr="00771CA2">
        <w:rPr>
          <w:rFonts w:ascii="Times New Roman" w:hAnsi="Times New Roman"/>
          <w:sz w:val="24"/>
        </w:rPr>
        <w:t xml:space="preserve"> due to</w:t>
      </w:r>
      <w:r w:rsidRPr="00771CA2">
        <w:rPr>
          <w:rFonts w:ascii="Times New Roman" w:hAnsi="Times New Roman" w:cs="Times New Roman"/>
          <w:sz w:val="24"/>
          <w:szCs w:val="24"/>
        </w:rPr>
        <w:t xml:space="preserve"> [police officer[s]] [employee[s]]’s conduct. </w:t>
      </w:r>
    </w:p>
    <w:p w14:paraId="1689ED7B"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446846A0" w14:textId="42C0BB82"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If you find that plaintiff</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Pr="00771CA2">
        <w:rPr>
          <w:rFonts w:ascii="Times New Roman" w:hAnsi="Times New Roman" w:cs="Times New Roman"/>
          <w:sz w:val="24"/>
          <w:szCs w:val="24"/>
        </w:rPr>
        <w:t xml:space="preserve"> has proved each of these elements, and if you find that plaintiff </w:t>
      </w:r>
      <w:r w:rsidR="00930E05">
        <w:rPr>
          <w:rFonts w:ascii="Times New Roman" w:hAnsi="Times New Roman" w:cs="Times New Roman"/>
          <w:sz w:val="24"/>
          <w:szCs w:val="24"/>
        </w:rPr>
        <w:t>[</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 xml:space="preserve">] </w:t>
      </w:r>
      <w:r w:rsidRPr="00771CA2">
        <w:rPr>
          <w:rFonts w:ascii="Times New Roman" w:hAnsi="Times New Roman" w:cs="Times New Roman"/>
          <w:sz w:val="24"/>
          <w:szCs w:val="24"/>
        </w:rPr>
        <w:t xml:space="preserve">has proved all the elements </w:t>
      </w:r>
      <w:r w:rsidR="00DC6D9C">
        <w:rPr>
          <w:rFonts w:ascii="Times New Roman" w:hAnsi="Times New Roman" w:cs="Times New Roman"/>
          <w:sz w:val="24"/>
          <w:szCs w:val="24"/>
        </w:rPr>
        <w:t xml:space="preserve">plaintiff </w:t>
      </w:r>
      <w:r w:rsidR="00930E05">
        <w:rPr>
          <w:rFonts w:ascii="Times New Roman" w:hAnsi="Times New Roman" w:cs="Times New Roman"/>
          <w:sz w:val="24"/>
          <w:szCs w:val="24"/>
        </w:rPr>
        <w:t>[</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 xml:space="preserve">] </w:t>
      </w:r>
      <w:r w:rsidRPr="00771CA2">
        <w:rPr>
          <w:rFonts w:ascii="Times New Roman" w:hAnsi="Times New Roman" w:cs="Times New Roman"/>
          <w:sz w:val="24"/>
          <w:szCs w:val="24"/>
        </w:rPr>
        <w:t>is required to prove under Instruction[s] [</w:t>
      </w:r>
      <w:r w:rsidRPr="00771CA2">
        <w:rPr>
          <w:rFonts w:ascii="Times New Roman" w:hAnsi="Times New Roman" w:cs="Times New Roman"/>
          <w:i/>
          <w:iCs/>
          <w:sz w:val="24"/>
          <w:szCs w:val="24"/>
          <w:u w:val="single"/>
        </w:rPr>
        <w:t>specify the instruction[s] that deal with the particular right[s]</w:t>
      </w:r>
      <w:r w:rsidRPr="00771CA2">
        <w:rPr>
          <w:rFonts w:ascii="Times New Roman" w:hAnsi="Times New Roman" w:cs="Times New Roman"/>
          <w:sz w:val="24"/>
          <w:szCs w:val="24"/>
        </w:rPr>
        <w:t>], your verdict should be for plaintiff</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Pr="00771CA2">
        <w:rPr>
          <w:rFonts w:ascii="Times New Roman" w:hAnsi="Times New Roman" w:cs="Times New Roman"/>
          <w:sz w:val="24"/>
          <w:szCs w:val="24"/>
        </w:rPr>
        <w:t xml:space="preserve">.  If, on the other hand, plaintiff </w:t>
      </w:r>
      <w:r w:rsidR="00930E05">
        <w:rPr>
          <w:rFonts w:ascii="Times New Roman" w:hAnsi="Times New Roman" w:cs="Times New Roman"/>
          <w:sz w:val="24"/>
          <w:szCs w:val="24"/>
        </w:rPr>
        <w:t>[</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 xml:space="preserve">] </w:t>
      </w:r>
      <w:r w:rsidRPr="00771CA2">
        <w:rPr>
          <w:rFonts w:ascii="Times New Roman" w:hAnsi="Times New Roman" w:cs="Times New Roman"/>
          <w:sz w:val="24"/>
          <w:szCs w:val="24"/>
        </w:rPr>
        <w:t>has failed to prove any one or more of these elements, your verdict should be for defendant</w:t>
      </w:r>
      <w:r w:rsidR="00930E05">
        <w:rPr>
          <w:rFonts w:ascii="Times New Roman" w:hAnsi="Times New Roman" w:cs="Times New Roman"/>
          <w:sz w:val="24"/>
          <w:szCs w:val="24"/>
        </w:rPr>
        <w:t xml:space="preserve"> [</w:t>
      </w:r>
      <w:r w:rsidR="00930E05" w:rsidRPr="003719CF">
        <w:rPr>
          <w:rFonts w:ascii="Times New Roman" w:hAnsi="Times New Roman" w:cs="Times New Roman"/>
          <w:i/>
          <w:iCs/>
          <w:sz w:val="24"/>
          <w:szCs w:val="24"/>
          <w:u w:val="single"/>
        </w:rPr>
        <w:t>name</w:t>
      </w:r>
      <w:r w:rsidR="00930E05">
        <w:rPr>
          <w:rFonts w:ascii="Times New Roman" w:hAnsi="Times New Roman" w:cs="Times New Roman"/>
          <w:sz w:val="24"/>
          <w:szCs w:val="24"/>
        </w:rPr>
        <w:t>]</w:t>
      </w:r>
      <w:r w:rsidRPr="00771CA2">
        <w:rPr>
          <w:rFonts w:ascii="Times New Roman" w:hAnsi="Times New Roman" w:cs="Times New Roman"/>
          <w:sz w:val="24"/>
          <w:szCs w:val="24"/>
        </w:rPr>
        <w:t>.</w:t>
      </w:r>
    </w:p>
    <w:p w14:paraId="6F6A31C7"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58048E56" w14:textId="77777777" w:rsidR="00F3485A" w:rsidRPr="00771CA2" w:rsidRDefault="00F3485A" w:rsidP="00F3485A">
      <w:pPr>
        <w:autoSpaceDE w:val="0"/>
        <w:autoSpaceDN w:val="0"/>
        <w:adjustRightInd w:val="0"/>
        <w:spacing w:after="0" w:line="240" w:lineRule="auto"/>
        <w:jc w:val="center"/>
        <w:rPr>
          <w:rFonts w:ascii="Times New Roman" w:hAnsi="Times New Roman" w:cs="Times New Roman"/>
          <w:b/>
          <w:bCs/>
          <w:sz w:val="24"/>
          <w:szCs w:val="24"/>
        </w:rPr>
      </w:pPr>
      <w:r w:rsidRPr="00771CA2">
        <w:rPr>
          <w:rFonts w:ascii="Times New Roman" w:hAnsi="Times New Roman" w:cs="Times New Roman"/>
          <w:b/>
          <w:bCs/>
          <w:sz w:val="24"/>
          <w:szCs w:val="24"/>
        </w:rPr>
        <w:t>Comment</w:t>
      </w:r>
    </w:p>
    <w:p w14:paraId="41D55A93" w14:textId="77777777" w:rsidR="00F3485A" w:rsidRPr="00771CA2" w:rsidRDefault="00F3485A" w:rsidP="00F3485A">
      <w:pPr>
        <w:autoSpaceDE w:val="0"/>
        <w:autoSpaceDN w:val="0"/>
        <w:adjustRightInd w:val="0"/>
        <w:spacing w:after="0" w:line="240" w:lineRule="auto"/>
        <w:rPr>
          <w:rFonts w:ascii="Times New Roman" w:hAnsi="Times New Roman" w:cs="Times New Roman"/>
          <w:b/>
          <w:bCs/>
          <w:sz w:val="24"/>
          <w:szCs w:val="24"/>
        </w:rPr>
      </w:pPr>
    </w:p>
    <w:p w14:paraId="3100915F"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7DD5A66D"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0E156E18" w14:textId="087486AC" w:rsidR="00F3485A" w:rsidRPr="00771CA2" w:rsidRDefault="00F3485A" w:rsidP="00DC6D9C">
      <w:pPr>
        <w:autoSpaceDE w:val="0"/>
        <w:autoSpaceDN w:val="0"/>
        <w:adjustRightInd w:val="0"/>
        <w:spacing w:after="0" w:line="240" w:lineRule="auto"/>
        <w:rPr>
          <w:rFonts w:ascii="Times New Roman" w:hAnsi="Times New Roman" w:cs="Times New Roman"/>
          <w:i/>
          <w:iCs/>
          <w:sz w:val="24"/>
          <w:szCs w:val="24"/>
        </w:rPr>
      </w:pPr>
      <w:r w:rsidRPr="00771CA2">
        <w:rPr>
          <w:rFonts w:ascii="Times New Roman" w:hAnsi="Times New Roman" w:cs="Times New Roman"/>
          <w:sz w:val="24"/>
          <w:szCs w:val="24"/>
        </w:rPr>
        <w:tab/>
        <w:t xml:space="preserve">In addition, use this instruction only when </w:t>
      </w:r>
      <w:r w:rsidRPr="00771CA2">
        <w:rPr>
          <w:rFonts w:ascii="Times New Roman" w:hAnsi="Times New Roman" w:cs="Times New Roman"/>
          <w:i/>
          <w:iCs/>
          <w:sz w:val="24"/>
          <w:szCs w:val="24"/>
        </w:rPr>
        <w:t xml:space="preserve">Monell </w:t>
      </w:r>
      <w:r w:rsidRPr="00771CA2">
        <w:rPr>
          <w:rFonts w:ascii="Times New Roman" w:hAnsi="Times New Roman" w:cs="Times New Roman"/>
          <w:sz w:val="24"/>
          <w:szCs w:val="24"/>
        </w:rPr>
        <w:t>liability is based on a local governing body’s policy of inaction, such as a failure to train its police officers.</w:t>
      </w:r>
    </w:p>
    <w:p w14:paraId="672D44BD" w14:textId="77777777" w:rsidR="00F3485A" w:rsidRDefault="00F3485A" w:rsidP="00F3485A">
      <w:pPr>
        <w:autoSpaceDE w:val="0"/>
        <w:autoSpaceDN w:val="0"/>
        <w:adjustRightInd w:val="0"/>
        <w:spacing w:after="0" w:line="240" w:lineRule="auto"/>
        <w:rPr>
          <w:rFonts w:ascii="Times New Roman" w:hAnsi="Times New Roman" w:cs="Times New Roman"/>
          <w:b/>
          <w:bCs/>
          <w:sz w:val="24"/>
          <w:szCs w:val="24"/>
        </w:rPr>
      </w:pPr>
    </w:p>
    <w:p w14:paraId="7A71D00E" w14:textId="77777777" w:rsidR="007D7ECE" w:rsidRPr="007D7ECE" w:rsidRDefault="007D7ECE" w:rsidP="00D7095F">
      <w:pPr>
        <w:autoSpaceDE w:val="0"/>
        <w:autoSpaceDN w:val="0"/>
        <w:adjustRightInd w:val="0"/>
        <w:spacing w:after="0" w:line="240" w:lineRule="auto"/>
        <w:ind w:firstLine="720"/>
        <w:rPr>
          <w:rFonts w:ascii="Times New Roman" w:hAnsi="Times New Roman" w:cs="Times New Roman"/>
          <w:sz w:val="24"/>
          <w:szCs w:val="24"/>
        </w:rPr>
      </w:pPr>
      <w:bookmarkStart w:id="1" w:name="_Hlk203554400"/>
      <w:r w:rsidRPr="007D7ECE">
        <w:rPr>
          <w:rFonts w:ascii="Times New Roman" w:hAnsi="Times New Roman" w:cs="Times New Roman"/>
          <w:sz w:val="24"/>
          <w:szCs w:val="24"/>
        </w:rPr>
        <w:t xml:space="preserve">In a multi-plaintiff or multi-defendant case, the trial judge should consider naming each individual specifically in lieu of using the generic term “officers” or “defendants.” In </w:t>
      </w:r>
      <w:proofErr w:type="spellStart"/>
      <w:r w:rsidRPr="007D7ECE">
        <w:rPr>
          <w:rFonts w:ascii="Times New Roman" w:hAnsi="Times New Roman" w:cs="Times New Roman"/>
          <w:i/>
          <w:iCs/>
          <w:sz w:val="24"/>
          <w:szCs w:val="24"/>
        </w:rPr>
        <w:t>Chinaryan</w:t>
      </w:r>
      <w:proofErr w:type="spellEnd"/>
      <w:r w:rsidRPr="007D7ECE">
        <w:rPr>
          <w:rFonts w:ascii="Times New Roman" w:hAnsi="Times New Roman" w:cs="Times New Roman"/>
          <w:sz w:val="24"/>
          <w:szCs w:val="24"/>
        </w:rPr>
        <w:t>, the Ninth Circuit explained that the jury instructions were “confusing” where the instructions stated that “to establish an unreasonable seizure in this case, the plaintiffs must prove by a preponderance of the evidence that the officer</w:t>
      </w:r>
      <w:r w:rsidRPr="007D7ECE">
        <w:rPr>
          <w:rFonts w:ascii="Times New Roman" w:hAnsi="Times New Roman" w:cs="Times New Roman"/>
          <w:i/>
          <w:iCs/>
          <w:sz w:val="24"/>
          <w:szCs w:val="24"/>
          <w:u w:val="single"/>
        </w:rPr>
        <w:t>s</w:t>
      </w:r>
      <w:r w:rsidRPr="007D7ECE">
        <w:rPr>
          <w:rFonts w:ascii="Times New Roman" w:hAnsi="Times New Roman" w:cs="Times New Roman"/>
          <w:sz w:val="24"/>
          <w:szCs w:val="24"/>
        </w:rPr>
        <w:t xml:space="preserve">”—plural—“used excessive force.” </w:t>
      </w:r>
      <w:proofErr w:type="spellStart"/>
      <w:r w:rsidRPr="007D7ECE">
        <w:rPr>
          <w:rFonts w:ascii="Times New Roman" w:hAnsi="Times New Roman" w:cs="Times New Roman"/>
          <w:i/>
          <w:iCs/>
          <w:sz w:val="24"/>
          <w:szCs w:val="24"/>
        </w:rPr>
        <w:t>Chinaryan</w:t>
      </w:r>
      <w:proofErr w:type="spellEnd"/>
      <w:r w:rsidRPr="007D7ECE">
        <w:rPr>
          <w:rFonts w:ascii="Times New Roman" w:hAnsi="Times New Roman" w:cs="Times New Roman"/>
          <w:i/>
          <w:iCs/>
          <w:sz w:val="24"/>
          <w:szCs w:val="24"/>
        </w:rPr>
        <w:t xml:space="preserve"> v. City of Los Angeles</w:t>
      </w:r>
      <w:r w:rsidRPr="007D7ECE">
        <w:rPr>
          <w:rFonts w:ascii="Times New Roman" w:hAnsi="Times New Roman" w:cs="Times New Roman"/>
          <w:sz w:val="24"/>
          <w:szCs w:val="24"/>
        </w:rPr>
        <w:t>, 113 F.4th 888, 905 (9th Cir. 2024) (emphasis in original). The “officer</w:t>
      </w:r>
      <w:r w:rsidRPr="007D7ECE">
        <w:rPr>
          <w:rFonts w:ascii="Times New Roman" w:hAnsi="Times New Roman" w:cs="Times New Roman"/>
          <w:i/>
          <w:iCs/>
          <w:sz w:val="24"/>
          <w:szCs w:val="24"/>
          <w:u w:val="single"/>
        </w:rPr>
        <w:t>s</w:t>
      </w:r>
      <w:r w:rsidRPr="007D7ECE">
        <w:rPr>
          <w:rFonts w:ascii="Times New Roman" w:hAnsi="Times New Roman" w:cs="Times New Roman"/>
          <w:sz w:val="24"/>
          <w:szCs w:val="24"/>
        </w:rPr>
        <w:t xml:space="preserve">” jury instruction language was confusing because it “required the jury to evaluate the excessiveness of the force used by the officers collectively rather than consider whether any single officer used excessive force.” </w:t>
      </w:r>
      <w:r w:rsidRPr="007D7ECE">
        <w:rPr>
          <w:rFonts w:ascii="Times New Roman" w:hAnsi="Times New Roman" w:cs="Times New Roman"/>
          <w:i/>
          <w:iCs/>
          <w:sz w:val="24"/>
          <w:szCs w:val="24"/>
        </w:rPr>
        <w:t>Id.</w:t>
      </w:r>
      <w:r w:rsidRPr="007D7ECE">
        <w:rPr>
          <w:rFonts w:ascii="Times New Roman" w:hAnsi="Times New Roman" w:cs="Times New Roman"/>
          <w:sz w:val="24"/>
          <w:szCs w:val="24"/>
        </w:rPr>
        <w:t xml:space="preserve"> In light of </w:t>
      </w:r>
      <w:proofErr w:type="spellStart"/>
      <w:r w:rsidRPr="007D7ECE">
        <w:rPr>
          <w:rFonts w:ascii="Times New Roman" w:hAnsi="Times New Roman" w:cs="Times New Roman"/>
          <w:i/>
          <w:iCs/>
          <w:sz w:val="24"/>
          <w:szCs w:val="24"/>
        </w:rPr>
        <w:t>Chinaryan</w:t>
      </w:r>
      <w:proofErr w:type="spellEnd"/>
      <w:r w:rsidRPr="007D7ECE">
        <w:rPr>
          <w:rFonts w:ascii="Times New Roman" w:hAnsi="Times New Roman" w:cs="Times New Roman"/>
          <w:sz w:val="24"/>
          <w:szCs w:val="24"/>
        </w:rPr>
        <w:t>, the trial judge may consider using a special verdict to identify the specific findings as to each plaintiff and defendant.</w:t>
      </w:r>
    </w:p>
    <w:bookmarkEnd w:id="1"/>
    <w:p w14:paraId="658B99B3" w14:textId="77777777" w:rsidR="007D7ECE" w:rsidRPr="00771CA2" w:rsidRDefault="007D7ECE" w:rsidP="00F3485A">
      <w:pPr>
        <w:autoSpaceDE w:val="0"/>
        <w:autoSpaceDN w:val="0"/>
        <w:adjustRightInd w:val="0"/>
        <w:spacing w:after="0" w:line="240" w:lineRule="auto"/>
        <w:rPr>
          <w:rFonts w:ascii="Times New Roman" w:hAnsi="Times New Roman" w:cs="Times New Roman"/>
          <w:b/>
          <w:bCs/>
          <w:sz w:val="24"/>
          <w:szCs w:val="24"/>
        </w:rPr>
      </w:pPr>
    </w:p>
    <w:p w14:paraId="37FD704C" w14:textId="2E2880A2" w:rsidR="00B93F10" w:rsidRPr="00C32CBF" w:rsidRDefault="00F3485A" w:rsidP="00B93F10">
      <w:pPr>
        <w:autoSpaceDE w:val="0"/>
        <w:autoSpaceDN w:val="0"/>
        <w:adjustRightInd w:val="0"/>
        <w:spacing w:after="0" w:line="240" w:lineRule="auto"/>
        <w:rPr>
          <w:rFonts w:ascii="Times New Roman" w:hAnsi="Times New Roman" w:cs="Times New Roman"/>
          <w:sz w:val="24"/>
        </w:rPr>
      </w:pPr>
      <w:r w:rsidRPr="00771CA2">
        <w:rPr>
          <w:rFonts w:ascii="Times New Roman" w:hAnsi="Times New Roman" w:cs="Times New Roman"/>
          <w:b/>
          <w:bCs/>
          <w:sz w:val="24"/>
          <w:szCs w:val="24"/>
        </w:rPr>
        <w:tab/>
      </w:r>
      <w:r w:rsidRPr="00771CA2">
        <w:rPr>
          <w:rFonts w:ascii="Times New Roman" w:hAnsi="Times New Roman" w:cs="Times New Roman"/>
          <w:sz w:val="24"/>
          <w:szCs w:val="24"/>
        </w:rPr>
        <w:t xml:space="preserve">As noted in the Introductory Comment to this chapter, § 1983 liability of a local governing body may not be based on </w:t>
      </w:r>
      <w:proofErr w:type="spellStart"/>
      <w:r w:rsidRPr="00771CA2">
        <w:rPr>
          <w:rFonts w:ascii="Times New Roman" w:hAnsi="Times New Roman" w:cs="Times New Roman"/>
          <w:i/>
          <w:iCs/>
          <w:sz w:val="24"/>
          <w:szCs w:val="24"/>
        </w:rPr>
        <w:t>respondeat</w:t>
      </w:r>
      <w:proofErr w:type="spellEnd"/>
      <w:r w:rsidRPr="00771CA2">
        <w:rPr>
          <w:rFonts w:ascii="Times New Roman" w:hAnsi="Times New Roman" w:cs="Times New Roman"/>
          <w:sz w:val="24"/>
          <w:szCs w:val="24"/>
        </w:rPr>
        <w:t xml:space="preserve"> </w:t>
      </w:r>
      <w:r w:rsidRPr="00771CA2">
        <w:rPr>
          <w:rFonts w:ascii="Times New Roman" w:hAnsi="Times New Roman" w:cs="Times New Roman"/>
          <w:i/>
          <w:iCs/>
          <w:sz w:val="24"/>
          <w:szCs w:val="24"/>
        </w:rPr>
        <w:t>superior</w:t>
      </w:r>
      <w:r w:rsidRPr="00771CA2">
        <w:rPr>
          <w:rFonts w:ascii="Times New Roman" w:hAnsi="Times New Roman" w:cs="Times New Roman"/>
          <w:sz w:val="24"/>
          <w:szCs w:val="24"/>
        </w:rPr>
        <w:t xml:space="preserve">.  </w:t>
      </w:r>
      <w:r w:rsidRPr="00771CA2">
        <w:rPr>
          <w:rFonts w:ascii="Times New Roman" w:hAnsi="Times New Roman" w:cs="Times New Roman"/>
          <w:i/>
          <w:iCs/>
          <w:sz w:val="24"/>
          <w:szCs w:val="24"/>
        </w:rPr>
        <w:t xml:space="preserve">Monell v. </w:t>
      </w:r>
      <w:proofErr w:type="spellStart"/>
      <w:r w:rsidRPr="00771CA2">
        <w:rPr>
          <w:rFonts w:ascii="Times New Roman" w:hAnsi="Times New Roman" w:cs="Times New Roman"/>
          <w:i/>
          <w:iCs/>
          <w:sz w:val="24"/>
          <w:szCs w:val="24"/>
        </w:rPr>
        <w:t>Dep’t</w:t>
      </w:r>
      <w:proofErr w:type="spellEnd"/>
      <w:r w:rsidRPr="00771CA2">
        <w:rPr>
          <w:rFonts w:ascii="Times New Roman" w:hAnsi="Times New Roman" w:cs="Times New Roman"/>
          <w:i/>
          <w:iCs/>
          <w:sz w:val="24"/>
          <w:szCs w:val="24"/>
        </w:rPr>
        <w:t xml:space="preserve"> of Soc. Servs. of N.Y.</w:t>
      </w:r>
      <w:r w:rsidRPr="00771CA2">
        <w:rPr>
          <w:rFonts w:ascii="Times New Roman" w:hAnsi="Times New Roman" w:cs="Times New Roman"/>
          <w:sz w:val="24"/>
          <w:szCs w:val="24"/>
        </w:rPr>
        <w:t>, 436 U.S. 658, 691 (1978).</w:t>
      </w:r>
      <w:r w:rsidRPr="00771CA2">
        <w:rPr>
          <w:rFonts w:ascii="Times New Roman" w:hAnsi="Times New Roman" w:cs="Times New Roman"/>
          <w:sz w:val="24"/>
        </w:rPr>
        <w:t xml:space="preserve">  Instead, a plaintiff must establish a “direct causal link” between the municipal policy or custom and the alleged constitutional violation.  </w:t>
      </w:r>
      <w:r w:rsidRPr="00771CA2">
        <w:rPr>
          <w:rFonts w:ascii="Times New Roman" w:hAnsi="Times New Roman" w:cs="Times New Roman"/>
          <w:i/>
          <w:iCs/>
          <w:sz w:val="24"/>
        </w:rPr>
        <w:t xml:space="preserve">See </w:t>
      </w:r>
      <w:r w:rsidR="00DC6D9C" w:rsidRPr="00DC6D9C">
        <w:rPr>
          <w:rFonts w:ascii="Times New Roman" w:hAnsi="Times New Roman" w:cs="Times New Roman"/>
          <w:i/>
          <w:iCs/>
          <w:sz w:val="24"/>
        </w:rPr>
        <w:t>City of Canton v. Harris</w:t>
      </w:r>
      <w:r w:rsidR="00DC6D9C" w:rsidRPr="00DC6D9C">
        <w:rPr>
          <w:rFonts w:ascii="Times New Roman" w:hAnsi="Times New Roman" w:cs="Times New Roman"/>
          <w:sz w:val="24"/>
        </w:rPr>
        <w:t xml:space="preserve">, 489 U.S. 378, 385 (1989); </w:t>
      </w:r>
      <w:r w:rsidRPr="00771CA2">
        <w:rPr>
          <w:rFonts w:ascii="Times New Roman" w:hAnsi="Times New Roman" w:cs="Times New Roman"/>
          <w:i/>
          <w:iCs/>
          <w:sz w:val="24"/>
        </w:rPr>
        <w:t xml:space="preserve">Sandoval v. </w:t>
      </w:r>
      <w:proofErr w:type="spellStart"/>
      <w:r w:rsidRPr="00771CA2">
        <w:rPr>
          <w:rFonts w:ascii="Times New Roman" w:hAnsi="Times New Roman" w:cs="Times New Roman"/>
          <w:i/>
          <w:iCs/>
          <w:sz w:val="24"/>
        </w:rPr>
        <w:t>Cnty</w:t>
      </w:r>
      <w:proofErr w:type="spellEnd"/>
      <w:r w:rsidRPr="00771CA2">
        <w:rPr>
          <w:rFonts w:ascii="Times New Roman" w:hAnsi="Times New Roman" w:cs="Times New Roman"/>
          <w:i/>
          <w:iCs/>
          <w:sz w:val="24"/>
        </w:rPr>
        <w:t>. of San Diego</w:t>
      </w:r>
      <w:r w:rsidRPr="00771CA2">
        <w:rPr>
          <w:rFonts w:ascii="Times New Roman" w:hAnsi="Times New Roman" w:cs="Times New Roman"/>
          <w:sz w:val="24"/>
        </w:rPr>
        <w:t xml:space="preserve">, 985 F.3d 657, 681 (9th Cir. 2021). This “requires showing both but for and proximate causation.” </w:t>
      </w:r>
      <w:r w:rsidR="00DC6D9C" w:rsidRPr="00DC6D9C">
        <w:rPr>
          <w:rFonts w:ascii="Times New Roman" w:hAnsi="Times New Roman" w:cs="Times New Roman"/>
          <w:i/>
          <w:iCs/>
          <w:sz w:val="24"/>
        </w:rPr>
        <w:t>Tsao v. Desert Palace</w:t>
      </w:r>
      <w:r w:rsidR="00DC6D9C" w:rsidRPr="00DC6D9C">
        <w:rPr>
          <w:rFonts w:ascii="Times New Roman" w:hAnsi="Times New Roman" w:cs="Times New Roman"/>
          <w:sz w:val="24"/>
        </w:rPr>
        <w:t>, Inc., 698 F.3d 1128, 1146 (9th Cir. 2012)</w:t>
      </w:r>
      <w:r w:rsidRPr="00771CA2">
        <w:rPr>
          <w:rFonts w:ascii="Times New Roman" w:hAnsi="Times New Roman" w:cs="Times New Roman"/>
          <w:sz w:val="24"/>
        </w:rPr>
        <w:t xml:space="preserve"> (quoting </w:t>
      </w:r>
      <w:r w:rsidRPr="00771CA2">
        <w:rPr>
          <w:rFonts w:ascii="Times New Roman" w:hAnsi="Times New Roman" w:cs="Times New Roman"/>
          <w:i/>
          <w:iCs/>
          <w:sz w:val="24"/>
        </w:rPr>
        <w:t>Harper v. City of Los Angeles</w:t>
      </w:r>
      <w:r w:rsidRPr="00771CA2">
        <w:rPr>
          <w:rFonts w:ascii="Times New Roman" w:hAnsi="Times New Roman" w:cs="Times New Roman"/>
          <w:sz w:val="24"/>
        </w:rPr>
        <w:t xml:space="preserve">, 533 F.3d 1010, 1026 (9th Cir. 2008). In </w:t>
      </w:r>
      <w:r w:rsidRPr="00771CA2">
        <w:rPr>
          <w:rFonts w:ascii="Times New Roman" w:hAnsi="Times New Roman" w:cs="Times New Roman"/>
          <w:i/>
          <w:iCs/>
          <w:sz w:val="24"/>
        </w:rPr>
        <w:t>Harper</w:t>
      </w:r>
      <w:r w:rsidRPr="00771CA2">
        <w:rPr>
          <w:rFonts w:ascii="Times New Roman" w:hAnsi="Times New Roman" w:cs="Times New Roman"/>
          <w:sz w:val="24"/>
        </w:rPr>
        <w:t xml:space="preserve">, the Ninth Circuit approved of a jury instruction that explained that “proximate cause exists where </w:t>
      </w:r>
      <w:r w:rsidR="004015BF">
        <w:rPr>
          <w:rFonts w:ascii="Times New Roman" w:hAnsi="Times New Roman" w:cs="Times New Roman"/>
          <w:sz w:val="24"/>
        </w:rPr>
        <w:t>‘</w:t>
      </w:r>
      <w:r w:rsidRPr="00771CA2">
        <w:rPr>
          <w:rFonts w:ascii="Times New Roman" w:hAnsi="Times New Roman" w:cs="Times New Roman"/>
          <w:sz w:val="24"/>
        </w:rPr>
        <w:t>an act or omission played a substantial part in bringing about or actually causing the injury or damage to plaintiffs.</w:t>
      </w:r>
      <w:r w:rsidR="004015BF">
        <w:rPr>
          <w:rFonts w:ascii="Times New Roman" w:hAnsi="Times New Roman" w:cs="Times New Roman"/>
          <w:sz w:val="24"/>
        </w:rPr>
        <w:t>’</w:t>
      </w:r>
      <w:r w:rsidRPr="00771CA2">
        <w:rPr>
          <w:rFonts w:ascii="Times New Roman" w:hAnsi="Times New Roman" w:cs="Times New Roman"/>
          <w:sz w:val="24"/>
        </w:rPr>
        <w:t xml:space="preserve">” </w:t>
      </w:r>
      <w:r w:rsidRPr="00771CA2">
        <w:rPr>
          <w:rFonts w:ascii="Times New Roman" w:hAnsi="Times New Roman" w:cs="Times New Roman"/>
          <w:i/>
          <w:iCs/>
          <w:sz w:val="24"/>
        </w:rPr>
        <w:t>Harper</w:t>
      </w:r>
      <w:r w:rsidRPr="00771CA2">
        <w:rPr>
          <w:rFonts w:ascii="Times New Roman" w:hAnsi="Times New Roman" w:cs="Times New Roman"/>
          <w:sz w:val="24"/>
        </w:rPr>
        <w:t>, 533 F.3d at 1026</w:t>
      </w:r>
      <w:r w:rsidR="00B93F10" w:rsidRPr="00C32CBF">
        <w:rPr>
          <w:rFonts w:ascii="Times New Roman" w:hAnsi="Times New Roman" w:cs="Times New Roman"/>
          <w:sz w:val="24"/>
        </w:rPr>
        <w:t>;</w:t>
      </w:r>
      <w:r w:rsidR="00B93F10" w:rsidRPr="00C32CBF">
        <w:rPr>
          <w:rFonts w:ascii="Times New Roman" w:eastAsiaTheme="minorEastAsia" w:hAnsi="Times New Roman" w:cs="Times New Roman"/>
          <w:i/>
          <w:iCs/>
          <w:sz w:val="24"/>
          <w:szCs w:val="24"/>
          <w:shd w:val="clear" w:color="auto" w:fill="FFFFFF"/>
        </w:rPr>
        <w:t xml:space="preserve"> </w:t>
      </w:r>
      <w:r w:rsidR="00B93F10" w:rsidRPr="00C32CBF">
        <w:rPr>
          <w:rFonts w:ascii="Times New Roman" w:hAnsi="Times New Roman" w:cs="Times New Roman"/>
          <w:i/>
          <w:iCs/>
          <w:sz w:val="24"/>
        </w:rPr>
        <w:t>Puente v. City of Phoenix</w:t>
      </w:r>
      <w:r w:rsidR="00B93F10" w:rsidRPr="00C32CBF">
        <w:rPr>
          <w:rFonts w:ascii="Times New Roman" w:hAnsi="Times New Roman" w:cs="Times New Roman"/>
          <w:sz w:val="24"/>
        </w:rPr>
        <w:t xml:space="preserve">, 123 F.4th 1035, 1067 (9th Cir. 2024) (noting that “failure to train” claim rests on </w:t>
      </w:r>
      <w:r w:rsidR="00B93F10" w:rsidRPr="00C32CBF">
        <w:rPr>
          <w:rFonts w:ascii="Times New Roman" w:hAnsi="Times New Roman" w:cs="Times New Roman"/>
          <w:sz w:val="24"/>
        </w:rPr>
        <w:lastRenderedPageBreak/>
        <w:t>showing that the plaintiff’s injury “</w:t>
      </w:r>
      <w:r w:rsidR="00B93F10" w:rsidRPr="00C32CBF">
        <w:rPr>
          <w:rFonts w:ascii="Times New Roman" w:hAnsi="Times New Roman" w:cs="Times New Roman"/>
          <w:i/>
          <w:iCs/>
          <w:sz w:val="24"/>
        </w:rPr>
        <w:t>in particular</w:t>
      </w:r>
      <w:r w:rsidR="00B93F10" w:rsidRPr="00C32CBF">
        <w:rPr>
          <w:rFonts w:ascii="Times New Roman" w:hAnsi="Times New Roman" w:cs="Times New Roman"/>
          <w:sz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44E4806A" w14:textId="569B865A" w:rsidR="00F3485A" w:rsidRPr="00B93F10" w:rsidRDefault="00B93F10" w:rsidP="00F3485A">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 </w:t>
      </w:r>
    </w:p>
    <w:p w14:paraId="0D1F3D79"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“A policy of inaction or omission may be based on failure to implement procedural</w:t>
      </w:r>
    </w:p>
    <w:p w14:paraId="6BADD26E" w14:textId="543117F7" w:rsidR="004015BF" w:rsidRDefault="00F3485A" w:rsidP="004015BF">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 xml:space="preserve">safeguards to prevent constitutional violations.”  </w:t>
      </w:r>
      <w:r w:rsidRPr="00771CA2">
        <w:rPr>
          <w:rFonts w:ascii="Times New Roman" w:hAnsi="Times New Roman" w:cs="Times New Roman"/>
          <w:i/>
          <w:iCs/>
          <w:sz w:val="24"/>
          <w:szCs w:val="24"/>
        </w:rPr>
        <w:t>Tsao</w:t>
      </w:r>
      <w:r w:rsidRPr="00771CA2">
        <w:rPr>
          <w:rFonts w:ascii="Times New Roman" w:hAnsi="Times New Roman" w:cs="Times New Roman"/>
          <w:sz w:val="24"/>
          <w:szCs w:val="24"/>
        </w:rPr>
        <w:t xml:space="preserve">, 698 F.3d at 1143. </w:t>
      </w:r>
      <w:r w:rsidR="004015BF" w:rsidRPr="004015BF">
        <w:rPr>
          <w:rFonts w:ascii="Times New Roman" w:hAnsi="Times New Roman" w:cs="Times New Roman"/>
          <w:sz w:val="24"/>
          <w:szCs w:val="24"/>
        </w:rPr>
        <w:t xml:space="preserve">A local government’s failure to train its employees “may serve as the basis for § 1983 liability . . . where the failure to train amounts to deliberate indifference to the rights of persons with whom the [employees] come into contact.” </w:t>
      </w:r>
      <w:r w:rsidR="004015BF" w:rsidRPr="004015BF">
        <w:rPr>
          <w:rFonts w:ascii="Times New Roman" w:hAnsi="Times New Roman" w:cs="Times New Roman"/>
          <w:i/>
          <w:iCs/>
          <w:sz w:val="24"/>
          <w:szCs w:val="24"/>
        </w:rPr>
        <w:t>City of Canton</w:t>
      </w:r>
      <w:r w:rsidR="004015BF" w:rsidRPr="004015BF">
        <w:rPr>
          <w:rFonts w:ascii="Times New Roman" w:hAnsi="Times New Roman" w:cs="Times New Roman"/>
          <w:sz w:val="24"/>
          <w:szCs w:val="24"/>
        </w:rPr>
        <w:t xml:space="preserve">, 489 U.S. at 388; </w:t>
      </w:r>
      <w:r w:rsidR="004015BF" w:rsidRPr="004015BF">
        <w:rPr>
          <w:rFonts w:ascii="Times New Roman" w:hAnsi="Times New Roman" w:cs="Times New Roman"/>
          <w:i/>
          <w:iCs/>
          <w:sz w:val="24"/>
          <w:szCs w:val="24"/>
        </w:rPr>
        <w:t>see</w:t>
      </w:r>
      <w:r w:rsidRPr="00771CA2">
        <w:rPr>
          <w:rFonts w:ascii="Times New Roman" w:hAnsi="Times New Roman" w:cs="Times New Roman"/>
          <w:sz w:val="24"/>
          <w:szCs w:val="24"/>
        </w:rPr>
        <w:t xml:space="preserve"> </w:t>
      </w:r>
      <w:r w:rsidRPr="00771CA2">
        <w:rPr>
          <w:rFonts w:ascii="Times New Roman" w:hAnsi="Times New Roman" w:cs="Times New Roman"/>
          <w:i/>
          <w:iCs/>
          <w:sz w:val="24"/>
          <w:szCs w:val="24"/>
        </w:rPr>
        <w:t>Connick v. Thompson</w:t>
      </w:r>
      <w:r w:rsidRPr="00771CA2">
        <w:rPr>
          <w:rFonts w:ascii="Times New Roman" w:hAnsi="Times New Roman" w:cs="Times New Roman"/>
          <w:sz w:val="24"/>
          <w:szCs w:val="24"/>
        </w:rPr>
        <w:t xml:space="preserve">, 563 U.S. 51, 61 (2011) </w:t>
      </w:r>
      <w:r w:rsidR="004015BF">
        <w:rPr>
          <w:rFonts w:ascii="Times New Roman" w:hAnsi="Times New Roman" w:cs="Times New Roman"/>
          <w:sz w:val="24"/>
          <w:szCs w:val="24"/>
        </w:rPr>
        <w:t xml:space="preserve">    </w:t>
      </w:r>
      <w:r w:rsidR="004015BF" w:rsidRPr="004015BF">
        <w:rPr>
          <w:rFonts w:ascii="Times New Roman" w:hAnsi="Times New Roman" w:cs="Times New Roman"/>
          <w:sz w:val="24"/>
          <w:szCs w:val="24"/>
        </w:rPr>
        <w:t xml:space="preserve">The elements of a failure to train </w:t>
      </w:r>
      <w:r w:rsidR="004015BF" w:rsidRPr="004015BF">
        <w:rPr>
          <w:rFonts w:ascii="Times New Roman" w:hAnsi="Times New Roman" w:cs="Times New Roman"/>
          <w:i/>
          <w:iCs/>
          <w:sz w:val="24"/>
          <w:szCs w:val="24"/>
        </w:rPr>
        <w:t>Monell</w:t>
      </w:r>
      <w:r w:rsidR="004015BF" w:rsidRPr="004015BF">
        <w:rPr>
          <w:rFonts w:ascii="Times New Roman" w:hAnsi="Times New Roman" w:cs="Times New Roman"/>
          <w:sz w:val="24"/>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004015BF" w:rsidRPr="004015BF">
        <w:rPr>
          <w:rFonts w:ascii="Times New Roman" w:hAnsi="Times New Roman" w:cs="Times New Roman"/>
          <w:i/>
          <w:iCs/>
          <w:sz w:val="24"/>
          <w:szCs w:val="24"/>
        </w:rPr>
        <w:t xml:space="preserve">Benavidez v. </w:t>
      </w:r>
      <w:proofErr w:type="spellStart"/>
      <w:r w:rsidR="004015BF" w:rsidRPr="004015BF">
        <w:rPr>
          <w:rFonts w:ascii="Times New Roman" w:hAnsi="Times New Roman" w:cs="Times New Roman"/>
          <w:i/>
          <w:iCs/>
          <w:sz w:val="24"/>
          <w:szCs w:val="24"/>
        </w:rPr>
        <w:t>Cnty</w:t>
      </w:r>
      <w:proofErr w:type="spellEnd"/>
      <w:r w:rsidR="004015BF" w:rsidRPr="004015BF">
        <w:rPr>
          <w:rFonts w:ascii="Times New Roman" w:hAnsi="Times New Roman" w:cs="Times New Roman"/>
          <w:i/>
          <w:iCs/>
          <w:sz w:val="24"/>
          <w:szCs w:val="24"/>
        </w:rPr>
        <w:t>. of San Diego</w:t>
      </w:r>
      <w:r w:rsidR="004015BF" w:rsidRPr="004015BF">
        <w:rPr>
          <w:rFonts w:ascii="Times New Roman" w:hAnsi="Times New Roman" w:cs="Times New Roman"/>
          <w:sz w:val="24"/>
          <w:szCs w:val="24"/>
        </w:rPr>
        <w:t>, 993 F.3d 1134, 1153-54 (9th Cir. 2021).</w:t>
      </w:r>
    </w:p>
    <w:p w14:paraId="14410880" w14:textId="77777777" w:rsidR="00AC035B" w:rsidRPr="004015BF" w:rsidRDefault="00AC035B" w:rsidP="004015BF">
      <w:pPr>
        <w:autoSpaceDE w:val="0"/>
        <w:autoSpaceDN w:val="0"/>
        <w:adjustRightInd w:val="0"/>
        <w:spacing w:after="0" w:line="240" w:lineRule="auto"/>
        <w:rPr>
          <w:rFonts w:ascii="Times New Roman" w:hAnsi="Times New Roman" w:cs="Times New Roman"/>
          <w:sz w:val="24"/>
          <w:szCs w:val="24"/>
        </w:rPr>
      </w:pPr>
    </w:p>
    <w:p w14:paraId="590EE7CD" w14:textId="1D1EB6E2"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r w:rsidRPr="00771CA2">
        <w:rPr>
          <w:rFonts w:ascii="Times New Roman" w:hAnsi="Times New Roman" w:cs="Times New Roman"/>
          <w:sz w:val="24"/>
          <w:szCs w:val="24"/>
        </w:rPr>
        <w:tab/>
        <w:t xml:space="preserve">  “Deliberate indifference” requires proof that a municipal actor disregarded a known or obvious consequence of his action. </w:t>
      </w:r>
      <w:r w:rsidRPr="00771CA2">
        <w:rPr>
          <w:rFonts w:ascii="Times New Roman" w:hAnsi="Times New Roman" w:cs="Times New Roman"/>
          <w:i/>
          <w:iCs/>
          <w:sz w:val="24"/>
          <w:szCs w:val="24"/>
        </w:rPr>
        <w:t xml:space="preserve"> Connick</w:t>
      </w:r>
      <w:r w:rsidRPr="00771CA2">
        <w:rPr>
          <w:rFonts w:ascii="Times New Roman" w:hAnsi="Times New Roman" w:cs="Times New Roman"/>
          <w:sz w:val="24"/>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771CA2">
        <w:rPr>
          <w:rFonts w:ascii="Times New Roman" w:hAnsi="Times New Roman" w:cs="Times New Roman"/>
          <w:i/>
          <w:iCs/>
          <w:sz w:val="24"/>
          <w:szCs w:val="24"/>
        </w:rPr>
        <w:t xml:space="preserve"> see als</w:t>
      </w:r>
      <w:r w:rsidRPr="004015BF">
        <w:rPr>
          <w:rFonts w:ascii="Times New Roman" w:hAnsi="Times New Roman" w:cs="Times New Roman"/>
          <w:i/>
          <w:iCs/>
          <w:sz w:val="24"/>
          <w:szCs w:val="24"/>
        </w:rPr>
        <w:t>o</w:t>
      </w:r>
      <w:r w:rsidR="004015BF" w:rsidRPr="004015BF">
        <w:rPr>
          <w:rFonts w:ascii="Times New Roman" w:hAnsi="Times New Roman" w:cs="Times New Roman"/>
          <w:i/>
          <w:iCs/>
          <w:color w:val="FF0000"/>
          <w:sz w:val="28"/>
          <w:szCs w:val="28"/>
        </w:rPr>
        <w:t xml:space="preserve"> </w:t>
      </w:r>
      <w:r w:rsidR="004015BF" w:rsidRPr="004015BF">
        <w:rPr>
          <w:rFonts w:ascii="Times New Roman" w:hAnsi="Times New Roman" w:cs="Times New Roman"/>
          <w:i/>
          <w:iCs/>
          <w:sz w:val="24"/>
          <w:szCs w:val="24"/>
        </w:rPr>
        <w:t xml:space="preserve">Castro v. </w:t>
      </w:r>
      <w:proofErr w:type="spellStart"/>
      <w:r w:rsidR="004015BF" w:rsidRPr="004015BF">
        <w:rPr>
          <w:rFonts w:ascii="Times New Roman" w:hAnsi="Times New Roman" w:cs="Times New Roman"/>
          <w:i/>
          <w:iCs/>
          <w:sz w:val="24"/>
          <w:szCs w:val="24"/>
        </w:rPr>
        <w:t>Cnty</w:t>
      </w:r>
      <w:proofErr w:type="spellEnd"/>
      <w:r w:rsidR="004015BF" w:rsidRPr="004015BF">
        <w:rPr>
          <w:rFonts w:ascii="Times New Roman" w:hAnsi="Times New Roman" w:cs="Times New Roman"/>
          <w:i/>
          <w:iCs/>
          <w:sz w:val="24"/>
          <w:szCs w:val="24"/>
        </w:rPr>
        <w:t>. of Los Angeles</w:t>
      </w:r>
      <w:r w:rsidR="004015BF" w:rsidRPr="004015BF">
        <w:rPr>
          <w:rFonts w:ascii="Times New Roman" w:hAnsi="Times New Roman" w:cs="Times New Roman"/>
          <w:sz w:val="24"/>
          <w:szCs w:val="24"/>
        </w:rPr>
        <w:t>, 833 F.3d 1060, 1077 (9th Cir. 2016) (</w:t>
      </w:r>
      <w:proofErr w:type="spellStart"/>
      <w:r w:rsidR="004015BF" w:rsidRPr="004015BF">
        <w:rPr>
          <w:rFonts w:ascii="Times New Roman" w:hAnsi="Times New Roman" w:cs="Times New Roman"/>
          <w:sz w:val="24"/>
          <w:szCs w:val="24"/>
        </w:rPr>
        <w:t>en</w:t>
      </w:r>
      <w:proofErr w:type="spellEnd"/>
      <w:r w:rsidR="004015BF" w:rsidRPr="004015BF">
        <w:rPr>
          <w:rFonts w:ascii="Times New Roman" w:hAnsi="Times New Roman" w:cs="Times New Roman"/>
          <w:sz w:val="24"/>
          <w:szCs w:val="24"/>
        </w:rPr>
        <w:t xml:space="preserve"> banc)</w:t>
      </w:r>
      <w:r w:rsidR="004015BF" w:rsidRPr="004015BF">
        <w:rPr>
          <w:rFonts w:ascii="Times New Roman" w:hAnsi="Times New Roman" w:cs="Times New Roman"/>
          <w:color w:val="FF0000"/>
          <w:sz w:val="28"/>
          <w:szCs w:val="28"/>
        </w:rPr>
        <w:t xml:space="preserve"> </w:t>
      </w:r>
      <w:r w:rsidR="004015BF" w:rsidRPr="004015BF">
        <w:rPr>
          <w:rFonts w:ascii="Times New Roman" w:hAnsi="Times New Roman" w:cs="Times New Roman"/>
          <w:sz w:val="24"/>
          <w:szCs w:val="24"/>
        </w:rPr>
        <w:t xml:space="preserve">(“Where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004015BF" w:rsidRPr="004015BF">
        <w:rPr>
          <w:rFonts w:ascii="Times New Roman" w:hAnsi="Times New Roman" w:cs="Times New Roman"/>
          <w:i/>
          <w:iCs/>
          <w:sz w:val="24"/>
          <w:szCs w:val="24"/>
        </w:rPr>
        <w:t>City of Canton</w:t>
      </w:r>
      <w:r w:rsidR="004015BF" w:rsidRPr="004015BF">
        <w:rPr>
          <w:rFonts w:ascii="Times New Roman" w:hAnsi="Times New Roman" w:cs="Times New Roman"/>
          <w:sz w:val="24"/>
          <w:szCs w:val="24"/>
        </w:rPr>
        <w:t>, 489 U.S. at 396)).</w:t>
      </w:r>
      <w:r w:rsidRPr="00771CA2">
        <w:rPr>
          <w:rFonts w:ascii="Times New Roman" w:hAnsi="Times New Roman" w:cs="Times New Roman"/>
          <w:i/>
          <w:iCs/>
          <w:sz w:val="24"/>
          <w:szCs w:val="24"/>
        </w:rPr>
        <w:t xml:space="preserve"> </w:t>
      </w:r>
      <w:r w:rsidRPr="00771CA2">
        <w:rPr>
          <w:rFonts w:ascii="Times New Roman" w:hAnsi="Times New Roman" w:cs="Times New Roman"/>
          <w:sz w:val="24"/>
          <w:szCs w:val="24"/>
        </w:rPr>
        <w:t xml:space="preserve">.  </w:t>
      </w:r>
      <w:r w:rsidR="004015BF" w:rsidRPr="00771CA2">
        <w:rPr>
          <w:rFonts w:ascii="Times New Roman" w:hAnsi="Times New Roman" w:cs="Times New Roman"/>
          <w:sz w:val="24"/>
          <w:szCs w:val="24"/>
        </w:rPr>
        <w:t xml:space="preserve">In </w:t>
      </w:r>
      <w:r w:rsidR="004015BF" w:rsidRPr="00771CA2">
        <w:rPr>
          <w:rFonts w:ascii="Times New Roman" w:hAnsi="Times New Roman" w:cs="Times New Roman"/>
          <w:i/>
          <w:iCs/>
          <w:sz w:val="24"/>
          <w:szCs w:val="24"/>
        </w:rPr>
        <w:t>Castro v. County of Los Angeles</w:t>
      </w:r>
      <w:r w:rsidR="004015BF" w:rsidRPr="00771CA2">
        <w:rPr>
          <w:rFonts w:ascii="Times New Roman" w:hAnsi="Times New Roman" w:cs="Times New Roman"/>
          <w:sz w:val="24"/>
          <w:szCs w:val="24"/>
        </w:rPr>
        <w:t xml:space="preserve">, 833 F.3d </w:t>
      </w:r>
      <w:r w:rsidR="004015BF">
        <w:rPr>
          <w:rFonts w:ascii="Times New Roman" w:hAnsi="Times New Roman" w:cs="Times New Roman"/>
          <w:sz w:val="24"/>
          <w:szCs w:val="24"/>
        </w:rPr>
        <w:t xml:space="preserve">at </w:t>
      </w:r>
      <w:r w:rsidR="004015BF" w:rsidRPr="00771CA2">
        <w:rPr>
          <w:rFonts w:ascii="Times New Roman" w:hAnsi="Times New Roman" w:cs="Times New Roman"/>
          <w:sz w:val="24"/>
          <w:szCs w:val="24"/>
        </w:rPr>
        <w:t>1076 (9th Cir. 2016) (</w:t>
      </w:r>
      <w:proofErr w:type="spellStart"/>
      <w:r w:rsidR="004015BF" w:rsidRPr="00771CA2">
        <w:rPr>
          <w:rFonts w:ascii="Times New Roman" w:hAnsi="Times New Roman" w:cs="Times New Roman"/>
          <w:sz w:val="24"/>
          <w:szCs w:val="24"/>
        </w:rPr>
        <w:t>en</w:t>
      </w:r>
      <w:proofErr w:type="spellEnd"/>
      <w:r w:rsidR="004015BF" w:rsidRPr="00771CA2">
        <w:rPr>
          <w:rFonts w:ascii="Times New Roman" w:hAnsi="Times New Roman" w:cs="Times New Roman"/>
          <w:sz w:val="24"/>
          <w:szCs w:val="24"/>
        </w:rPr>
        <w:t xml:space="preserve"> banc), the Ninth Circuit held that the deliberate indifference inquiry is objective</w:t>
      </w:r>
      <w:r w:rsidR="004015BF">
        <w:rPr>
          <w:rFonts w:ascii="Times New Roman" w:hAnsi="Times New Roman" w:cs="Times New Roman"/>
          <w:sz w:val="24"/>
          <w:szCs w:val="24"/>
        </w:rPr>
        <w:t xml:space="preserve"> for pretrial detainees’ failure-to-protect claims</w:t>
      </w:r>
      <w:r w:rsidR="004015BF" w:rsidRPr="00771CA2">
        <w:rPr>
          <w:rFonts w:ascii="Times New Roman" w:hAnsi="Times New Roman" w:cs="Times New Roman"/>
          <w:sz w:val="24"/>
          <w:szCs w:val="24"/>
        </w:rPr>
        <w:t xml:space="preserve">. </w:t>
      </w:r>
      <w:r w:rsidRPr="00771CA2">
        <w:rPr>
          <w:rFonts w:ascii="Times New Roman" w:hAnsi="Times New Roman" w:cs="Times New Roman"/>
          <w:sz w:val="24"/>
          <w:szCs w:val="24"/>
        </w:rPr>
        <w:t xml:space="preserve">“A pattern of similar constitutional violations by untrained employees is ‘ordinarily necessary’ to demonstrate deliberate indifference for purposes of failure to train.” </w:t>
      </w:r>
      <w:r w:rsidRPr="00771CA2">
        <w:rPr>
          <w:rFonts w:ascii="Times New Roman" w:hAnsi="Times New Roman" w:cs="Times New Roman"/>
          <w:i/>
          <w:iCs/>
          <w:sz w:val="24"/>
          <w:szCs w:val="24"/>
        </w:rPr>
        <w:t xml:space="preserve"> Connick</w:t>
      </w:r>
      <w:r w:rsidRPr="00771CA2">
        <w:rPr>
          <w:rFonts w:ascii="Times New Roman" w:hAnsi="Times New Roman" w:cs="Times New Roman"/>
          <w:sz w:val="24"/>
          <w:szCs w:val="24"/>
        </w:rPr>
        <w:t xml:space="preserve">, 563 U.S. at 62; </w:t>
      </w:r>
      <w:r w:rsidRPr="00BF42B7">
        <w:rPr>
          <w:rFonts w:ascii="Times New Roman" w:hAnsi="Times New Roman" w:cs="Times New Roman"/>
          <w:i/>
          <w:iCs/>
          <w:sz w:val="24"/>
          <w:szCs w:val="24"/>
        </w:rPr>
        <w:t>see also</w:t>
      </w:r>
      <w:r w:rsidRPr="006D1B0B">
        <w:rPr>
          <w:rFonts w:ascii="Times New Roman" w:hAnsi="Times New Roman" w:cs="Times New Roman"/>
          <w:i/>
          <w:iCs/>
          <w:sz w:val="24"/>
          <w:szCs w:val="24"/>
        </w:rPr>
        <w:t xml:space="preserve"> Hyde v. City of Willcox</w:t>
      </w:r>
      <w:r w:rsidRPr="006D1B0B">
        <w:rPr>
          <w:rFonts w:ascii="Times New Roman" w:hAnsi="Times New Roman" w:cs="Times New Roman"/>
          <w:sz w:val="24"/>
          <w:szCs w:val="24"/>
        </w:rPr>
        <w:t>, 23 F.4th 863, 874-75 (9th Cir. 2022) (holding that “[w]</w:t>
      </w:r>
      <w:proofErr w:type="spellStart"/>
      <w:r w:rsidRPr="006D1B0B">
        <w:rPr>
          <w:rFonts w:ascii="Times New Roman" w:hAnsi="Times New Roman" w:cs="Times New Roman"/>
          <w:sz w:val="24"/>
          <w:szCs w:val="24"/>
        </w:rPr>
        <w:t>hile</w:t>
      </w:r>
      <w:proofErr w:type="spellEnd"/>
      <w:r w:rsidRPr="006D1B0B">
        <w:rPr>
          <w:rFonts w:ascii="Times New Roman" w:hAnsi="Times New Roman" w:cs="Times New Roman"/>
          <w:sz w:val="24"/>
          <w:szCs w:val="24"/>
        </w:rPr>
        <w:t xml:space="preserve"> deliberate indifference can be inferred from a single incident when the unconstitutional consequences of failing to train are patently obvious, an inadequate training policy itself cannot be inferred from a single incident.”) (quotation marks and citation omitted);</w:t>
      </w:r>
      <w:r w:rsidRPr="006D1B0B">
        <w:rPr>
          <w:rFonts w:ascii="Times New Roman" w:hAnsi="Times New Roman" w:cs="Times New Roman"/>
          <w:i/>
          <w:iCs/>
          <w:sz w:val="24"/>
          <w:szCs w:val="24"/>
        </w:rPr>
        <w:t xml:space="preserve"> </w:t>
      </w:r>
      <w:r w:rsidRPr="00771CA2">
        <w:rPr>
          <w:rFonts w:ascii="Times New Roman" w:hAnsi="Times New Roman" w:cs="Times New Roman"/>
          <w:i/>
          <w:iCs/>
          <w:sz w:val="24"/>
          <w:szCs w:val="24"/>
        </w:rPr>
        <w:t>Flores v. County of Los Angeles</w:t>
      </w:r>
      <w:r w:rsidRPr="00771CA2">
        <w:rPr>
          <w:rFonts w:ascii="Times New Roman" w:hAnsi="Times New Roman" w:cs="Times New Roman"/>
          <w:sz w:val="24"/>
          <w:szCs w:val="24"/>
        </w:rPr>
        <w:t xml:space="preserve">, 758 F.3d 1154, 1159-60 (9th Cir. 2014) (holding that, absent pattern of sexual assaults by deputies, alleged failure to train officers not to commit sexual assault did not constitute deliberate indifference); </w:t>
      </w:r>
      <w:r w:rsidRPr="00771CA2">
        <w:rPr>
          <w:rFonts w:ascii="Times New Roman" w:hAnsi="Times New Roman" w:cs="Times New Roman"/>
          <w:i/>
          <w:iCs/>
          <w:sz w:val="24"/>
          <w:szCs w:val="24"/>
        </w:rPr>
        <w:t>Marsh v. County of San Diego</w:t>
      </w:r>
      <w:r w:rsidRPr="00771CA2">
        <w:rPr>
          <w:rFonts w:ascii="Times New Roman" w:hAnsi="Times New Roman" w:cs="Times New Roman"/>
          <w:sz w:val="24"/>
          <w:szCs w:val="24"/>
        </w:rPr>
        <w:t xml:space="preserve">, 680 F.3d 1148, 1159 (9th Cir. 2012) (holding that practice must be “widespread” and proof of single inadequately-trained employee was insufficient); </w:t>
      </w:r>
      <w:r w:rsidRPr="00771CA2">
        <w:rPr>
          <w:rFonts w:ascii="Times New Roman" w:hAnsi="Times New Roman" w:cs="Times New Roman"/>
          <w:i/>
          <w:iCs/>
          <w:sz w:val="24"/>
          <w:szCs w:val="24"/>
        </w:rPr>
        <w:t>Doughtery v. City of Covina</w:t>
      </w:r>
      <w:r w:rsidRPr="00771CA2">
        <w:rPr>
          <w:rFonts w:ascii="Times New Roman" w:hAnsi="Times New Roman" w:cs="Times New Roman"/>
          <w:sz w:val="24"/>
          <w:szCs w:val="24"/>
        </w:rPr>
        <w:t xml:space="preserve">, 654 F.3d 892, 900 (9th Cir. 2011) (“Mere negligence in training or supervision … does not give rise to a </w:t>
      </w:r>
      <w:r w:rsidRPr="00771CA2">
        <w:rPr>
          <w:rFonts w:ascii="Times New Roman" w:hAnsi="Times New Roman" w:cs="Times New Roman"/>
          <w:i/>
          <w:iCs/>
          <w:sz w:val="24"/>
          <w:szCs w:val="24"/>
        </w:rPr>
        <w:t>Monell</w:t>
      </w:r>
      <w:r w:rsidRPr="00771CA2">
        <w:rPr>
          <w:rFonts w:ascii="Times New Roman" w:hAnsi="Times New Roman" w:cs="Times New Roman"/>
          <w:sz w:val="24"/>
          <w:szCs w:val="24"/>
        </w:rPr>
        <w:t xml:space="preserve"> claim.”).  </w:t>
      </w:r>
    </w:p>
    <w:p w14:paraId="2BDF8DA6" w14:textId="77777777" w:rsidR="00F3485A" w:rsidRPr="00771CA2" w:rsidRDefault="00F3485A" w:rsidP="00F3485A">
      <w:pPr>
        <w:autoSpaceDE w:val="0"/>
        <w:autoSpaceDN w:val="0"/>
        <w:adjustRightInd w:val="0"/>
        <w:spacing w:after="0" w:line="240" w:lineRule="auto"/>
        <w:rPr>
          <w:rFonts w:ascii="Times New Roman" w:hAnsi="Times New Roman" w:cs="Times New Roman"/>
          <w:sz w:val="24"/>
          <w:szCs w:val="24"/>
        </w:rPr>
      </w:pPr>
    </w:p>
    <w:p w14:paraId="3E782CDA" w14:textId="268C2B63" w:rsidR="00F3485A" w:rsidRPr="00771CA2" w:rsidRDefault="00F3485A" w:rsidP="00B2791C">
      <w:pPr>
        <w:autoSpaceDE w:val="0"/>
        <w:autoSpaceDN w:val="0"/>
        <w:adjustRightInd w:val="0"/>
        <w:spacing w:after="0" w:line="240" w:lineRule="auto"/>
        <w:ind w:firstLine="720"/>
        <w:rPr>
          <w:rFonts w:ascii="Times New Roman" w:hAnsi="Times New Roman"/>
          <w:sz w:val="24"/>
        </w:rPr>
      </w:pPr>
      <w:r w:rsidRPr="00771CA2">
        <w:rPr>
          <w:rFonts w:ascii="Times New Roman" w:hAnsi="Times New Roman" w:cs="Times New Roman"/>
          <w:sz w:val="24"/>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771CA2">
        <w:rPr>
          <w:rFonts w:ascii="Times New Roman" w:hAnsi="Times New Roman" w:cs="Times New Roman"/>
          <w:i/>
          <w:iCs/>
          <w:sz w:val="24"/>
          <w:szCs w:val="24"/>
        </w:rPr>
        <w:t>Connick</w:t>
      </w:r>
      <w:r w:rsidRPr="00771CA2">
        <w:rPr>
          <w:rFonts w:ascii="Times New Roman" w:hAnsi="Times New Roman" w:cs="Times New Roman"/>
          <w:sz w:val="24"/>
          <w:szCs w:val="24"/>
        </w:rPr>
        <w:t>, 563 U.S. at 63-64 (quotin</w:t>
      </w:r>
      <w:r w:rsidRPr="004015BF">
        <w:rPr>
          <w:rFonts w:ascii="Times New Roman" w:hAnsi="Times New Roman" w:cs="Times New Roman"/>
          <w:sz w:val="24"/>
          <w:szCs w:val="24"/>
        </w:rPr>
        <w:t>g</w:t>
      </w:r>
      <w:r w:rsidR="004015BF" w:rsidRPr="004015BF">
        <w:rPr>
          <w:rFonts w:ascii="Times New Roman" w:hAnsi="Times New Roman" w:cs="Times New Roman"/>
          <w:i/>
          <w:iCs/>
          <w:color w:val="FF0000"/>
          <w:sz w:val="28"/>
          <w:szCs w:val="28"/>
        </w:rPr>
        <w:t xml:space="preserve"> </w:t>
      </w:r>
      <w:r w:rsidR="004015BF" w:rsidRPr="004015BF">
        <w:rPr>
          <w:rFonts w:ascii="Times New Roman" w:hAnsi="Times New Roman" w:cs="Times New Roman"/>
          <w:i/>
          <w:iCs/>
          <w:sz w:val="24"/>
          <w:szCs w:val="24"/>
        </w:rPr>
        <w:t xml:space="preserve">Bd. of </w:t>
      </w:r>
      <w:proofErr w:type="spellStart"/>
      <w:r w:rsidR="004015BF" w:rsidRPr="004015BF">
        <w:rPr>
          <w:rFonts w:ascii="Times New Roman" w:hAnsi="Times New Roman" w:cs="Times New Roman"/>
          <w:i/>
          <w:iCs/>
          <w:sz w:val="24"/>
          <w:szCs w:val="24"/>
        </w:rPr>
        <w:t>Cnty</w:t>
      </w:r>
      <w:proofErr w:type="spellEnd"/>
      <w:r w:rsidR="004015BF" w:rsidRPr="004015BF">
        <w:rPr>
          <w:rFonts w:ascii="Times New Roman" w:hAnsi="Times New Roman" w:cs="Times New Roman"/>
          <w:i/>
          <w:iCs/>
          <w:sz w:val="24"/>
          <w:szCs w:val="24"/>
        </w:rPr>
        <w:t>. Comm’rs v. Brown</w:t>
      </w:r>
      <w:r w:rsidR="004015BF" w:rsidRPr="004015BF">
        <w:rPr>
          <w:rFonts w:ascii="Times New Roman" w:hAnsi="Times New Roman" w:cs="Times New Roman"/>
          <w:sz w:val="24"/>
          <w:szCs w:val="24"/>
        </w:rPr>
        <w:t>, 520 U.S. 397, 409 (1997)</w:t>
      </w:r>
      <w:r w:rsidRPr="00771CA2">
        <w:rPr>
          <w:rFonts w:ascii="Times New Roman" w:hAnsi="Times New Roman" w:cs="Times New Roman"/>
          <w:sz w:val="24"/>
          <w:szCs w:val="24"/>
        </w:rPr>
        <w:t xml:space="preserve">, and citing </w:t>
      </w:r>
      <w:r w:rsidRPr="00771CA2">
        <w:rPr>
          <w:rFonts w:ascii="Times New Roman" w:hAnsi="Times New Roman" w:cs="Times New Roman"/>
          <w:i/>
          <w:iCs/>
          <w:sz w:val="24"/>
          <w:szCs w:val="24"/>
        </w:rPr>
        <w:t>Canton</w:t>
      </w:r>
      <w:r w:rsidRPr="00771CA2">
        <w:rPr>
          <w:rFonts w:ascii="Times New Roman" w:hAnsi="Times New Roman" w:cs="Times New Roman"/>
          <w:sz w:val="24"/>
          <w:szCs w:val="24"/>
        </w:rPr>
        <w:t xml:space="preserve">, 489 U.S. at 389-90).  In </w:t>
      </w:r>
      <w:r w:rsidRPr="00771CA2">
        <w:rPr>
          <w:rFonts w:ascii="Times New Roman" w:hAnsi="Times New Roman" w:cs="Times New Roman"/>
          <w:i/>
          <w:iCs/>
          <w:sz w:val="24"/>
          <w:szCs w:val="24"/>
        </w:rPr>
        <w:t>Kirkpatrick v. Washoe County</w:t>
      </w:r>
      <w:r w:rsidRPr="00771CA2">
        <w:rPr>
          <w:rFonts w:ascii="Times New Roman" w:hAnsi="Times New Roman" w:cs="Times New Roman"/>
          <w:sz w:val="24"/>
          <w:szCs w:val="24"/>
        </w:rPr>
        <w:t>, 843 F.3d 784 (9th Cir. 2016) (</w:t>
      </w:r>
      <w:proofErr w:type="spellStart"/>
      <w:r w:rsidRPr="00771CA2">
        <w:rPr>
          <w:rFonts w:ascii="Times New Roman" w:hAnsi="Times New Roman" w:cs="Times New Roman"/>
          <w:sz w:val="24"/>
          <w:szCs w:val="24"/>
        </w:rPr>
        <w:t>en</w:t>
      </w:r>
      <w:proofErr w:type="spellEnd"/>
      <w:r w:rsidRPr="00771CA2">
        <w:rPr>
          <w:rFonts w:ascii="Times New Roman" w:hAnsi="Times New Roman" w:cs="Times New Roman"/>
          <w:sz w:val="24"/>
          <w:szCs w:val="24"/>
        </w:rPr>
        <w:t xml:space="preserve"> banc), </w:t>
      </w:r>
      <w:r w:rsidRPr="00771CA2">
        <w:rPr>
          <w:rFonts w:ascii="Times New Roman" w:hAnsi="Times New Roman" w:cs="Times New Roman"/>
          <w:sz w:val="24"/>
          <w:szCs w:val="24"/>
        </w:rPr>
        <w:lastRenderedPageBreak/>
        <w:t>the Ninth Circuit held that a county</w:t>
      </w:r>
      <w:r w:rsidR="00B2791C">
        <w:rPr>
          <w:rFonts w:ascii="Times New Roman" w:hAnsi="Times New Roman" w:cs="Times New Roman"/>
          <w:sz w:val="24"/>
          <w:szCs w:val="24"/>
        </w:rPr>
        <w:t xml:space="preserve"> </w:t>
      </w:r>
      <w:r w:rsidRPr="00771CA2">
        <w:rPr>
          <w:rFonts w:ascii="Times New Roman" w:hAnsi="Times New Roman" w:cs="Times New Roman"/>
          <w:sz w:val="24"/>
          <w:szCs w:val="24"/>
        </w:rPr>
        <w:t xml:space="preserve">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771CA2">
        <w:rPr>
          <w:rFonts w:ascii="Times New Roman" w:hAnsi="Times New Roman" w:cs="Times New Roman"/>
          <w:i/>
          <w:iCs/>
          <w:sz w:val="24"/>
          <w:szCs w:val="24"/>
        </w:rPr>
        <w:t xml:space="preserve">See id. </w:t>
      </w:r>
      <w:r w:rsidRPr="00771CA2">
        <w:rPr>
          <w:rFonts w:ascii="Times New Roman" w:hAnsi="Times New Roman" w:cs="Times New Roman"/>
          <w:sz w:val="24"/>
          <w:szCs w:val="24"/>
        </w:rPr>
        <w:t xml:space="preserve">at 796-97.  </w:t>
      </w:r>
      <w:r w:rsidRPr="00771CA2">
        <w:rPr>
          <w:rFonts w:ascii="Times New Roman" w:hAnsi="Times New Roman"/>
          <w:sz w:val="24"/>
        </w:rPr>
        <w:t xml:space="preserve">In </w:t>
      </w:r>
      <w:r w:rsidRPr="00771CA2">
        <w:rPr>
          <w:rFonts w:ascii="Times New Roman" w:hAnsi="Times New Roman"/>
          <w:i/>
          <w:iCs/>
          <w:sz w:val="24"/>
        </w:rPr>
        <w:t>Sandoval v. County of San Diego</w:t>
      </w:r>
      <w:r w:rsidRPr="00771CA2">
        <w:rPr>
          <w:rFonts w:ascii="Times New Roman" w:hAnsi="Times New Roman"/>
          <w:sz w:val="24"/>
        </w:rPr>
        <w:t xml:space="preserve">, 985 F.3d 657, 682 (9th Cir. 2021), the Ninth Circuit applied an objective deliberate indifference standard to the county’s </w:t>
      </w:r>
    </w:p>
    <w:p w14:paraId="235D7A5E" w14:textId="77777777" w:rsidR="00F3485A" w:rsidRDefault="00F3485A" w:rsidP="00F3485A">
      <w:pPr>
        <w:autoSpaceDE w:val="0"/>
        <w:autoSpaceDN w:val="0"/>
        <w:adjustRightInd w:val="0"/>
        <w:spacing w:after="0" w:line="240" w:lineRule="auto"/>
        <w:rPr>
          <w:rFonts w:ascii="Times New Roman" w:hAnsi="Times New Roman"/>
          <w:sz w:val="24"/>
        </w:rPr>
      </w:pPr>
      <w:r w:rsidRPr="00771CA2">
        <w:rPr>
          <w:rFonts w:ascii="Times New Roman" w:hAnsi="Times New Roman"/>
          <w:sz w:val="24"/>
        </w:rPr>
        <w:t xml:space="preserve">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771CA2">
        <w:rPr>
          <w:rFonts w:ascii="Times New Roman" w:hAnsi="Times New Roman"/>
          <w:i/>
          <w:iCs/>
          <w:sz w:val="24"/>
        </w:rPr>
        <w:t>Id</w:t>
      </w:r>
      <w:r w:rsidRPr="00771CA2">
        <w:rPr>
          <w:rFonts w:ascii="Times New Roman" w:hAnsi="Times New Roman"/>
          <w:sz w:val="24"/>
        </w:rPr>
        <w:t xml:space="preserve">. (footnote omitted) (quoting </w:t>
      </w:r>
      <w:r w:rsidRPr="00771CA2">
        <w:rPr>
          <w:rFonts w:ascii="Times New Roman" w:hAnsi="Times New Roman"/>
          <w:i/>
          <w:iCs/>
          <w:sz w:val="24"/>
        </w:rPr>
        <w:t>Castro</w:t>
      </w:r>
      <w:r w:rsidRPr="00771CA2">
        <w:rPr>
          <w:rFonts w:ascii="Times New Roman" w:hAnsi="Times New Roman"/>
          <w:sz w:val="24"/>
        </w:rPr>
        <w:t>, 833 F.3d at 1076).</w:t>
      </w:r>
    </w:p>
    <w:p w14:paraId="53849C73" w14:textId="77777777" w:rsidR="004015BF" w:rsidRDefault="004015BF" w:rsidP="004015BF">
      <w:pPr>
        <w:autoSpaceDE w:val="0"/>
        <w:autoSpaceDN w:val="0"/>
        <w:adjustRightInd w:val="0"/>
        <w:spacing w:after="0" w:line="240" w:lineRule="auto"/>
        <w:rPr>
          <w:rFonts w:ascii="Times New Roman" w:hAnsi="Times New Roman"/>
          <w:sz w:val="24"/>
        </w:rPr>
      </w:pPr>
    </w:p>
    <w:p w14:paraId="419DE740" w14:textId="4904AD99" w:rsidR="004015BF" w:rsidRDefault="004015BF" w:rsidP="004015BF">
      <w:pPr>
        <w:autoSpaceDE w:val="0"/>
        <w:autoSpaceDN w:val="0"/>
        <w:adjustRightInd w:val="0"/>
        <w:spacing w:after="0" w:line="240" w:lineRule="auto"/>
        <w:ind w:firstLine="720"/>
        <w:rPr>
          <w:rFonts w:ascii="Times New Roman" w:hAnsi="Times New Roman"/>
          <w:sz w:val="24"/>
        </w:rPr>
      </w:pPr>
      <w:r w:rsidRPr="004015BF">
        <w:rPr>
          <w:rFonts w:ascii="Times New Roman" w:hAnsi="Times New Roman"/>
          <w:sz w:val="24"/>
        </w:rPr>
        <w:t>If the plaintiff is alleging inadequate hiring or screening of employees, inadequate supervision, or failure to adopt a needed policy, elements 3 through 5 of this instruction should be modified accordingly.</w:t>
      </w:r>
      <w:r w:rsidRPr="004015BF">
        <w:rPr>
          <w:rFonts w:ascii="Times New Roman" w:hAnsi="Times New Roman"/>
          <w:i/>
          <w:iCs/>
          <w:sz w:val="24"/>
        </w:rPr>
        <w:t xml:space="preserve">  See Brown</w:t>
      </w:r>
      <w:r w:rsidRPr="004015BF">
        <w:rPr>
          <w:rFonts w:ascii="Times New Roman" w:hAnsi="Times New Roman"/>
          <w:sz w:val="24"/>
        </w:rPr>
        <w:t xml:space="preserve">, 520 U.S. at 409-11 (addressing failure to screen candidates); </w:t>
      </w:r>
      <w:r w:rsidRPr="004015BF">
        <w:rPr>
          <w:rFonts w:ascii="Times New Roman" w:hAnsi="Times New Roman"/>
          <w:i/>
          <w:iCs/>
          <w:sz w:val="24"/>
        </w:rPr>
        <w:t>Jackson v. Barnes</w:t>
      </w:r>
      <w:r w:rsidRPr="004015BF">
        <w:rPr>
          <w:rFonts w:ascii="Times New Roman" w:hAnsi="Times New Roman"/>
          <w:sz w:val="24"/>
        </w:rPr>
        <w:t xml:space="preserve">, 749 F.3d 755, 763-64 (9th Cir. 2014) (addressing failure to supervise), </w:t>
      </w:r>
      <w:r w:rsidRPr="004015BF">
        <w:rPr>
          <w:rFonts w:ascii="Times New Roman" w:hAnsi="Times New Roman"/>
          <w:i/>
          <w:iCs/>
          <w:sz w:val="24"/>
        </w:rPr>
        <w:t>cert. denied</w:t>
      </w:r>
      <w:r w:rsidRPr="004015BF">
        <w:rPr>
          <w:rFonts w:ascii="Times New Roman" w:hAnsi="Times New Roman"/>
          <w:sz w:val="24"/>
        </w:rPr>
        <w:t xml:space="preserve">, 135 S. Ct. 980 (2015); </w:t>
      </w:r>
      <w:r w:rsidRPr="004015BF">
        <w:rPr>
          <w:rFonts w:ascii="Times New Roman" w:hAnsi="Times New Roman"/>
          <w:i/>
          <w:iCs/>
          <w:sz w:val="24"/>
        </w:rPr>
        <w:t>Tsao</w:t>
      </w:r>
      <w:r w:rsidRPr="004015BF">
        <w:rPr>
          <w:rFonts w:ascii="Times New Roman" w:hAnsi="Times New Roman"/>
          <w:sz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4015BF">
        <w:rPr>
          <w:rFonts w:ascii="Times New Roman" w:hAnsi="Times New Roman"/>
          <w:i/>
          <w:iCs/>
          <w:sz w:val="24"/>
        </w:rPr>
        <w:t>See</w:t>
      </w:r>
      <w:r w:rsidRPr="004015BF">
        <w:rPr>
          <w:rFonts w:ascii="Times New Roman" w:hAnsi="Times New Roman"/>
          <w:sz w:val="24"/>
        </w:rPr>
        <w:t xml:space="preserve">, </w:t>
      </w:r>
      <w:r w:rsidRPr="004015BF">
        <w:rPr>
          <w:rFonts w:ascii="Times New Roman" w:hAnsi="Times New Roman"/>
          <w:i/>
          <w:iCs/>
          <w:sz w:val="24"/>
        </w:rPr>
        <w:t>e.g.</w:t>
      </w:r>
      <w:r w:rsidRPr="004015BF">
        <w:rPr>
          <w:rFonts w:ascii="Times New Roman" w:hAnsi="Times New Roman"/>
          <w:sz w:val="24"/>
        </w:rPr>
        <w:t xml:space="preserve">, </w:t>
      </w:r>
      <w:r w:rsidRPr="004015BF">
        <w:rPr>
          <w:rFonts w:ascii="Times New Roman" w:hAnsi="Times New Roman"/>
          <w:i/>
          <w:iCs/>
          <w:sz w:val="24"/>
        </w:rPr>
        <w:t>Brown</w:t>
      </w:r>
      <w:r w:rsidRPr="004015BF">
        <w:rPr>
          <w:rFonts w:ascii="Times New Roman" w:hAnsi="Times New Roman"/>
          <w:sz w:val="24"/>
        </w:rPr>
        <w:t xml:space="preserve">, 520 U.S. at 407; </w:t>
      </w:r>
      <w:r w:rsidRPr="004015BF">
        <w:rPr>
          <w:rFonts w:ascii="Times New Roman" w:hAnsi="Times New Roman"/>
          <w:i/>
          <w:iCs/>
          <w:sz w:val="24"/>
        </w:rPr>
        <w:t>Tsao</w:t>
      </w:r>
      <w:r w:rsidRPr="004015BF">
        <w:rPr>
          <w:rFonts w:ascii="Times New Roman" w:hAnsi="Times New Roman"/>
          <w:sz w:val="24"/>
        </w:rPr>
        <w:t xml:space="preserve">, 698 F.3d at 1143, 1145.  For other bases of </w:t>
      </w:r>
      <w:r w:rsidRPr="004015BF">
        <w:rPr>
          <w:rFonts w:ascii="Times New Roman" w:hAnsi="Times New Roman"/>
          <w:i/>
          <w:iCs/>
          <w:sz w:val="24"/>
        </w:rPr>
        <w:t>Monell</w:t>
      </w:r>
      <w:r w:rsidRPr="004015BF">
        <w:rPr>
          <w:rFonts w:ascii="Times New Roman" w:hAnsi="Times New Roman"/>
          <w:sz w:val="24"/>
        </w:rPr>
        <w:t xml:space="preserve"> liability, </w:t>
      </w:r>
      <w:r w:rsidRPr="004015BF">
        <w:rPr>
          <w:rFonts w:ascii="Times New Roman" w:hAnsi="Times New Roman"/>
          <w:i/>
          <w:iCs/>
          <w:sz w:val="24"/>
        </w:rPr>
        <w:t>see</w:t>
      </w:r>
      <w:r w:rsidRPr="004015BF">
        <w:rPr>
          <w:rFonts w:ascii="Times New Roman" w:hAnsi="Times New Roman"/>
          <w:sz w:val="24"/>
        </w:rPr>
        <w:t xml:space="preserv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6CACE8E4" w14:textId="77777777" w:rsidR="0048414E" w:rsidRDefault="0048414E" w:rsidP="004015BF">
      <w:pPr>
        <w:autoSpaceDE w:val="0"/>
        <w:autoSpaceDN w:val="0"/>
        <w:adjustRightInd w:val="0"/>
        <w:spacing w:after="0" w:line="240" w:lineRule="auto"/>
        <w:ind w:firstLine="720"/>
        <w:rPr>
          <w:rFonts w:ascii="Times New Roman" w:hAnsi="Times New Roman"/>
          <w:sz w:val="24"/>
        </w:rPr>
      </w:pPr>
    </w:p>
    <w:p w14:paraId="4DC2BB7E" w14:textId="579CD608" w:rsidR="0048414E" w:rsidRPr="0048414E" w:rsidRDefault="0048414E" w:rsidP="0048414E">
      <w:pPr>
        <w:autoSpaceDE w:val="0"/>
        <w:autoSpaceDN w:val="0"/>
        <w:adjustRightInd w:val="0"/>
        <w:spacing w:after="0" w:line="240" w:lineRule="auto"/>
        <w:ind w:firstLine="720"/>
        <w:rPr>
          <w:rFonts w:ascii="Times New Roman" w:hAnsi="Times New Roman"/>
          <w:sz w:val="24"/>
        </w:rPr>
      </w:pPr>
      <w:r w:rsidRPr="0048414E">
        <w:rPr>
          <w:rFonts w:ascii="Times New Roman" w:hAnsi="Times New Roman"/>
          <w:sz w:val="24"/>
        </w:rPr>
        <w:t xml:space="preserve">In </w:t>
      </w:r>
      <w:r w:rsidRPr="0048414E">
        <w:rPr>
          <w:rFonts w:ascii="Times New Roman" w:hAnsi="Times New Roman"/>
          <w:i/>
          <w:iCs/>
          <w:sz w:val="24"/>
        </w:rPr>
        <w:t>Bell v. Williams</w:t>
      </w:r>
      <w:r w:rsidRPr="0048414E">
        <w:rPr>
          <w:rFonts w:ascii="Times New Roman" w:hAnsi="Times New Roman"/>
          <w:sz w:val="24"/>
        </w:rPr>
        <w:t xml:space="preserve">, 108 F.4th 809 (9th Cir. 2024), the Ninth Circuit reiterated that, under </w:t>
      </w:r>
      <w:r w:rsidRPr="0048414E">
        <w:rPr>
          <w:rFonts w:ascii="Times New Roman" w:hAnsi="Times New Roman"/>
          <w:i/>
          <w:iCs/>
          <w:sz w:val="24"/>
        </w:rPr>
        <w:t>Monell</w:t>
      </w:r>
      <w:r w:rsidRPr="0048414E">
        <w:rPr>
          <w:rFonts w:ascii="Times New Roman" w:hAnsi="Times New Roman"/>
          <w:sz w:val="24"/>
        </w:rPr>
        <w:t xml:space="preserve">, a plaintiff “must show a direct causal link between a municipal policy or custom and the alleged constitutional deprivation.” </w:t>
      </w:r>
      <w:r w:rsidRPr="0048414E">
        <w:rPr>
          <w:rFonts w:ascii="Times New Roman" w:hAnsi="Times New Roman"/>
          <w:i/>
          <w:iCs/>
          <w:sz w:val="24"/>
        </w:rPr>
        <w:t>Id</w:t>
      </w:r>
      <w:r w:rsidRPr="0048414E">
        <w:rPr>
          <w:rFonts w:ascii="Times New Roman" w:hAnsi="Times New Roman"/>
          <w:sz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48414E">
        <w:rPr>
          <w:rFonts w:ascii="Times New Roman" w:hAnsi="Times New Roman"/>
          <w:i/>
          <w:iCs/>
          <w:sz w:val="24"/>
        </w:rPr>
        <w:t>Id</w:t>
      </w:r>
      <w:r w:rsidRPr="0048414E">
        <w:rPr>
          <w:rFonts w:ascii="Times New Roman" w:hAnsi="Times New Roman"/>
          <w:sz w:val="24"/>
        </w:rPr>
        <w:t>.</w:t>
      </w:r>
      <w:r w:rsidRPr="0048414E">
        <w:rPr>
          <w:rFonts w:ascii="Times New Roman" w:hAnsi="Times New Roman" w:cs="Times New Roman"/>
          <w:sz w:val="28"/>
          <w:szCs w:val="28"/>
        </w:rPr>
        <w:t xml:space="preserve"> </w:t>
      </w:r>
      <w:r w:rsidRPr="0048414E">
        <w:rPr>
          <w:rFonts w:ascii="Times New Roman" w:hAnsi="Times New Roman"/>
          <w:sz w:val="24"/>
        </w:rPr>
        <w:t xml:space="preserve">Where “the training program for jail officers . . . covered the relevant topics with reasonable specificity,” the program “does not demonstrate deliberate indifference to a known risk” for purposes of </w:t>
      </w:r>
      <w:r w:rsidRPr="0048414E">
        <w:rPr>
          <w:rFonts w:ascii="Times New Roman" w:hAnsi="Times New Roman"/>
          <w:i/>
          <w:iCs/>
          <w:sz w:val="24"/>
        </w:rPr>
        <w:t xml:space="preserve">Monell </w:t>
      </w:r>
      <w:r w:rsidRPr="0048414E">
        <w:rPr>
          <w:rFonts w:ascii="Times New Roman" w:hAnsi="Times New Roman"/>
          <w:sz w:val="24"/>
        </w:rPr>
        <w:t xml:space="preserve">liability even if there are “narrow gaps” in the training. </w:t>
      </w:r>
      <w:r w:rsidRPr="0048414E">
        <w:rPr>
          <w:rFonts w:ascii="Times New Roman" w:hAnsi="Times New Roman"/>
          <w:i/>
          <w:iCs/>
          <w:sz w:val="24"/>
        </w:rPr>
        <w:t xml:space="preserve">Id. </w:t>
      </w:r>
      <w:r w:rsidRPr="0048414E">
        <w:rPr>
          <w:rFonts w:ascii="Times New Roman" w:hAnsi="Times New Roman"/>
          <w:sz w:val="24"/>
        </w:rPr>
        <w:t>at</w:t>
      </w:r>
      <w:r w:rsidR="00E5767A">
        <w:rPr>
          <w:rFonts w:ascii="Times New Roman" w:hAnsi="Times New Roman"/>
          <w:sz w:val="24"/>
        </w:rPr>
        <w:t xml:space="preserve"> </w:t>
      </w:r>
      <w:r w:rsidRPr="0048414E">
        <w:rPr>
          <w:rFonts w:ascii="Times New Roman" w:hAnsi="Times New Roman"/>
          <w:sz w:val="24"/>
        </w:rPr>
        <w:t>825-26.</w:t>
      </w:r>
    </w:p>
    <w:p w14:paraId="6D7B6C07" w14:textId="77777777" w:rsidR="0048414E" w:rsidRPr="004015BF" w:rsidRDefault="0048414E" w:rsidP="004015BF">
      <w:pPr>
        <w:autoSpaceDE w:val="0"/>
        <w:autoSpaceDN w:val="0"/>
        <w:adjustRightInd w:val="0"/>
        <w:spacing w:after="0" w:line="240" w:lineRule="auto"/>
        <w:ind w:firstLine="720"/>
        <w:rPr>
          <w:rFonts w:ascii="Times New Roman" w:hAnsi="Times New Roman"/>
          <w:sz w:val="24"/>
        </w:rPr>
      </w:pPr>
    </w:p>
    <w:p w14:paraId="542C3373" w14:textId="77777777" w:rsidR="00F3485A" w:rsidRPr="00771CA2" w:rsidRDefault="00F3485A" w:rsidP="00F3485A">
      <w:pPr>
        <w:autoSpaceDE w:val="0"/>
        <w:autoSpaceDN w:val="0"/>
        <w:adjustRightInd w:val="0"/>
        <w:spacing w:after="0" w:line="240" w:lineRule="auto"/>
        <w:rPr>
          <w:rFonts w:ascii="Times New Roman" w:hAnsi="Times New Roman" w:cs="Times New Roman"/>
          <w:i/>
          <w:iCs/>
          <w:sz w:val="24"/>
          <w:szCs w:val="24"/>
        </w:rPr>
      </w:pPr>
    </w:p>
    <w:p w14:paraId="7078C973" w14:textId="6BC73908" w:rsidR="00FE7F82" w:rsidRPr="004015BF" w:rsidRDefault="00F3485A" w:rsidP="004015BF">
      <w:pPr>
        <w:autoSpaceDE w:val="0"/>
        <w:autoSpaceDN w:val="0"/>
        <w:adjustRightInd w:val="0"/>
        <w:spacing w:after="0" w:line="240" w:lineRule="auto"/>
        <w:jc w:val="right"/>
        <w:rPr>
          <w:rFonts w:ascii="Times New Roman" w:hAnsi="Times New Roman" w:cs="Times New Roman"/>
          <w:i/>
          <w:iCs/>
          <w:sz w:val="24"/>
          <w:szCs w:val="24"/>
        </w:rPr>
      </w:pPr>
      <w:r w:rsidRPr="00771CA2">
        <w:rPr>
          <w:rFonts w:ascii="Times New Roman" w:hAnsi="Times New Roman" w:cs="Times New Roman"/>
          <w:i/>
          <w:iCs/>
          <w:sz w:val="24"/>
          <w:szCs w:val="24"/>
        </w:rPr>
        <w:t xml:space="preserve">Revised </w:t>
      </w:r>
      <w:r w:rsidR="007D7ECE">
        <w:rPr>
          <w:rFonts w:ascii="Times New Roman" w:hAnsi="Times New Roman" w:cs="Times New Roman"/>
          <w:i/>
          <w:iCs/>
          <w:sz w:val="24"/>
          <w:szCs w:val="24"/>
        </w:rPr>
        <w:t xml:space="preserve">June </w:t>
      </w:r>
      <w:r w:rsidR="0097456F">
        <w:rPr>
          <w:rFonts w:ascii="Times New Roman" w:hAnsi="Times New Roman" w:cs="Times New Roman"/>
          <w:i/>
          <w:iCs/>
          <w:sz w:val="24"/>
          <w:szCs w:val="24"/>
        </w:rPr>
        <w:t>2025</w:t>
      </w:r>
    </w:p>
    <w:sectPr w:rsidR="00FE7F82" w:rsidRPr="00401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5A"/>
    <w:rsid w:val="00011B50"/>
    <w:rsid w:val="00323A54"/>
    <w:rsid w:val="004015BF"/>
    <w:rsid w:val="0048414E"/>
    <w:rsid w:val="004922F2"/>
    <w:rsid w:val="004E5CB8"/>
    <w:rsid w:val="007D7ECE"/>
    <w:rsid w:val="00887257"/>
    <w:rsid w:val="00930E05"/>
    <w:rsid w:val="0097456F"/>
    <w:rsid w:val="009F7B89"/>
    <w:rsid w:val="00AC035B"/>
    <w:rsid w:val="00B166AB"/>
    <w:rsid w:val="00B2791C"/>
    <w:rsid w:val="00B93F10"/>
    <w:rsid w:val="00B96321"/>
    <w:rsid w:val="00BE0F07"/>
    <w:rsid w:val="00C30B63"/>
    <w:rsid w:val="00C32CBF"/>
    <w:rsid w:val="00C84D31"/>
    <w:rsid w:val="00D7095F"/>
    <w:rsid w:val="00DC6D9C"/>
    <w:rsid w:val="00DE3AA1"/>
    <w:rsid w:val="00E5767A"/>
    <w:rsid w:val="00F3485A"/>
    <w:rsid w:val="00FC3CDC"/>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B60A"/>
  <w15:chartTrackingRefBased/>
  <w15:docId w15:val="{9487C0CC-47E5-4609-BFAE-F7EFAAD5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6D9C"/>
    <w:pPr>
      <w:spacing w:after="0" w:line="240" w:lineRule="auto"/>
    </w:pPr>
  </w:style>
  <w:style w:type="paragraph" w:styleId="BodyText">
    <w:name w:val="Body Text"/>
    <w:basedOn w:val="Normal"/>
    <w:link w:val="BodyTextChar"/>
    <w:uiPriority w:val="99"/>
    <w:semiHidden/>
    <w:unhideWhenUsed/>
    <w:rsid w:val="0048414E"/>
    <w:pPr>
      <w:spacing w:after="120"/>
    </w:pPr>
  </w:style>
  <w:style w:type="character" w:customStyle="1" w:styleId="BodyTextChar">
    <w:name w:val="Body Text Char"/>
    <w:basedOn w:val="DefaultParagraphFont"/>
    <w:link w:val="BodyText"/>
    <w:uiPriority w:val="99"/>
    <w:semiHidden/>
    <w:rsid w:val="0048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18</cp:revision>
  <dcterms:created xsi:type="dcterms:W3CDTF">2022-04-29T00:30:00Z</dcterms:created>
  <dcterms:modified xsi:type="dcterms:W3CDTF">2025-10-14T21:35:00Z</dcterms:modified>
</cp:coreProperties>
</file>