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4837731"/>
    <w:p w14:paraId="65A8949E" w14:textId="012DF287" w:rsidR="0066001B" w:rsidRPr="007121A6" w:rsidRDefault="0066001B" w:rsidP="00BF1510">
      <w:pPr>
        <w:pStyle w:val="Heading1"/>
      </w:pPr>
      <w:r w:rsidRPr="007121A6">
        <w:rPr>
          <w:lang w:val="en-CA"/>
        </w:rPr>
        <w:fldChar w:fldCharType="begin"/>
      </w:r>
      <w:r w:rsidRPr="007121A6">
        <w:rPr>
          <w:lang w:val="en-CA"/>
        </w:rPr>
        <w:instrText xml:space="preserve"> SEQ CHAPTER \h \r 1</w:instrText>
      </w:r>
      <w:r w:rsidRPr="007121A6">
        <w:rPr>
          <w:lang w:val="en-CA"/>
        </w:rPr>
        <w:fldChar w:fldCharType="end"/>
      </w:r>
      <w:r w:rsidRPr="007121A6">
        <w:t xml:space="preserve">9.9 </w:t>
      </w:r>
      <w:r w:rsidR="008072DB" w:rsidRPr="007121A6">
        <w:t>Particular Rights—First Amendment—Public Employees—Speech</w:t>
      </w:r>
    </w:p>
    <w:p w14:paraId="0F5A635E" w14:textId="77777777" w:rsidR="0066001B" w:rsidRPr="007121A6" w:rsidRDefault="0066001B" w:rsidP="0066001B">
      <w:pPr>
        <w:autoSpaceDE w:val="0"/>
        <w:autoSpaceDN w:val="0"/>
        <w:adjustRightInd w:val="0"/>
        <w:spacing w:after="0" w:line="240" w:lineRule="auto"/>
        <w:rPr>
          <w:rFonts w:ascii="Times New Roman" w:hAnsi="Times New Roman" w:cs="Times New Roman"/>
          <w:b/>
          <w:bCs/>
          <w:sz w:val="24"/>
          <w:szCs w:val="24"/>
        </w:rPr>
      </w:pPr>
    </w:p>
    <w:p w14:paraId="19A2CB31"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b/>
          <w:bCs/>
          <w:sz w:val="24"/>
          <w:szCs w:val="24"/>
        </w:rPr>
        <w:tab/>
      </w:r>
      <w:r w:rsidRPr="007121A6">
        <w:rPr>
          <w:rFonts w:ascii="Times New Roman" w:hAnsi="Times New Roman" w:cs="Times New Roman"/>
          <w:sz w:val="24"/>
          <w:szCs w:val="24"/>
        </w:rPr>
        <w:t>As previously explained, the plaintiff has the burden of proving that the act[s] of the defendant [</w:t>
      </w:r>
      <w:r w:rsidRPr="007121A6">
        <w:rPr>
          <w:rFonts w:ascii="Times New Roman" w:hAnsi="Times New Roman" w:cs="Times New Roman"/>
          <w:i/>
          <w:iCs/>
          <w:sz w:val="24"/>
          <w:szCs w:val="24"/>
          <w:u w:val="single"/>
        </w:rPr>
        <w:t>name</w:t>
      </w:r>
      <w:r w:rsidRPr="007121A6">
        <w:rPr>
          <w:rFonts w:ascii="Times New Roman" w:hAnsi="Times New Roman" w:cs="Times New Roman"/>
          <w:sz w:val="24"/>
          <w:szCs w:val="24"/>
        </w:rPr>
        <w:t>] deprived the plaintiff of particular rights under the United States Constitution.  In this case, the plaintiff alleges the defendant deprived [him] [her] of [his] [her] rights under the First Amendment to the Constitution when [</w:t>
      </w:r>
      <w:r w:rsidRPr="007121A6">
        <w:rPr>
          <w:rFonts w:ascii="Times New Roman" w:hAnsi="Times New Roman" w:cs="Times New Roman"/>
          <w:i/>
          <w:iCs/>
          <w:sz w:val="24"/>
          <w:szCs w:val="24"/>
          <w:u w:val="single"/>
        </w:rPr>
        <w:t>insert factual basis of the plaintiff’s claim</w:t>
      </w:r>
      <w:r w:rsidRPr="007121A6">
        <w:rPr>
          <w:rFonts w:ascii="Times New Roman" w:hAnsi="Times New Roman" w:cs="Times New Roman"/>
          <w:sz w:val="24"/>
          <w:szCs w:val="24"/>
        </w:rPr>
        <w:t xml:space="preserve">].  </w:t>
      </w:r>
    </w:p>
    <w:p w14:paraId="1559D991"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32FC3D15" w14:textId="0363D2B6"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Under the First Amendment, a public employee has a qualified right to speak on matters of public concern.  I instruct you that the</w:t>
      </w:r>
      <w:r w:rsidR="00140666">
        <w:rPr>
          <w:rFonts w:ascii="Times New Roman" w:hAnsi="Times New Roman" w:cs="Times New Roman"/>
          <w:sz w:val="24"/>
          <w:szCs w:val="24"/>
        </w:rPr>
        <w:t xml:space="preserve"> plaintiff’s</w:t>
      </w:r>
      <w:r w:rsidRPr="007121A6">
        <w:rPr>
          <w:rFonts w:ascii="Times New Roman" w:hAnsi="Times New Roman" w:cs="Times New Roman"/>
          <w:sz w:val="24"/>
          <w:szCs w:val="24"/>
        </w:rPr>
        <w:t xml:space="preserve"> speech was on a matter of public concern.  In order to prove the defendant deprived the plaintiff of this First Amendment right, the plaintiff must prove the following additional elements by a preponderance of the evidence:</w:t>
      </w:r>
    </w:p>
    <w:p w14:paraId="11C02B51"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144A905B" w14:textId="77777777" w:rsidR="0066001B" w:rsidRPr="007121A6" w:rsidRDefault="0066001B" w:rsidP="0066001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7121A6">
        <w:rPr>
          <w:rFonts w:ascii="Times New Roman" w:hAnsi="Times New Roman" w:cs="Times New Roman"/>
          <w:sz w:val="24"/>
          <w:szCs w:val="24"/>
        </w:rPr>
        <w:tab/>
        <w:t>1.</w:t>
      </w:r>
      <w:r w:rsidRPr="007121A6">
        <w:rPr>
          <w:rFonts w:ascii="CG Times" w:hAnsi="CG Times" w:cs="CG Times"/>
          <w:sz w:val="24"/>
          <w:szCs w:val="24"/>
        </w:rPr>
        <w:tab/>
      </w:r>
      <w:r w:rsidRPr="007121A6">
        <w:rPr>
          <w:rFonts w:ascii="Times New Roman" w:hAnsi="Times New Roman" w:cs="Times New Roman"/>
          <w:sz w:val="24"/>
          <w:szCs w:val="24"/>
        </w:rPr>
        <w:t xml:space="preserve">the plaintiff spoke as a private citizen and not as part of [his] [her] official duties as a public </w:t>
      </w:r>
      <w:proofErr w:type="gramStart"/>
      <w:r w:rsidRPr="007121A6">
        <w:rPr>
          <w:rFonts w:ascii="Times New Roman" w:hAnsi="Times New Roman" w:cs="Times New Roman"/>
          <w:sz w:val="24"/>
          <w:szCs w:val="24"/>
        </w:rPr>
        <w:t>employee;</w:t>
      </w:r>
      <w:proofErr w:type="gramEnd"/>
    </w:p>
    <w:p w14:paraId="0B90A2F1"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46C7ADA6" w14:textId="77777777" w:rsidR="0066001B" w:rsidRPr="007121A6" w:rsidRDefault="0066001B" w:rsidP="0066001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7121A6">
        <w:rPr>
          <w:rFonts w:ascii="Times New Roman" w:hAnsi="Times New Roman" w:cs="Times New Roman"/>
          <w:sz w:val="24"/>
          <w:szCs w:val="24"/>
        </w:rPr>
        <w:tab/>
        <w:t>2.</w:t>
      </w:r>
      <w:r w:rsidRPr="007121A6">
        <w:rPr>
          <w:rFonts w:ascii="CG Times" w:hAnsi="CG Times" w:cs="CG Times"/>
          <w:sz w:val="24"/>
          <w:szCs w:val="24"/>
        </w:rPr>
        <w:tab/>
      </w:r>
      <w:r w:rsidRPr="007121A6">
        <w:rPr>
          <w:rFonts w:ascii="Times New Roman" w:hAnsi="Times New Roman" w:cs="Times New Roman"/>
          <w:sz w:val="24"/>
          <w:szCs w:val="24"/>
        </w:rPr>
        <w:t>the defendant took an adverse employment action against the plaintiff; and</w:t>
      </w:r>
    </w:p>
    <w:p w14:paraId="755D98AF"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22B77A8C" w14:textId="77777777" w:rsidR="0066001B" w:rsidRPr="007121A6" w:rsidRDefault="0066001B" w:rsidP="0066001B">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7121A6">
        <w:rPr>
          <w:rFonts w:ascii="Times New Roman" w:hAnsi="Times New Roman" w:cs="Times New Roman"/>
          <w:sz w:val="24"/>
          <w:szCs w:val="24"/>
        </w:rPr>
        <w:tab/>
        <w:t>3.</w:t>
      </w:r>
      <w:r w:rsidRPr="007121A6">
        <w:rPr>
          <w:rFonts w:ascii="CG Times" w:hAnsi="CG Times" w:cs="CG Times"/>
          <w:sz w:val="24"/>
          <w:szCs w:val="24"/>
        </w:rPr>
        <w:tab/>
      </w:r>
      <w:r w:rsidRPr="007121A6">
        <w:rPr>
          <w:rFonts w:ascii="Times New Roman" w:hAnsi="Times New Roman" w:cs="Times New Roman"/>
          <w:sz w:val="24"/>
          <w:szCs w:val="24"/>
        </w:rPr>
        <w:t>the plaintiff’s speech was a substantial or motivating factor for the adverse employment action.</w:t>
      </w:r>
    </w:p>
    <w:p w14:paraId="73E501D5"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33843254"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An action is an adverse employment action if a reasonable employee would have found the action materially adverse, which means it might have dissuaded a reasonable worker from engaging in protected activity.</w:t>
      </w:r>
    </w:p>
    <w:p w14:paraId="718B945C"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2E0676F9" w14:textId="6A8EFFC6" w:rsidR="00645BBE" w:rsidRDefault="0066001B" w:rsidP="00645BBE">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A substantial or motivating factor is a significant factor</w:t>
      </w:r>
      <w:r w:rsidR="00140666" w:rsidRPr="00140666">
        <w:rPr>
          <w:rFonts w:ascii="Times New Roman" w:hAnsi="Times New Roman" w:cs="Times New Roman"/>
          <w:sz w:val="24"/>
          <w:szCs w:val="24"/>
        </w:rPr>
        <w:t>, though not necessarily the only factor</w:t>
      </w:r>
      <w:r w:rsidRPr="007121A6">
        <w:rPr>
          <w:rFonts w:ascii="Times New Roman" w:hAnsi="Times New Roman" w:cs="Times New Roman"/>
          <w:sz w:val="24"/>
          <w:szCs w:val="24"/>
        </w:rPr>
        <w:t xml:space="preserve">. </w:t>
      </w:r>
    </w:p>
    <w:p w14:paraId="6B769183" w14:textId="77777777" w:rsidR="00645BBE" w:rsidRDefault="00645BBE" w:rsidP="00645BBE">
      <w:pPr>
        <w:autoSpaceDE w:val="0"/>
        <w:autoSpaceDN w:val="0"/>
        <w:adjustRightInd w:val="0"/>
        <w:spacing w:after="0" w:line="240" w:lineRule="auto"/>
        <w:rPr>
          <w:rFonts w:ascii="Times New Roman" w:hAnsi="Times New Roman" w:cs="Times New Roman"/>
          <w:sz w:val="24"/>
          <w:szCs w:val="24"/>
        </w:rPr>
      </w:pPr>
    </w:p>
    <w:p w14:paraId="0849D639" w14:textId="5B380E10" w:rsidR="0066001B" w:rsidRPr="00516722" w:rsidRDefault="00645BBE" w:rsidP="00715CC6">
      <w:pPr>
        <w:autoSpaceDE w:val="0"/>
        <w:autoSpaceDN w:val="0"/>
        <w:adjustRightInd w:val="0"/>
        <w:spacing w:after="0" w:line="240" w:lineRule="auto"/>
        <w:ind w:firstLine="720"/>
        <w:rPr>
          <w:rFonts w:ascii="Times New Roman" w:hAnsi="Times New Roman" w:cs="Times New Roman"/>
          <w:sz w:val="24"/>
          <w:szCs w:val="24"/>
        </w:rPr>
      </w:pPr>
      <w:r w:rsidRPr="00516722">
        <w:rPr>
          <w:rFonts w:ascii="Times New Roman" w:hAnsi="Times New Roman" w:cs="Times New Roman"/>
          <w:sz w:val="24"/>
          <w:szCs w:val="24"/>
        </w:rPr>
        <w:t xml:space="preserve">If the plaintiff establishes each of the foregoing elements, the burden shifts to the defendant to </w:t>
      </w:r>
      <w:r w:rsidR="007E67DC">
        <w:rPr>
          <w:rFonts w:ascii="Times New Roman" w:hAnsi="Times New Roman" w:cs="Times New Roman"/>
          <w:sz w:val="24"/>
          <w:szCs w:val="24"/>
        </w:rPr>
        <w:t>prove by a preponderance of the evidence</w:t>
      </w:r>
      <w:r w:rsidR="007E67DC" w:rsidRPr="00516722">
        <w:rPr>
          <w:rFonts w:ascii="Times New Roman" w:hAnsi="Times New Roman" w:cs="Times New Roman"/>
          <w:sz w:val="24"/>
          <w:szCs w:val="24"/>
        </w:rPr>
        <w:t xml:space="preserve"> </w:t>
      </w:r>
      <w:r w:rsidRPr="00516722">
        <w:rPr>
          <w:rFonts w:ascii="Times New Roman" w:hAnsi="Times New Roman" w:cs="Times New Roman"/>
          <w:sz w:val="24"/>
          <w:szCs w:val="24"/>
        </w:rPr>
        <w:t xml:space="preserve">that the defendant would have taken the action(s) in question, even in the absence of any motive to retaliate against the plaintiff. </w:t>
      </w:r>
      <w:r w:rsidR="009C7EE0" w:rsidRPr="00516722">
        <w:rPr>
          <w:rFonts w:ascii="Times New Roman" w:hAnsi="Times New Roman" w:cs="Times New Roman"/>
          <w:sz w:val="24"/>
          <w:szCs w:val="24"/>
        </w:rPr>
        <w:t xml:space="preserve"> </w:t>
      </w:r>
      <w:r w:rsidRPr="00516722">
        <w:rPr>
          <w:rFonts w:ascii="Times New Roman" w:hAnsi="Times New Roman" w:cs="Times New Roman"/>
          <w:sz w:val="24"/>
          <w:szCs w:val="24"/>
        </w:rPr>
        <w:t xml:space="preserve">If you find that the defendant is able to demonstrate this, you must find for the defendant. </w:t>
      </w:r>
      <w:r w:rsidR="009C7EE0" w:rsidRPr="00516722">
        <w:rPr>
          <w:rFonts w:ascii="Times New Roman" w:hAnsi="Times New Roman" w:cs="Times New Roman"/>
          <w:sz w:val="24"/>
          <w:szCs w:val="24"/>
        </w:rPr>
        <w:t xml:space="preserve"> </w:t>
      </w:r>
      <w:r w:rsidRPr="00516722">
        <w:rPr>
          <w:rFonts w:ascii="Times New Roman" w:hAnsi="Times New Roman" w:cs="Times New Roman"/>
          <w:sz w:val="24"/>
          <w:szCs w:val="24"/>
        </w:rPr>
        <w:t>If you find that the defendant is not able to</w:t>
      </w:r>
      <w:r w:rsidR="00715CC6">
        <w:rPr>
          <w:rFonts w:ascii="Times New Roman" w:hAnsi="Times New Roman" w:cs="Times New Roman"/>
          <w:sz w:val="24"/>
          <w:szCs w:val="24"/>
        </w:rPr>
        <w:t xml:space="preserve"> </w:t>
      </w:r>
      <w:r w:rsidRPr="00516722">
        <w:rPr>
          <w:rFonts w:ascii="Times New Roman" w:hAnsi="Times New Roman" w:cs="Times New Roman"/>
          <w:sz w:val="24"/>
          <w:szCs w:val="24"/>
        </w:rPr>
        <w:t>demonstrate this, you must find for the plaintiff.</w:t>
      </w:r>
    </w:p>
    <w:p w14:paraId="5F4146ED" w14:textId="77777777" w:rsidR="00FA4229" w:rsidRPr="007121A6" w:rsidRDefault="00FA4229" w:rsidP="0066001B">
      <w:pPr>
        <w:autoSpaceDE w:val="0"/>
        <w:autoSpaceDN w:val="0"/>
        <w:adjustRightInd w:val="0"/>
        <w:spacing w:after="0" w:line="240" w:lineRule="auto"/>
        <w:rPr>
          <w:rFonts w:ascii="Times New Roman" w:hAnsi="Times New Roman" w:cs="Times New Roman"/>
          <w:sz w:val="24"/>
          <w:szCs w:val="24"/>
        </w:rPr>
      </w:pPr>
    </w:p>
    <w:p w14:paraId="13AC06E7" w14:textId="690C342C" w:rsidR="0066001B" w:rsidRPr="007121A6" w:rsidRDefault="0066001B" w:rsidP="0066001B">
      <w:pPr>
        <w:autoSpaceDE w:val="0"/>
        <w:autoSpaceDN w:val="0"/>
        <w:adjustRightInd w:val="0"/>
        <w:spacing w:after="0" w:line="240" w:lineRule="auto"/>
        <w:jc w:val="center"/>
        <w:rPr>
          <w:rFonts w:ascii="Times New Roman" w:hAnsi="Times New Roman" w:cs="Times New Roman"/>
          <w:b/>
          <w:bCs/>
          <w:sz w:val="24"/>
          <w:szCs w:val="24"/>
        </w:rPr>
      </w:pPr>
      <w:r w:rsidRPr="007121A6">
        <w:rPr>
          <w:rFonts w:ascii="Times New Roman" w:hAnsi="Times New Roman" w:cs="Times New Roman"/>
          <w:b/>
          <w:bCs/>
          <w:sz w:val="24"/>
          <w:szCs w:val="24"/>
        </w:rPr>
        <w:t>Comment</w:t>
      </w:r>
    </w:p>
    <w:p w14:paraId="49917641" w14:textId="77777777" w:rsidR="0066001B" w:rsidRPr="007121A6" w:rsidRDefault="0066001B" w:rsidP="0066001B">
      <w:pPr>
        <w:autoSpaceDE w:val="0"/>
        <w:autoSpaceDN w:val="0"/>
        <w:adjustRightInd w:val="0"/>
        <w:spacing w:after="0" w:line="240" w:lineRule="auto"/>
        <w:jc w:val="center"/>
        <w:rPr>
          <w:rFonts w:ascii="Times New Roman" w:hAnsi="Times New Roman" w:cs="Times New Roman"/>
          <w:b/>
          <w:bCs/>
          <w:sz w:val="24"/>
          <w:szCs w:val="24"/>
        </w:rPr>
      </w:pPr>
    </w:p>
    <w:p w14:paraId="6C726723"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b/>
          <w:bCs/>
          <w:sz w:val="24"/>
          <w:szCs w:val="24"/>
        </w:rPr>
        <w:tab/>
      </w:r>
      <w:r w:rsidRPr="007121A6">
        <w:rPr>
          <w:rFonts w:ascii="Times New Roman" w:hAnsi="Times New Roman" w:cs="Times New Roman"/>
          <w:sz w:val="24"/>
          <w:szCs w:val="24"/>
        </w:rPr>
        <w:t xml:space="preserve">Use this instruction only in conjunction with the applicable </w:t>
      </w:r>
      <w:proofErr w:type="gramStart"/>
      <w:r w:rsidRPr="007121A6">
        <w:rPr>
          <w:rFonts w:ascii="Times New Roman" w:hAnsi="Times New Roman" w:cs="Times New Roman"/>
          <w:sz w:val="24"/>
          <w:szCs w:val="24"/>
        </w:rPr>
        <w:t>elements</w:t>
      </w:r>
      <w:proofErr w:type="gramEnd"/>
      <w:r w:rsidRPr="007121A6">
        <w:rPr>
          <w:rFonts w:ascii="Times New Roman" w:hAnsi="Times New Roman" w:cs="Times New Roman"/>
          <w:sz w:val="24"/>
          <w:szCs w:val="24"/>
        </w:rPr>
        <w:t xml:space="preserve"> instruction, Instructions 9.3–9.8, and when the plaintiff is a public employee.  Use Instruction 9.11 (Particular Rights—First Amendment</w:t>
      </w:r>
      <w:proofErr w:type="gramStart"/>
      <w:r w:rsidRPr="007121A6">
        <w:rPr>
          <w:rFonts w:ascii="Times New Roman" w:hAnsi="Times New Roman" w:cs="Times New Roman"/>
          <w:sz w:val="24"/>
          <w:szCs w:val="24"/>
        </w:rPr>
        <w:t>—“</w:t>
      </w:r>
      <w:proofErr w:type="gramEnd"/>
      <w:r w:rsidRPr="007121A6">
        <w:rPr>
          <w:rFonts w:ascii="Times New Roman" w:hAnsi="Times New Roman" w:cs="Times New Roman"/>
          <w:sz w:val="24"/>
          <w:szCs w:val="24"/>
        </w:rPr>
        <w:t xml:space="preserve">Citizen” Plaintiff) when the plaintiff is a private citizen.  Because this instruction is phrased in terms focusing the jury on the defendant’s liability for certain acts, the instruction should be modified to the extent liability is premised on a failure to act in order to avoid any risk of misstating the law.  </w:t>
      </w:r>
      <w:r w:rsidRPr="007121A6">
        <w:rPr>
          <w:rFonts w:ascii="Times New Roman" w:hAnsi="Times New Roman" w:cs="Times New Roman"/>
          <w:i/>
          <w:iCs/>
          <w:sz w:val="24"/>
          <w:szCs w:val="24"/>
        </w:rPr>
        <w:t>See Clem v. Lomeli</w:t>
      </w:r>
      <w:r w:rsidRPr="007121A6">
        <w:rPr>
          <w:rFonts w:ascii="Times New Roman" w:hAnsi="Times New Roman" w:cs="Times New Roman"/>
          <w:sz w:val="24"/>
          <w:szCs w:val="24"/>
        </w:rPr>
        <w:t>, 566 F.3d 1177, 1181-82 (9th Cir. 2009).  If there is a dispute about whether the public employee was speaking as a private citizen, use Instruction 9.10 (Particular Rights—First Amendment—Public Employees—Speaking as a Private Citizen).</w:t>
      </w:r>
    </w:p>
    <w:p w14:paraId="7BEBAD83"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1B6C67EA" w14:textId="6B42EF18" w:rsidR="0066001B"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lastRenderedPageBreak/>
        <w:tab/>
        <w:t xml:space="preserve">As to whether a public employee’s speech is protected under the First Amendment, the Supreme Court has “made clear that public employees do not surrender all their First Amendment rights by reason of their employment.  Rather, the First Amendment protects a public employee’s right, in certain circumstances, to speak as a citizen addressing matters of public concern.”  </w:t>
      </w:r>
      <w:r w:rsidRPr="007121A6">
        <w:rPr>
          <w:rFonts w:ascii="Times New Roman" w:hAnsi="Times New Roman" w:cs="Times New Roman"/>
          <w:i/>
          <w:iCs/>
          <w:sz w:val="24"/>
          <w:szCs w:val="24"/>
        </w:rPr>
        <w:t>Garcetti v. Ceballos</w:t>
      </w:r>
      <w:r w:rsidRPr="007121A6">
        <w:rPr>
          <w:rFonts w:ascii="Times New Roman" w:hAnsi="Times New Roman" w:cs="Times New Roman"/>
          <w:sz w:val="24"/>
          <w:szCs w:val="24"/>
        </w:rPr>
        <w:t xml:space="preserve">, 547 U.S. 410, 417 (2006); </w:t>
      </w:r>
      <w:r w:rsidRPr="007121A6">
        <w:rPr>
          <w:rFonts w:ascii="Times New Roman" w:hAnsi="Times New Roman" w:cs="Times New Roman"/>
          <w:i/>
          <w:iCs/>
          <w:sz w:val="24"/>
          <w:szCs w:val="24"/>
        </w:rPr>
        <w:t>see also</w:t>
      </w:r>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Borough of Duryea v. Guarnieri</w:t>
      </w:r>
      <w:r w:rsidRPr="007121A6">
        <w:rPr>
          <w:rFonts w:ascii="Times New Roman" w:hAnsi="Times New Roman" w:cs="Times New Roman"/>
          <w:sz w:val="24"/>
          <w:szCs w:val="24"/>
        </w:rPr>
        <w:t>, 564 U.S. 379, 3</w:t>
      </w:r>
      <w:r w:rsidR="00140666">
        <w:rPr>
          <w:rFonts w:ascii="Times New Roman" w:hAnsi="Times New Roman" w:cs="Times New Roman"/>
          <w:sz w:val="24"/>
          <w:szCs w:val="24"/>
        </w:rPr>
        <w:t>98</w:t>
      </w:r>
      <w:r w:rsidRPr="007121A6">
        <w:rPr>
          <w:rFonts w:ascii="Times New Roman" w:hAnsi="Times New Roman" w:cs="Times New Roman"/>
          <w:sz w:val="24"/>
          <w:szCs w:val="24"/>
        </w:rPr>
        <w:t xml:space="preserve"> (2011) (applying </w:t>
      </w:r>
      <w:r w:rsidRPr="007121A6">
        <w:rPr>
          <w:rFonts w:ascii="Times New Roman" w:hAnsi="Times New Roman" w:cs="Times New Roman"/>
          <w:i/>
          <w:iCs/>
          <w:sz w:val="24"/>
          <w:szCs w:val="24"/>
        </w:rPr>
        <w:t>Garcetti</w:t>
      </w:r>
      <w:r w:rsidRPr="007121A6">
        <w:rPr>
          <w:rFonts w:ascii="Times New Roman" w:hAnsi="Times New Roman" w:cs="Times New Roman"/>
          <w:sz w:val="24"/>
          <w:szCs w:val="24"/>
        </w:rPr>
        <w:t xml:space="preserve"> public concern test to public employee’s First Amendment Petition Clause claims). </w:t>
      </w:r>
    </w:p>
    <w:p w14:paraId="732436A8" w14:textId="77777777" w:rsidR="009C7EE0" w:rsidRPr="007121A6" w:rsidRDefault="009C7EE0" w:rsidP="0066001B">
      <w:pPr>
        <w:autoSpaceDE w:val="0"/>
        <w:autoSpaceDN w:val="0"/>
        <w:adjustRightInd w:val="0"/>
        <w:spacing w:after="0" w:line="240" w:lineRule="auto"/>
        <w:rPr>
          <w:rFonts w:ascii="Times New Roman" w:hAnsi="Times New Roman" w:cs="Times New Roman"/>
          <w:sz w:val="24"/>
          <w:szCs w:val="24"/>
        </w:rPr>
      </w:pPr>
    </w:p>
    <w:p w14:paraId="28DB3016" w14:textId="036F998E"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In</w:t>
      </w:r>
      <w:r w:rsidR="00140666" w:rsidRPr="00140666">
        <w:rPr>
          <w:rFonts w:ascii="Times New Roman" w:hAnsi="Times New Roman" w:cs="Times New Roman"/>
          <w:i/>
          <w:iCs/>
          <w:color w:val="FF0000"/>
          <w:sz w:val="28"/>
          <w:szCs w:val="28"/>
        </w:rPr>
        <w:t xml:space="preserve"> </w:t>
      </w:r>
      <w:r w:rsidR="00140666" w:rsidRPr="00140666">
        <w:rPr>
          <w:rFonts w:ascii="Times New Roman" w:hAnsi="Times New Roman" w:cs="Times New Roman"/>
          <w:i/>
          <w:iCs/>
          <w:sz w:val="24"/>
          <w:szCs w:val="24"/>
        </w:rPr>
        <w:t>Hernandez v. City of Phoenix</w:t>
      </w:r>
      <w:r w:rsidR="00140666" w:rsidRPr="00140666">
        <w:rPr>
          <w:rFonts w:ascii="Times New Roman" w:hAnsi="Times New Roman" w:cs="Times New Roman"/>
          <w:sz w:val="24"/>
          <w:szCs w:val="24"/>
        </w:rPr>
        <w:t>, 43 F.4th 966, 976 (9th Cir. 2022)</w:t>
      </w:r>
      <w:r w:rsidRPr="007121A6">
        <w:rPr>
          <w:rFonts w:ascii="Times New Roman" w:hAnsi="Times New Roman" w:cs="Times New Roman"/>
          <w:sz w:val="24"/>
          <w:szCs w:val="24"/>
        </w:rPr>
        <w:t>, the Ninth Circuit reiterated the “</w:t>
      </w:r>
      <w:r w:rsidR="00140666" w:rsidRPr="00140666">
        <w:rPr>
          <w:rFonts w:ascii="Times New Roman" w:hAnsi="Times New Roman" w:cs="Times New Roman"/>
          <w:sz w:val="24"/>
          <w:szCs w:val="24"/>
        </w:rPr>
        <w:t>five sequential steps to analyze First Amendment retaliation claims brought by government employees</w:t>
      </w:r>
      <w:r w:rsidR="00140666">
        <w:rPr>
          <w:rFonts w:ascii="Times New Roman" w:hAnsi="Times New Roman" w:cs="Times New Roman"/>
          <w:sz w:val="24"/>
          <w:szCs w:val="24"/>
        </w:rPr>
        <w:t>:</w:t>
      </w:r>
      <w:proofErr w:type="gramStart"/>
      <w:r w:rsidR="00140666">
        <w:rPr>
          <w:rFonts w:ascii="Times New Roman" w:hAnsi="Times New Roman" w:cs="Times New Roman"/>
          <w:sz w:val="24"/>
          <w:szCs w:val="24"/>
        </w:rPr>
        <w:t xml:space="preserve">” </w:t>
      </w:r>
      <w:r w:rsidRPr="007121A6">
        <w:rPr>
          <w:rFonts w:ascii="Times New Roman" w:hAnsi="Times New Roman" w:cs="Times New Roman"/>
          <w:sz w:val="24"/>
          <w:szCs w:val="24"/>
        </w:rPr>
        <w:t>:</w:t>
      </w:r>
      <w:proofErr w:type="gramEnd"/>
    </w:p>
    <w:p w14:paraId="7BD078AE"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07B2B05D" w14:textId="77777777" w:rsidR="0066001B" w:rsidRPr="007121A6" w:rsidRDefault="0066001B" w:rsidP="0066001B">
      <w:pPr>
        <w:autoSpaceDE w:val="0"/>
        <w:autoSpaceDN w:val="0"/>
        <w:adjustRightInd w:val="0"/>
        <w:spacing w:after="0" w:line="240" w:lineRule="auto"/>
        <w:ind w:left="720" w:right="720"/>
        <w:jc w:val="both"/>
        <w:rPr>
          <w:rFonts w:ascii="Times New Roman" w:hAnsi="Times New Roman" w:cs="Times New Roman"/>
          <w:sz w:val="24"/>
          <w:szCs w:val="24"/>
        </w:rPr>
      </w:pPr>
      <w:r w:rsidRPr="007121A6">
        <w:rPr>
          <w:rFonts w:ascii="Times New Roman" w:hAnsi="Times New Roman" w:cs="Times New Roman"/>
          <w:sz w:val="24"/>
          <w:szCs w:val="24"/>
        </w:rPr>
        <w:t>(1) [W]</w:t>
      </w:r>
      <w:proofErr w:type="spellStart"/>
      <w:r w:rsidRPr="007121A6">
        <w:rPr>
          <w:rFonts w:ascii="Times New Roman" w:hAnsi="Times New Roman" w:cs="Times New Roman"/>
          <w:sz w:val="24"/>
          <w:szCs w:val="24"/>
        </w:rPr>
        <w:t>hether</w:t>
      </w:r>
      <w:proofErr w:type="spellEnd"/>
      <w:r w:rsidRPr="007121A6">
        <w:rPr>
          <w:rFonts w:ascii="Times New Roman" w:hAnsi="Times New Roman" w:cs="Times New Roman"/>
          <w:sz w:val="24"/>
          <w:szCs w:val="24"/>
        </w:rPr>
        <w:t xml:space="preserve"> the plaintiff spoke on a matter of public concern; (2) whether the plaintiff spoke as a private citizen or public employee; (3) whether the plaintiff’s protected speech was a substantial or motivating factor in the adverse employment action; (4) whether the state had an adequate justification for treating the employee differently from other members of the general public; and (5) whether the state would have taken the adverse employment action even absent the protected speech.</w:t>
      </w:r>
    </w:p>
    <w:p w14:paraId="6D248AB7" w14:textId="77777777" w:rsidR="0066001B" w:rsidRPr="007121A6" w:rsidRDefault="0066001B" w:rsidP="0066001B">
      <w:pPr>
        <w:autoSpaceDE w:val="0"/>
        <w:autoSpaceDN w:val="0"/>
        <w:adjustRightInd w:val="0"/>
        <w:spacing w:after="0" w:line="240" w:lineRule="auto"/>
        <w:rPr>
          <w:rFonts w:ascii="Times New Roman" w:hAnsi="Times New Roman" w:cs="Times New Roman"/>
          <w:i/>
          <w:iCs/>
          <w:sz w:val="24"/>
          <w:szCs w:val="24"/>
        </w:rPr>
      </w:pPr>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r w:rsidRPr="007121A6">
        <w:rPr>
          <w:rFonts w:ascii="Times New Roman" w:hAnsi="Times New Roman" w:cs="Times New Roman"/>
          <w:i/>
          <w:iCs/>
          <w:sz w:val="24"/>
          <w:szCs w:val="24"/>
        </w:rPr>
        <w:tab/>
      </w:r>
    </w:p>
    <w:p w14:paraId="07EA4EB0" w14:textId="1E5284D7" w:rsidR="00140666" w:rsidRDefault="0066001B" w:rsidP="00140666">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i/>
          <w:iCs/>
          <w:sz w:val="24"/>
          <w:szCs w:val="24"/>
        </w:rPr>
        <w:t xml:space="preserve">Id. </w:t>
      </w:r>
      <w:r w:rsidRPr="007121A6">
        <w:rPr>
          <w:rFonts w:ascii="Times New Roman" w:hAnsi="Times New Roman" w:cs="Times New Roman"/>
          <w:sz w:val="24"/>
          <w:szCs w:val="24"/>
        </w:rPr>
        <w:t xml:space="preserve">(quoting </w:t>
      </w:r>
      <w:r w:rsidRPr="007121A6">
        <w:rPr>
          <w:rFonts w:ascii="Times New Roman" w:hAnsi="Times New Roman" w:cs="Times New Roman"/>
          <w:i/>
          <w:iCs/>
          <w:sz w:val="24"/>
          <w:szCs w:val="24"/>
        </w:rPr>
        <w:t>Eng v. Cooley,</w:t>
      </w:r>
      <w:r w:rsidRPr="007121A6">
        <w:rPr>
          <w:rFonts w:ascii="Times New Roman" w:hAnsi="Times New Roman" w:cs="Times New Roman"/>
          <w:sz w:val="24"/>
          <w:szCs w:val="24"/>
        </w:rPr>
        <w:t xml:space="preserve"> 552 F.3d 1062, 1070 (9th Cir. 2009))</w:t>
      </w:r>
      <w:r w:rsidR="00140666" w:rsidRPr="00140666">
        <w:rPr>
          <w:rFonts w:ascii="Times New Roman" w:hAnsi="Times New Roman" w:cs="Times New Roman"/>
          <w:sz w:val="24"/>
          <w:szCs w:val="24"/>
        </w:rPr>
        <w:t xml:space="preserve">; </w:t>
      </w:r>
      <w:r w:rsidR="00140666" w:rsidRPr="00140666">
        <w:rPr>
          <w:rFonts w:ascii="Times New Roman" w:hAnsi="Times New Roman" w:cs="Times New Roman"/>
          <w:i/>
          <w:iCs/>
          <w:sz w:val="24"/>
          <w:szCs w:val="24"/>
        </w:rPr>
        <w:t>see</w:t>
      </w:r>
      <w:r w:rsidR="00140666" w:rsidRPr="00140666">
        <w:rPr>
          <w:rFonts w:ascii="Times New Roman" w:hAnsi="Times New Roman" w:cs="Times New Roman"/>
          <w:sz w:val="24"/>
          <w:szCs w:val="24"/>
        </w:rPr>
        <w:t xml:space="preserve"> </w:t>
      </w:r>
      <w:r w:rsidR="00140666" w:rsidRPr="00140666">
        <w:rPr>
          <w:rFonts w:ascii="Times New Roman" w:hAnsi="Times New Roman" w:cs="Times New Roman"/>
          <w:i/>
          <w:iCs/>
          <w:sz w:val="24"/>
          <w:szCs w:val="24"/>
        </w:rPr>
        <w:t>Mt. Healthy City Sch. Dist. Bd. of Educ. v. Doyle</w:t>
      </w:r>
      <w:r w:rsidR="00140666" w:rsidRPr="00140666">
        <w:rPr>
          <w:rFonts w:ascii="Times New Roman" w:hAnsi="Times New Roman" w:cs="Times New Roman"/>
          <w:sz w:val="24"/>
          <w:szCs w:val="24"/>
        </w:rPr>
        <w:t xml:space="preserve">, 429 U.S. 274, 276 (1977); </w:t>
      </w:r>
      <w:r w:rsidR="00140666" w:rsidRPr="00140666">
        <w:rPr>
          <w:rFonts w:ascii="Times New Roman" w:hAnsi="Times New Roman" w:cs="Times New Roman"/>
          <w:i/>
          <w:iCs/>
          <w:sz w:val="24"/>
          <w:szCs w:val="24"/>
        </w:rPr>
        <w:t>Pickering v. Bd. of Ed. of Twp. High Sch. Dist. 205</w:t>
      </w:r>
      <w:r w:rsidR="00140666" w:rsidRPr="00140666">
        <w:rPr>
          <w:rFonts w:ascii="Times New Roman" w:hAnsi="Times New Roman" w:cs="Times New Roman"/>
          <w:sz w:val="24"/>
          <w:szCs w:val="24"/>
        </w:rPr>
        <w:t xml:space="preserve">, 391 U.S. 563, 568 (1968); </w:t>
      </w:r>
      <w:r w:rsidR="00140666" w:rsidRPr="00140666">
        <w:rPr>
          <w:rFonts w:ascii="Times New Roman" w:hAnsi="Times New Roman" w:cs="Times New Roman"/>
          <w:i/>
          <w:iCs/>
          <w:sz w:val="24"/>
          <w:szCs w:val="24"/>
        </w:rPr>
        <w:t>see also</w:t>
      </w:r>
      <w:r w:rsidR="00140666" w:rsidRPr="00140666">
        <w:rPr>
          <w:rFonts w:ascii="Times New Roman" w:hAnsi="Times New Roman" w:cs="Times New Roman"/>
          <w:sz w:val="24"/>
          <w:szCs w:val="24"/>
        </w:rPr>
        <w:t xml:space="preserve"> </w:t>
      </w:r>
      <w:r w:rsidR="00140666" w:rsidRPr="00140666">
        <w:rPr>
          <w:rFonts w:ascii="Times New Roman" w:hAnsi="Times New Roman" w:cs="Times New Roman"/>
          <w:i/>
          <w:iCs/>
          <w:sz w:val="24"/>
          <w:szCs w:val="24"/>
        </w:rPr>
        <w:t>Dodge v. Evergreen Sch. Dist. #114</w:t>
      </w:r>
      <w:r w:rsidR="00140666" w:rsidRPr="00140666">
        <w:rPr>
          <w:rFonts w:ascii="Times New Roman" w:hAnsi="Times New Roman" w:cs="Times New Roman"/>
          <w:sz w:val="24"/>
          <w:szCs w:val="24"/>
        </w:rPr>
        <w:t xml:space="preserve">, 56 F.4th 767, 776-77 (9th Cir. 2022) (setting forth legal standard for public employee First Amendment retaliation claims); </w:t>
      </w:r>
      <w:r w:rsidR="00140666" w:rsidRPr="00140666">
        <w:rPr>
          <w:rFonts w:ascii="Times New Roman" w:hAnsi="Times New Roman" w:cs="Times New Roman"/>
          <w:i/>
          <w:iCs/>
          <w:sz w:val="24"/>
          <w:szCs w:val="24"/>
        </w:rPr>
        <w:t>Riley’s Am. Heritage Farms v. Elsasser</w:t>
      </w:r>
      <w:r w:rsidR="00140666" w:rsidRPr="00140666">
        <w:rPr>
          <w:rFonts w:ascii="Times New Roman" w:hAnsi="Times New Roman" w:cs="Times New Roman"/>
          <w:sz w:val="24"/>
          <w:szCs w:val="24"/>
        </w:rPr>
        <w:t xml:space="preserve">, 32 F.4th 707, 721 (9th Cir. 2022) (same).  </w:t>
      </w:r>
    </w:p>
    <w:p w14:paraId="0D9313D1" w14:textId="77777777" w:rsidR="00140666" w:rsidRPr="00140666" w:rsidRDefault="00140666" w:rsidP="00140666">
      <w:pPr>
        <w:autoSpaceDE w:val="0"/>
        <w:autoSpaceDN w:val="0"/>
        <w:adjustRightInd w:val="0"/>
        <w:spacing w:after="0" w:line="240" w:lineRule="auto"/>
        <w:rPr>
          <w:rFonts w:ascii="Times New Roman" w:hAnsi="Times New Roman" w:cs="Times New Roman"/>
          <w:sz w:val="24"/>
          <w:szCs w:val="24"/>
        </w:rPr>
      </w:pPr>
    </w:p>
    <w:p w14:paraId="60A073BF" w14:textId="1A549AA6" w:rsidR="00994FC0" w:rsidRPr="007121A6" w:rsidRDefault="00140666" w:rsidP="00994FC0">
      <w:pPr>
        <w:autoSpaceDE w:val="0"/>
        <w:autoSpaceDN w:val="0"/>
        <w:adjustRightInd w:val="0"/>
        <w:spacing w:after="0" w:line="240" w:lineRule="auto"/>
        <w:rPr>
          <w:rFonts w:ascii="Times New Roman" w:hAnsi="Times New Roman" w:cs="Times New Roman"/>
          <w:sz w:val="24"/>
          <w:szCs w:val="24"/>
        </w:rPr>
      </w:pPr>
      <w:r w:rsidRPr="00140666">
        <w:rPr>
          <w:rFonts w:ascii="Times New Roman" w:hAnsi="Times New Roman" w:cs="Times New Roman"/>
          <w:sz w:val="24"/>
          <w:szCs w:val="24"/>
        </w:rPr>
        <w:tab/>
        <w:t xml:space="preserve">Under the framework above, the government employee bears the burden of proving the first three steps of the test.  </w:t>
      </w:r>
      <w:r w:rsidRPr="00140666">
        <w:rPr>
          <w:rFonts w:ascii="Times New Roman" w:hAnsi="Times New Roman" w:cs="Times New Roman"/>
          <w:i/>
          <w:iCs/>
          <w:sz w:val="24"/>
          <w:szCs w:val="24"/>
        </w:rPr>
        <w:t>See</w:t>
      </w:r>
      <w:r w:rsidRPr="00140666">
        <w:rPr>
          <w:rFonts w:ascii="Times New Roman" w:hAnsi="Times New Roman" w:cs="Times New Roman"/>
          <w:sz w:val="24"/>
          <w:szCs w:val="24"/>
        </w:rPr>
        <w:t xml:space="preserve"> </w:t>
      </w:r>
      <w:r w:rsidRPr="00140666">
        <w:rPr>
          <w:rFonts w:ascii="Times New Roman" w:hAnsi="Times New Roman" w:cs="Times New Roman"/>
          <w:i/>
          <w:iCs/>
          <w:sz w:val="24"/>
          <w:szCs w:val="24"/>
        </w:rPr>
        <w:t xml:space="preserve">Moser v. Las Vegas Metro. Police </w:t>
      </w:r>
      <w:proofErr w:type="spellStart"/>
      <w:r w:rsidRPr="00140666">
        <w:rPr>
          <w:rFonts w:ascii="Times New Roman" w:hAnsi="Times New Roman" w:cs="Times New Roman"/>
          <w:i/>
          <w:iCs/>
          <w:sz w:val="24"/>
          <w:szCs w:val="24"/>
        </w:rPr>
        <w:t>Dep't</w:t>
      </w:r>
      <w:proofErr w:type="spellEnd"/>
      <w:r w:rsidRPr="00140666">
        <w:rPr>
          <w:rFonts w:ascii="Times New Roman" w:hAnsi="Times New Roman" w:cs="Times New Roman"/>
          <w:sz w:val="24"/>
          <w:szCs w:val="24"/>
        </w:rPr>
        <w:t xml:space="preserve">, 984 F.3d 900, 904 (9th Cir. 2021).  If the employee succeeds in making that threshold showing, the burden then shifts to the government to prove steps four and five.  </w:t>
      </w:r>
      <w:r w:rsidRPr="00140666">
        <w:rPr>
          <w:rFonts w:ascii="Times New Roman" w:hAnsi="Times New Roman" w:cs="Times New Roman"/>
          <w:i/>
          <w:iCs/>
          <w:sz w:val="24"/>
          <w:szCs w:val="24"/>
        </w:rPr>
        <w:t>See id.</w:t>
      </w:r>
      <w:r w:rsidRPr="00140666">
        <w:rPr>
          <w:rFonts w:ascii="Times New Roman" w:hAnsi="Times New Roman" w:cs="Times New Roman"/>
          <w:sz w:val="24"/>
          <w:szCs w:val="24"/>
        </w:rPr>
        <w:t xml:space="preserve">; </w:t>
      </w:r>
      <w:r w:rsidRPr="00140666">
        <w:rPr>
          <w:rFonts w:ascii="Times New Roman" w:hAnsi="Times New Roman" w:cs="Times New Roman"/>
          <w:i/>
          <w:iCs/>
          <w:sz w:val="24"/>
          <w:szCs w:val="24"/>
        </w:rPr>
        <w:t>Ohlson v. Brady</w:t>
      </w:r>
      <w:r w:rsidRPr="00140666">
        <w:rPr>
          <w:rFonts w:ascii="Times New Roman" w:hAnsi="Times New Roman" w:cs="Times New Roman"/>
          <w:sz w:val="24"/>
          <w:szCs w:val="24"/>
        </w:rPr>
        <w:t xml:space="preserve">, 9 F.4th 1156, 1162 (9th Cir. 2021); </w:t>
      </w:r>
      <w:r w:rsidRPr="00140666">
        <w:rPr>
          <w:rFonts w:ascii="Times New Roman" w:hAnsi="Times New Roman" w:cs="Times New Roman"/>
          <w:i/>
          <w:iCs/>
          <w:sz w:val="24"/>
          <w:szCs w:val="24"/>
        </w:rPr>
        <w:t>see also Kennedy v. Bremerton Sch. Dist.</w:t>
      </w:r>
      <w:r w:rsidRPr="00140666">
        <w:rPr>
          <w:rFonts w:ascii="Times New Roman" w:hAnsi="Times New Roman" w:cs="Times New Roman"/>
          <w:sz w:val="24"/>
          <w:szCs w:val="24"/>
        </w:rPr>
        <w:t xml:space="preserve">, </w:t>
      </w:r>
      <w:r w:rsidR="00A15A82" w:rsidRPr="00A15A82">
        <w:rPr>
          <w:rFonts w:ascii="Times New Roman" w:hAnsi="Times New Roman" w:cs="Times New Roman"/>
          <w:sz w:val="24"/>
          <w:szCs w:val="24"/>
        </w:rPr>
        <w:t xml:space="preserve">597 U.S. 507, 531 </w:t>
      </w:r>
      <w:r w:rsidRPr="00140666">
        <w:rPr>
          <w:rFonts w:ascii="Times New Roman" w:hAnsi="Times New Roman" w:cs="Times New Roman"/>
          <w:sz w:val="24"/>
          <w:szCs w:val="24"/>
        </w:rPr>
        <w:t xml:space="preserve">(2022) (discussing the burden shifting framework of the </w:t>
      </w:r>
      <w:r w:rsidRPr="00140666">
        <w:rPr>
          <w:rFonts w:ascii="Times New Roman" w:hAnsi="Times New Roman" w:cs="Times New Roman"/>
          <w:i/>
          <w:iCs/>
          <w:sz w:val="24"/>
          <w:szCs w:val="24"/>
        </w:rPr>
        <w:t>Pickering</w:t>
      </w:r>
      <w:r w:rsidRPr="00140666">
        <w:rPr>
          <w:rFonts w:ascii="Times New Roman" w:hAnsi="Times New Roman" w:cs="Times New Roman"/>
          <w:sz w:val="24"/>
          <w:szCs w:val="24"/>
        </w:rPr>
        <w:t>-</w:t>
      </w:r>
      <w:r w:rsidRPr="00140666">
        <w:rPr>
          <w:rFonts w:ascii="Times New Roman" w:hAnsi="Times New Roman" w:cs="Times New Roman"/>
          <w:i/>
          <w:iCs/>
          <w:sz w:val="24"/>
          <w:szCs w:val="24"/>
        </w:rPr>
        <w:t>Garcetti</w:t>
      </w:r>
      <w:r w:rsidRPr="00140666">
        <w:rPr>
          <w:rFonts w:ascii="Times New Roman" w:hAnsi="Times New Roman" w:cs="Times New Roman"/>
          <w:sz w:val="24"/>
          <w:szCs w:val="24"/>
        </w:rPr>
        <w:t xml:space="preserve"> analysis).</w:t>
      </w:r>
    </w:p>
    <w:p w14:paraId="2640B6F0" w14:textId="77777777" w:rsidR="001557DE"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r>
    </w:p>
    <w:p w14:paraId="06E6EDAC" w14:textId="2042F6B1" w:rsidR="0066001B" w:rsidRPr="007121A6" w:rsidRDefault="0066001B" w:rsidP="00A15A82">
      <w:pPr>
        <w:autoSpaceDE w:val="0"/>
        <w:autoSpaceDN w:val="0"/>
        <w:adjustRightInd w:val="0"/>
        <w:spacing w:after="0" w:line="240" w:lineRule="auto"/>
        <w:ind w:firstLine="720"/>
        <w:rPr>
          <w:rFonts w:ascii="Times New Roman" w:hAnsi="Times New Roman" w:cs="Times New Roman"/>
          <w:sz w:val="24"/>
          <w:szCs w:val="24"/>
        </w:rPr>
      </w:pPr>
      <w:r w:rsidRPr="007121A6">
        <w:rPr>
          <w:rFonts w:ascii="Times New Roman" w:hAnsi="Times New Roman" w:cs="Times New Roman"/>
          <w:sz w:val="24"/>
          <w:szCs w:val="24"/>
        </w:rPr>
        <w:t xml:space="preserve">The “public concern inquiry is purely a question of law,” </w:t>
      </w:r>
      <w:r w:rsidRPr="007121A6">
        <w:rPr>
          <w:rFonts w:ascii="Times New Roman" w:hAnsi="Times New Roman" w:cs="Times New Roman"/>
          <w:i/>
          <w:iCs/>
          <w:sz w:val="24"/>
          <w:szCs w:val="24"/>
        </w:rPr>
        <w:t>Eng</w:t>
      </w:r>
      <w:r w:rsidRPr="007121A6">
        <w:rPr>
          <w:rFonts w:ascii="Times New Roman" w:hAnsi="Times New Roman" w:cs="Times New Roman"/>
          <w:sz w:val="24"/>
          <w:szCs w:val="24"/>
        </w:rPr>
        <w:t>, 552 F.3d at 1070, that</w:t>
      </w:r>
      <w:r w:rsidR="00A15A82">
        <w:rPr>
          <w:rFonts w:ascii="Times New Roman" w:hAnsi="Times New Roman" w:cs="Times New Roman"/>
          <w:sz w:val="24"/>
          <w:szCs w:val="24"/>
        </w:rPr>
        <w:t xml:space="preserve"> </w:t>
      </w:r>
      <w:r w:rsidRPr="007121A6">
        <w:rPr>
          <w:rFonts w:ascii="Times New Roman" w:hAnsi="Times New Roman" w:cs="Times New Roman"/>
          <w:sz w:val="24"/>
          <w:szCs w:val="24"/>
        </w:rPr>
        <w:t>depends on the “content, form, and context of a given statement, as</w:t>
      </w:r>
      <w:r w:rsidR="00A15A82">
        <w:rPr>
          <w:rFonts w:ascii="Times New Roman" w:hAnsi="Times New Roman" w:cs="Times New Roman"/>
          <w:sz w:val="24"/>
          <w:szCs w:val="24"/>
        </w:rPr>
        <w:t xml:space="preserve"> </w:t>
      </w:r>
      <w:r w:rsidRPr="007121A6">
        <w:rPr>
          <w:rFonts w:ascii="Times New Roman" w:hAnsi="Times New Roman" w:cs="Times New Roman"/>
          <w:sz w:val="24"/>
          <w:szCs w:val="24"/>
        </w:rPr>
        <w:t xml:space="preserve">revealed by the whole record.”  </w:t>
      </w:r>
      <w:r w:rsidR="00140666" w:rsidRPr="00140666">
        <w:rPr>
          <w:rFonts w:ascii="Times New Roman" w:hAnsi="Times New Roman" w:cs="Times New Roman"/>
          <w:i/>
          <w:iCs/>
          <w:sz w:val="24"/>
          <w:szCs w:val="24"/>
        </w:rPr>
        <w:t xml:space="preserve">Moser v. Las Vegas Metro. Police </w:t>
      </w:r>
      <w:proofErr w:type="spellStart"/>
      <w:r w:rsidR="00140666" w:rsidRPr="00140666">
        <w:rPr>
          <w:rFonts w:ascii="Times New Roman" w:hAnsi="Times New Roman" w:cs="Times New Roman"/>
          <w:i/>
          <w:iCs/>
          <w:sz w:val="24"/>
          <w:szCs w:val="24"/>
        </w:rPr>
        <w:t>Dep’t</w:t>
      </w:r>
      <w:proofErr w:type="spellEnd"/>
      <w:r w:rsidR="00140666" w:rsidRPr="00140666">
        <w:rPr>
          <w:rFonts w:ascii="Times New Roman" w:hAnsi="Times New Roman" w:cs="Times New Roman"/>
          <w:sz w:val="24"/>
          <w:szCs w:val="24"/>
        </w:rPr>
        <w:t>, 984 F.3d 900, 905 (9th Cir. 2021) (quoting</w:t>
      </w:r>
      <w:r w:rsidR="00140666" w:rsidRPr="00140666">
        <w:rPr>
          <w:rFonts w:ascii="Times New Roman" w:hAnsi="Times New Roman" w:cs="Times New Roman"/>
          <w:i/>
          <w:iCs/>
          <w:sz w:val="24"/>
          <w:szCs w:val="24"/>
        </w:rPr>
        <w:t xml:space="preserve"> Connick v. Myers</w:t>
      </w:r>
      <w:r w:rsidR="00140666" w:rsidRPr="00140666">
        <w:rPr>
          <w:rFonts w:ascii="Times New Roman" w:hAnsi="Times New Roman" w:cs="Times New Roman"/>
          <w:sz w:val="24"/>
          <w:szCs w:val="24"/>
        </w:rPr>
        <w:t>, 461 U.S. 138, 147-48 (1983))</w:t>
      </w:r>
      <w:r w:rsidR="00A15A82">
        <w:rPr>
          <w:rFonts w:ascii="Times New Roman" w:hAnsi="Times New Roman" w:cs="Times New Roman"/>
          <w:sz w:val="24"/>
          <w:szCs w:val="24"/>
        </w:rPr>
        <w:t xml:space="preserve">; </w:t>
      </w:r>
      <w:r w:rsidR="00A15A82" w:rsidRPr="00A169E2">
        <w:rPr>
          <w:rFonts w:ascii="Times New Roman" w:hAnsi="Times New Roman" w:cs="Times New Roman"/>
          <w:i/>
          <w:iCs/>
          <w:sz w:val="24"/>
          <w:szCs w:val="24"/>
        </w:rPr>
        <w:t xml:space="preserve">see also Adams v. County of Sacramento, </w:t>
      </w:r>
      <w:r w:rsidR="00A15A82" w:rsidRPr="00A169E2">
        <w:rPr>
          <w:rFonts w:ascii="Times New Roman" w:hAnsi="Times New Roman" w:cs="Times New Roman"/>
          <w:sz w:val="24"/>
          <w:szCs w:val="24"/>
        </w:rPr>
        <w:t>116 F.4th 1004 (9th Cir. 2024) (holding that private text exchange related to offensive images did not involve a matter of public concern)</w:t>
      </w:r>
      <w:r w:rsidR="00140666" w:rsidRPr="00140666">
        <w:rPr>
          <w:rFonts w:ascii="Times New Roman" w:hAnsi="Times New Roman" w:cs="Times New Roman"/>
          <w:sz w:val="24"/>
          <w:szCs w:val="24"/>
        </w:rPr>
        <w:t>.</w:t>
      </w:r>
    </w:p>
    <w:p w14:paraId="6438949B"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69A9F631" w14:textId="13CD27A9"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 xml:space="preserve">In </w:t>
      </w:r>
      <w:r w:rsidRPr="007121A6">
        <w:rPr>
          <w:rFonts w:ascii="Times New Roman" w:hAnsi="Times New Roman" w:cs="Times New Roman"/>
          <w:i/>
          <w:iCs/>
          <w:sz w:val="24"/>
          <w:szCs w:val="24"/>
        </w:rPr>
        <w:t>Garcetti</w:t>
      </w:r>
      <w:r w:rsidRPr="007121A6">
        <w:rPr>
          <w:rFonts w:ascii="Times New Roman" w:hAnsi="Times New Roman" w:cs="Times New Roman"/>
          <w:sz w:val="24"/>
          <w:szCs w:val="24"/>
        </w:rPr>
        <w:t>,</w:t>
      </w:r>
      <w:r w:rsidR="00140666">
        <w:rPr>
          <w:rFonts w:ascii="Times New Roman" w:hAnsi="Times New Roman" w:cs="Times New Roman"/>
          <w:sz w:val="24"/>
          <w:szCs w:val="24"/>
        </w:rPr>
        <w:t xml:space="preserve"> the Supreme Court </w:t>
      </w:r>
      <w:proofErr w:type="spellStart"/>
      <w:proofErr w:type="gramStart"/>
      <w:r w:rsidR="00140666">
        <w:rPr>
          <w:rFonts w:ascii="Times New Roman" w:hAnsi="Times New Roman" w:cs="Times New Roman"/>
          <w:sz w:val="24"/>
          <w:szCs w:val="24"/>
        </w:rPr>
        <w:t>held</w:t>
      </w:r>
      <w:r w:rsidRPr="007121A6">
        <w:rPr>
          <w:rFonts w:ascii="Times New Roman" w:hAnsi="Times New Roman" w:cs="Times New Roman"/>
          <w:sz w:val="24"/>
          <w:szCs w:val="24"/>
        </w:rPr>
        <w:t>“</w:t>
      </w:r>
      <w:proofErr w:type="gramEnd"/>
      <w:r w:rsidRPr="007121A6">
        <w:rPr>
          <w:rFonts w:ascii="Times New Roman" w:hAnsi="Times New Roman" w:cs="Times New Roman"/>
          <w:sz w:val="24"/>
          <w:szCs w:val="24"/>
        </w:rPr>
        <w:t>that</w:t>
      </w:r>
      <w:proofErr w:type="spellEnd"/>
      <w:r w:rsidRPr="007121A6">
        <w:rPr>
          <w:rFonts w:ascii="Times New Roman" w:hAnsi="Times New Roman" w:cs="Times New Roman"/>
          <w:sz w:val="24"/>
          <w:szCs w:val="24"/>
        </w:rPr>
        <w:t xml:space="preserve"> when public employees make statements pursuant to their official duties, the employees are not speaking as citizens for First Amendment purposes, and the Constitution does not insulate their communications from employer discipline.”  547 U.S. at 421-22.  The Supreme Court, however, limited its ruling in two respects.  First, in an explicit effort to avoid having its holding serve as an invitation for employers to restrict employees’ rights “by creating excessively broad job descriptions,” the Court noted that “the listing of a given task in an employee’s written job description is neither necessary nor </w:t>
      </w:r>
      <w:r w:rsidRPr="007121A6">
        <w:rPr>
          <w:rFonts w:ascii="Times New Roman" w:hAnsi="Times New Roman" w:cs="Times New Roman"/>
          <w:sz w:val="24"/>
          <w:szCs w:val="24"/>
        </w:rPr>
        <w:lastRenderedPageBreak/>
        <w:t xml:space="preserve">sufficient to demonstrate that conducting the task is within the scope of the employee’s professional duties for First Amendment purposes.”  </w:t>
      </w:r>
      <w:r w:rsidRPr="007121A6">
        <w:rPr>
          <w:rFonts w:ascii="Times New Roman" w:hAnsi="Times New Roman" w:cs="Times New Roman"/>
          <w:i/>
          <w:iCs/>
          <w:sz w:val="24"/>
          <w:szCs w:val="24"/>
        </w:rPr>
        <w:t>Id</w:t>
      </w:r>
      <w:r w:rsidRPr="007121A6">
        <w:rPr>
          <w:rFonts w:ascii="Times New Roman" w:hAnsi="Times New Roman" w:cs="Times New Roman"/>
          <w:sz w:val="24"/>
          <w:szCs w:val="24"/>
        </w:rPr>
        <w:t xml:space="preserve">. at 424-25.  Second, the Court recognized that </w:t>
      </w:r>
    </w:p>
    <w:p w14:paraId="6F692EDD" w14:textId="77777777" w:rsidR="0066001B" w:rsidRPr="007121A6" w:rsidRDefault="0066001B" w:rsidP="0066001B">
      <w:pPr>
        <w:autoSpaceDE w:val="0"/>
        <w:autoSpaceDN w:val="0"/>
        <w:adjustRightInd w:val="0"/>
        <w:spacing w:after="0" w:line="240" w:lineRule="auto"/>
        <w:ind w:left="720" w:right="720"/>
        <w:jc w:val="both"/>
        <w:rPr>
          <w:rFonts w:ascii="Times New Roman" w:hAnsi="Times New Roman" w:cs="Times New Roman"/>
          <w:sz w:val="24"/>
          <w:szCs w:val="24"/>
        </w:rPr>
      </w:pPr>
      <w:r w:rsidRPr="007121A6">
        <w:rPr>
          <w:rFonts w:ascii="Times New Roman" w:hAnsi="Times New Roman" w:cs="Times New Roman"/>
          <w:sz w:val="24"/>
          <w:szCs w:val="24"/>
        </w:rPr>
        <w:t xml:space="preserve">[t]here is some argument that expression related to academic scholarship or classroom instruction implicates additional constitutional interests that are not fully accounted for by this Court’s customary employee-speech jurisprudence … [F]or that reason [we] do </w:t>
      </w:r>
      <w:proofErr w:type="gramStart"/>
      <w:r w:rsidRPr="007121A6">
        <w:rPr>
          <w:rFonts w:ascii="Times New Roman" w:hAnsi="Times New Roman" w:cs="Times New Roman"/>
          <w:sz w:val="24"/>
          <w:szCs w:val="24"/>
        </w:rPr>
        <w:t>not[</w:t>
      </w:r>
      <w:proofErr w:type="gramEnd"/>
      <w:r w:rsidRPr="007121A6">
        <w:rPr>
          <w:rFonts w:ascii="Times New Roman" w:hAnsi="Times New Roman" w:cs="Times New Roman"/>
          <w:sz w:val="24"/>
          <w:szCs w:val="24"/>
        </w:rPr>
        <w:t>] decide whether the analysis we conduct today would apply in the same manner to a case involving speech related to scholarship or teaching.</w:t>
      </w:r>
    </w:p>
    <w:p w14:paraId="3137C5A7" w14:textId="77777777" w:rsidR="0066001B" w:rsidRPr="007121A6" w:rsidRDefault="0066001B" w:rsidP="0066001B">
      <w:pPr>
        <w:autoSpaceDE w:val="0"/>
        <w:autoSpaceDN w:val="0"/>
        <w:adjustRightInd w:val="0"/>
        <w:spacing w:after="0" w:line="240" w:lineRule="auto"/>
        <w:ind w:left="720" w:right="720"/>
        <w:rPr>
          <w:rFonts w:ascii="Times New Roman" w:hAnsi="Times New Roman" w:cs="Times New Roman"/>
          <w:sz w:val="24"/>
          <w:szCs w:val="24"/>
        </w:rPr>
      </w:pPr>
    </w:p>
    <w:p w14:paraId="43A66AC3"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Id</w:t>
      </w:r>
      <w:r w:rsidRPr="007121A6">
        <w:rPr>
          <w:rFonts w:ascii="Times New Roman" w:hAnsi="Times New Roman" w:cs="Times New Roman"/>
          <w:sz w:val="24"/>
          <w:szCs w:val="24"/>
        </w:rPr>
        <w:t>. at 425.</w:t>
      </w:r>
    </w:p>
    <w:p w14:paraId="625AA589"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2BD2B650" w14:textId="1E36B9A9" w:rsidR="00C423E7" w:rsidRPr="00C423E7" w:rsidRDefault="0066001B" w:rsidP="00C423E7">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 xml:space="preserve">In </w:t>
      </w:r>
      <w:r w:rsidRPr="007121A6">
        <w:rPr>
          <w:rFonts w:ascii="Times New Roman" w:hAnsi="Times New Roman" w:cs="Times New Roman"/>
          <w:i/>
          <w:iCs/>
          <w:sz w:val="24"/>
          <w:szCs w:val="24"/>
        </w:rPr>
        <w:t>Demers v. Austin</w:t>
      </w:r>
      <w:r w:rsidRPr="007121A6">
        <w:rPr>
          <w:rFonts w:ascii="Times New Roman" w:hAnsi="Times New Roman" w:cs="Times New Roman"/>
          <w:sz w:val="24"/>
          <w:szCs w:val="24"/>
        </w:rPr>
        <w:t>, 746 F.3d 402, 406 (9th Cir. 2014), however, the Ninth Circuit answered the latter question and held that “</w:t>
      </w:r>
      <w:r w:rsidRPr="007121A6">
        <w:rPr>
          <w:rFonts w:ascii="Times New Roman" w:hAnsi="Times New Roman" w:cs="Times New Roman"/>
          <w:i/>
          <w:iCs/>
          <w:sz w:val="24"/>
          <w:szCs w:val="24"/>
        </w:rPr>
        <w:t>Garcetti</w:t>
      </w:r>
      <w:r w:rsidRPr="007121A6">
        <w:rPr>
          <w:rFonts w:ascii="Times New Roman" w:hAnsi="Times New Roman" w:cs="Times New Roman"/>
          <w:sz w:val="24"/>
          <w:szCs w:val="24"/>
        </w:rPr>
        <w:t xml:space="preserve"> does not apply to ‘speech related to scholarship or teaching.’”  Rather, the Ninth Circuit held that such speech is governed by </w:t>
      </w:r>
      <w:r w:rsidRPr="007121A6">
        <w:rPr>
          <w:rFonts w:ascii="Times New Roman" w:hAnsi="Times New Roman" w:cs="Times New Roman"/>
          <w:i/>
          <w:iCs/>
          <w:sz w:val="24"/>
          <w:szCs w:val="24"/>
        </w:rPr>
        <w:t>Pickering v. Board of Education</w:t>
      </w:r>
      <w:r w:rsidRPr="007121A6">
        <w:rPr>
          <w:rFonts w:ascii="Times New Roman" w:hAnsi="Times New Roman" w:cs="Times New Roman"/>
          <w:sz w:val="24"/>
          <w:szCs w:val="24"/>
        </w:rPr>
        <w:t xml:space="preserve">, 391 U.S. 563 (1968) (considering speech by public school teacher critical of school board).  </w:t>
      </w:r>
      <w:r w:rsidRPr="007121A6">
        <w:rPr>
          <w:rFonts w:ascii="Times New Roman" w:hAnsi="Times New Roman" w:cs="Times New Roman"/>
          <w:i/>
          <w:iCs/>
          <w:sz w:val="24"/>
          <w:szCs w:val="24"/>
        </w:rPr>
        <w:t>Id</w:t>
      </w:r>
      <w:r w:rsidRPr="007121A6">
        <w:rPr>
          <w:rFonts w:ascii="Times New Roman" w:hAnsi="Times New Roman" w:cs="Times New Roman"/>
          <w:sz w:val="24"/>
          <w:szCs w:val="24"/>
        </w:rPr>
        <w:t xml:space="preserve">.  The </w:t>
      </w:r>
      <w:r w:rsidRPr="007121A6">
        <w:rPr>
          <w:rFonts w:ascii="Times New Roman" w:hAnsi="Times New Roman" w:cs="Times New Roman"/>
          <w:i/>
          <w:iCs/>
          <w:sz w:val="24"/>
          <w:szCs w:val="24"/>
        </w:rPr>
        <w:t>Demers</w:t>
      </w:r>
      <w:r w:rsidRPr="007121A6">
        <w:rPr>
          <w:rFonts w:ascii="Times New Roman" w:hAnsi="Times New Roman" w:cs="Times New Roman"/>
          <w:sz w:val="24"/>
          <w:szCs w:val="24"/>
        </w:rPr>
        <w:t xml:space="preserve"> court went on to conclude that a state university professor’s plan for changes in his department addressed a matter of public concern under </w:t>
      </w:r>
      <w:r w:rsidRPr="007121A6">
        <w:rPr>
          <w:rFonts w:ascii="Times New Roman" w:hAnsi="Times New Roman" w:cs="Times New Roman"/>
          <w:i/>
          <w:iCs/>
          <w:sz w:val="24"/>
          <w:szCs w:val="24"/>
        </w:rPr>
        <w:t>Pickering</w:t>
      </w:r>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Id</w:t>
      </w:r>
      <w:r w:rsidRPr="007121A6">
        <w:rPr>
          <w:rFonts w:ascii="Times New Roman" w:hAnsi="Times New Roman" w:cs="Times New Roman"/>
          <w:sz w:val="24"/>
          <w:szCs w:val="24"/>
        </w:rPr>
        <w:t xml:space="preserve">. at 414-17.  </w:t>
      </w:r>
      <w:r w:rsidR="00C423E7" w:rsidRPr="00C423E7">
        <w:rPr>
          <w:rFonts w:ascii="Times New Roman" w:hAnsi="Times New Roman" w:cs="Times New Roman"/>
          <w:sz w:val="24"/>
          <w:szCs w:val="24"/>
        </w:rPr>
        <w:t xml:space="preserve">By contrast, in </w:t>
      </w:r>
      <w:r w:rsidR="00C423E7" w:rsidRPr="00C423E7">
        <w:rPr>
          <w:rFonts w:ascii="Times New Roman" w:hAnsi="Times New Roman" w:cs="Times New Roman"/>
          <w:i/>
          <w:iCs/>
          <w:sz w:val="24"/>
          <w:szCs w:val="24"/>
        </w:rPr>
        <w:t>Kennedy v. Bremerton School District</w:t>
      </w:r>
      <w:r w:rsidR="00C423E7" w:rsidRPr="00C423E7">
        <w:rPr>
          <w:rFonts w:ascii="Times New Roman" w:hAnsi="Times New Roman" w:cs="Times New Roman"/>
          <w:sz w:val="24"/>
          <w:szCs w:val="24"/>
        </w:rPr>
        <w:t>, the Supreme Court</w:t>
      </w:r>
      <w:r w:rsidR="00C423E7">
        <w:rPr>
          <w:rFonts w:ascii="Times New Roman" w:hAnsi="Times New Roman" w:cs="Times New Roman"/>
          <w:sz w:val="24"/>
          <w:szCs w:val="24"/>
        </w:rPr>
        <w:t xml:space="preserve"> </w:t>
      </w:r>
      <w:r w:rsidR="00C423E7" w:rsidRPr="00C423E7">
        <w:rPr>
          <w:rFonts w:ascii="Times New Roman" w:hAnsi="Times New Roman" w:cs="Times New Roman"/>
          <w:sz w:val="24"/>
          <w:szCs w:val="24"/>
        </w:rPr>
        <w:t>held that a football coach spoke not as a public employee, but as a private citizen,</w:t>
      </w:r>
    </w:p>
    <w:p w14:paraId="35775A07" w14:textId="6077E316" w:rsidR="00C423E7" w:rsidRPr="00C423E7" w:rsidRDefault="00C423E7" w:rsidP="00C423E7">
      <w:pPr>
        <w:autoSpaceDE w:val="0"/>
        <w:autoSpaceDN w:val="0"/>
        <w:adjustRightInd w:val="0"/>
        <w:spacing w:after="0" w:line="240" w:lineRule="auto"/>
        <w:rPr>
          <w:rFonts w:ascii="Times New Roman" w:hAnsi="Times New Roman" w:cs="Times New Roman"/>
          <w:sz w:val="24"/>
          <w:szCs w:val="24"/>
        </w:rPr>
      </w:pPr>
      <w:r w:rsidRPr="00C423E7">
        <w:rPr>
          <w:rFonts w:ascii="Times New Roman" w:hAnsi="Times New Roman" w:cs="Times New Roman"/>
          <w:sz w:val="24"/>
          <w:szCs w:val="24"/>
        </w:rPr>
        <w:t>when he</w:t>
      </w:r>
      <w:r w:rsidRPr="00C423E7">
        <w:rPr>
          <w:rFonts w:ascii="Times New Roman" w:hAnsi="Times New Roman" w:cs="Times New Roman"/>
          <w:color w:val="FF0000"/>
          <w:sz w:val="28"/>
          <w:szCs w:val="28"/>
        </w:rPr>
        <w:t xml:space="preserve"> </w:t>
      </w:r>
      <w:r w:rsidRPr="00C423E7">
        <w:rPr>
          <w:rFonts w:ascii="Times New Roman" w:hAnsi="Times New Roman" w:cs="Times New Roman"/>
          <w:sz w:val="24"/>
          <w:szCs w:val="24"/>
        </w:rPr>
        <w:t>decided “to persist in praying quietly without his players after three games in</w:t>
      </w:r>
    </w:p>
    <w:p w14:paraId="4A8D6BC9" w14:textId="1554893A" w:rsidR="0066001B" w:rsidRPr="006F641F" w:rsidRDefault="00C423E7" w:rsidP="00C423E7">
      <w:pPr>
        <w:autoSpaceDE w:val="0"/>
        <w:autoSpaceDN w:val="0"/>
        <w:adjustRightInd w:val="0"/>
        <w:spacing w:after="0" w:line="240" w:lineRule="auto"/>
        <w:rPr>
          <w:rFonts w:ascii="Times New Roman" w:hAnsi="Times New Roman" w:cs="Times New Roman"/>
          <w:sz w:val="24"/>
          <w:szCs w:val="24"/>
        </w:rPr>
      </w:pPr>
      <w:r w:rsidRPr="00C423E7">
        <w:rPr>
          <w:rFonts w:ascii="Times New Roman" w:hAnsi="Times New Roman" w:cs="Times New Roman"/>
          <w:sz w:val="24"/>
          <w:szCs w:val="24"/>
        </w:rPr>
        <w:t xml:space="preserve">October 2015,” </w:t>
      </w:r>
      <w:r w:rsidR="00A15A82" w:rsidRPr="00E53F67">
        <w:rPr>
          <w:rFonts w:ascii="Times New Roman" w:eastAsia="Times New Roman" w:hAnsi="Times New Roman" w:cs="Times New Roman"/>
          <w:sz w:val="24"/>
          <w:szCs w:val="24"/>
        </w:rPr>
        <w:t xml:space="preserve">597 U.S. 507, 525-26 </w:t>
      </w:r>
      <w:r w:rsidRPr="00C423E7">
        <w:rPr>
          <w:rFonts w:ascii="Times New Roman" w:hAnsi="Times New Roman" w:cs="Times New Roman"/>
          <w:sz w:val="24"/>
          <w:szCs w:val="24"/>
        </w:rPr>
        <w:t>(2022), which were “the three prayers that</w:t>
      </w:r>
      <w:r>
        <w:rPr>
          <w:rFonts w:ascii="Times New Roman" w:hAnsi="Times New Roman" w:cs="Times New Roman"/>
          <w:sz w:val="24"/>
          <w:szCs w:val="24"/>
        </w:rPr>
        <w:t xml:space="preserve"> </w:t>
      </w:r>
      <w:r w:rsidRPr="00C423E7">
        <w:rPr>
          <w:rFonts w:ascii="Times New Roman" w:hAnsi="Times New Roman" w:cs="Times New Roman"/>
          <w:sz w:val="24"/>
          <w:szCs w:val="24"/>
        </w:rPr>
        <w:t xml:space="preserve">resulted in his suspension,” </w:t>
      </w:r>
      <w:r w:rsidRPr="00C423E7">
        <w:rPr>
          <w:rFonts w:ascii="Times New Roman" w:hAnsi="Times New Roman" w:cs="Times New Roman"/>
          <w:i/>
          <w:iCs/>
          <w:sz w:val="24"/>
          <w:szCs w:val="24"/>
        </w:rPr>
        <w:t xml:space="preserve">id. </w:t>
      </w:r>
      <w:r w:rsidRPr="00C423E7">
        <w:rPr>
          <w:rFonts w:ascii="Times New Roman" w:hAnsi="Times New Roman" w:cs="Times New Roman"/>
          <w:sz w:val="24"/>
          <w:szCs w:val="24"/>
        </w:rPr>
        <w:t xml:space="preserve">at </w:t>
      </w:r>
      <w:r w:rsidR="00A15A82">
        <w:rPr>
          <w:rFonts w:ascii="Times New Roman" w:hAnsi="Times New Roman" w:cs="Times New Roman"/>
          <w:sz w:val="24"/>
          <w:szCs w:val="24"/>
        </w:rPr>
        <w:t>529</w:t>
      </w:r>
      <w:r w:rsidRPr="00C423E7">
        <w:rPr>
          <w:rFonts w:ascii="Times New Roman" w:hAnsi="Times New Roman" w:cs="Times New Roman"/>
          <w:sz w:val="24"/>
          <w:szCs w:val="24"/>
        </w:rPr>
        <w:t>.</w:t>
      </w:r>
    </w:p>
    <w:p w14:paraId="2E6CD0E4"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1F9690A0"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The definition of “adverse employment action” in this instruction is substantially the same as that in Instruction 10.10 (Civil Rights—Title VII</w:t>
      </w:r>
      <w:proofErr w:type="gramStart"/>
      <w:r w:rsidRPr="007121A6">
        <w:rPr>
          <w:rFonts w:ascii="Times New Roman" w:hAnsi="Times New Roman" w:cs="Times New Roman"/>
          <w:sz w:val="24"/>
          <w:szCs w:val="24"/>
        </w:rPr>
        <w:t>—“</w:t>
      </w:r>
      <w:proofErr w:type="gramEnd"/>
      <w:r w:rsidRPr="007121A6">
        <w:rPr>
          <w:rFonts w:ascii="Times New Roman" w:hAnsi="Times New Roman" w:cs="Times New Roman"/>
          <w:sz w:val="24"/>
          <w:szCs w:val="24"/>
        </w:rPr>
        <w:t xml:space="preserve">Adverse Employment Action” in Retaliation Cases).  </w:t>
      </w:r>
      <w:r w:rsidRPr="007121A6">
        <w:rPr>
          <w:rFonts w:ascii="Times New Roman" w:hAnsi="Times New Roman" w:cs="Times New Roman"/>
          <w:i/>
          <w:iCs/>
          <w:sz w:val="24"/>
          <w:szCs w:val="24"/>
        </w:rPr>
        <w:t>See</w:t>
      </w:r>
      <w:r w:rsidRPr="007121A6">
        <w:rPr>
          <w:rFonts w:ascii="Times New Roman" w:hAnsi="Times New Roman" w:cs="Times New Roman"/>
          <w:sz w:val="24"/>
          <w:szCs w:val="24"/>
        </w:rPr>
        <w:t xml:space="preserve"> the Comment to that instruction for supporting authorities.</w:t>
      </w:r>
    </w:p>
    <w:p w14:paraId="6E36FCC6"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4E8C300A"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With respect to causation, “[</w:t>
      </w:r>
      <w:proofErr w:type="spellStart"/>
      <w:r w:rsidRPr="007121A6">
        <w:rPr>
          <w:rFonts w:ascii="Times New Roman" w:hAnsi="Times New Roman" w:cs="Times New Roman"/>
          <w:sz w:val="24"/>
          <w:szCs w:val="24"/>
        </w:rPr>
        <w:t>i</w:t>
      </w:r>
      <w:proofErr w:type="spellEnd"/>
      <w:r w:rsidRPr="007121A6">
        <w:rPr>
          <w:rFonts w:ascii="Times New Roman" w:hAnsi="Times New Roman" w:cs="Times New Roman"/>
          <w:sz w:val="24"/>
          <w:szCs w:val="24"/>
        </w:rPr>
        <w:t>]t is clear . . . that the causation is understood to be but-for</w:t>
      </w:r>
    </w:p>
    <w:p w14:paraId="0BF66421" w14:textId="40774953" w:rsidR="0014066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 xml:space="preserve">causation, without which the adverse action would not have been taken.”  </w:t>
      </w:r>
      <w:r w:rsidRPr="007121A6">
        <w:rPr>
          <w:rFonts w:ascii="Times New Roman" w:hAnsi="Times New Roman" w:cs="Times New Roman"/>
          <w:i/>
          <w:iCs/>
          <w:sz w:val="24"/>
          <w:szCs w:val="24"/>
        </w:rPr>
        <w:t>Hartman v. Moore</w:t>
      </w:r>
      <w:r w:rsidRPr="007121A6">
        <w:rPr>
          <w:rFonts w:ascii="Times New Roman" w:hAnsi="Times New Roman" w:cs="Times New Roman"/>
          <w:sz w:val="24"/>
          <w:szCs w:val="24"/>
        </w:rPr>
        <w:t xml:space="preserve">, 547 U.S. 250, 260 (2006). Thus, “upon </w:t>
      </w:r>
      <w:proofErr w:type="gramStart"/>
      <w:r w:rsidRPr="007121A6">
        <w:rPr>
          <w:rFonts w:ascii="Times New Roman" w:hAnsi="Times New Roman" w:cs="Times New Roman"/>
          <w:sz w:val="24"/>
          <w:szCs w:val="24"/>
        </w:rPr>
        <w:t>a prima facie</w:t>
      </w:r>
      <w:proofErr w:type="gramEnd"/>
      <w:r w:rsidRPr="007121A6">
        <w:rPr>
          <w:rFonts w:ascii="Times New Roman" w:hAnsi="Times New Roman" w:cs="Times New Roman"/>
          <w:sz w:val="24"/>
          <w:szCs w:val="24"/>
        </w:rPr>
        <w:t xml:space="preserve"> showing of retaliatory harm, the burden shifts to the defendant official to demonstrate that even without the impetus to retaliate he would have taken the action complained of (such as firing the employee).”  </w:t>
      </w:r>
      <w:r w:rsidRPr="007121A6">
        <w:rPr>
          <w:rFonts w:ascii="Times New Roman" w:hAnsi="Times New Roman" w:cs="Times New Roman"/>
          <w:i/>
          <w:iCs/>
          <w:sz w:val="24"/>
          <w:szCs w:val="24"/>
        </w:rPr>
        <w:t>Id</w:t>
      </w:r>
      <w:r w:rsidRPr="007121A6">
        <w:rPr>
          <w:rFonts w:ascii="Times New Roman" w:hAnsi="Times New Roman" w:cs="Times New Roman"/>
          <w:sz w:val="24"/>
          <w:szCs w:val="24"/>
        </w:rPr>
        <w:t xml:space="preserve">.  </w:t>
      </w:r>
      <w:r w:rsidR="00140666" w:rsidRPr="00140666">
        <w:rPr>
          <w:rFonts w:ascii="Times New Roman" w:hAnsi="Times New Roman" w:cs="Times New Roman"/>
          <w:sz w:val="24"/>
          <w:szCs w:val="24"/>
        </w:rPr>
        <w:t>The Ninth Circuit has held that</w:t>
      </w:r>
      <w:r w:rsidRPr="007121A6">
        <w:rPr>
          <w:rFonts w:ascii="Times New Roman" w:hAnsi="Times New Roman" w:cs="Times New Roman"/>
          <w:sz w:val="24"/>
          <w:szCs w:val="24"/>
        </w:rPr>
        <w:t xml:space="preserve"> “a final decision maker’s wholly independent, legitimate decision to terminate an employee [can] insulate from liability a lower-level supervisor involved in the process who had a retaliatory motive to have the employee fired” when, as a matter of causation, “the termination decision was not shown to be influenced by the subordinate’s retaliatory motives.”  </w:t>
      </w:r>
      <w:r w:rsidRPr="007121A6">
        <w:rPr>
          <w:rFonts w:ascii="Times New Roman" w:hAnsi="Times New Roman" w:cs="Times New Roman"/>
          <w:i/>
          <w:iCs/>
          <w:sz w:val="24"/>
          <w:szCs w:val="24"/>
        </w:rPr>
        <w:t>Lakeside-Scott v. Multnomah</w:t>
      </w:r>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County</w:t>
      </w:r>
      <w:r w:rsidRPr="007121A6">
        <w:rPr>
          <w:rFonts w:ascii="Times New Roman" w:hAnsi="Times New Roman" w:cs="Times New Roman"/>
          <w:sz w:val="24"/>
          <w:szCs w:val="24"/>
        </w:rPr>
        <w:t>, 556 F.3d 797, 799 (9th Cir. 2009)</w:t>
      </w:r>
      <w:r w:rsidR="00140666" w:rsidRPr="00140666">
        <w:rPr>
          <w:rFonts w:ascii="Times New Roman" w:hAnsi="Times New Roman" w:cs="Times New Roman"/>
          <w:sz w:val="24"/>
          <w:szCs w:val="24"/>
        </w:rPr>
        <w:t xml:space="preserve">; </w:t>
      </w:r>
      <w:r w:rsidR="00140666" w:rsidRPr="00140666">
        <w:rPr>
          <w:rFonts w:ascii="Times New Roman" w:hAnsi="Times New Roman" w:cs="Times New Roman"/>
          <w:i/>
          <w:iCs/>
          <w:sz w:val="24"/>
          <w:szCs w:val="24"/>
        </w:rPr>
        <w:t>see also Greisen v. Hanken</w:t>
      </w:r>
      <w:r w:rsidR="00140666" w:rsidRPr="00140666">
        <w:rPr>
          <w:rFonts w:ascii="Times New Roman" w:hAnsi="Times New Roman" w:cs="Times New Roman"/>
          <w:sz w:val="24"/>
          <w:szCs w:val="24"/>
        </w:rPr>
        <w:t>, 925 F.3d 1097, 1115-17 (9th Cir. 2019) (finding substantial evidence supported proximate causation conclusion even though plaintiff was terminated by defendant’s successor because “[defendant]’s actions were a casual factor in [the successor]’s decision”)</w:t>
      </w:r>
      <w:r w:rsidRPr="007121A6">
        <w:rPr>
          <w:rFonts w:ascii="Times New Roman" w:hAnsi="Times New Roman" w:cs="Times New Roman"/>
          <w:sz w:val="24"/>
          <w:szCs w:val="24"/>
        </w:rPr>
        <w:t xml:space="preserve">.  </w:t>
      </w:r>
    </w:p>
    <w:p w14:paraId="5EB3AAD5" w14:textId="77777777" w:rsidR="00140666" w:rsidRDefault="00140666" w:rsidP="0066001B">
      <w:pPr>
        <w:autoSpaceDE w:val="0"/>
        <w:autoSpaceDN w:val="0"/>
        <w:adjustRightInd w:val="0"/>
        <w:spacing w:after="0" w:line="240" w:lineRule="auto"/>
        <w:rPr>
          <w:rFonts w:ascii="Times New Roman" w:hAnsi="Times New Roman" w:cs="Times New Roman"/>
          <w:sz w:val="24"/>
          <w:szCs w:val="24"/>
        </w:rPr>
      </w:pPr>
    </w:p>
    <w:p w14:paraId="2F8A55BD" w14:textId="7880175D" w:rsidR="0066001B" w:rsidRDefault="0066001B" w:rsidP="00E575D0">
      <w:pPr>
        <w:autoSpaceDE w:val="0"/>
        <w:autoSpaceDN w:val="0"/>
        <w:adjustRightInd w:val="0"/>
        <w:spacing w:after="0" w:line="240" w:lineRule="auto"/>
        <w:ind w:firstLine="720"/>
        <w:rPr>
          <w:rFonts w:ascii="Times New Roman" w:hAnsi="Times New Roman" w:cs="Times New Roman"/>
          <w:sz w:val="24"/>
          <w:szCs w:val="24"/>
        </w:rPr>
      </w:pPr>
      <w:r w:rsidRPr="007121A6">
        <w:rPr>
          <w:rFonts w:ascii="Times New Roman" w:hAnsi="Times New Roman" w:cs="Times New Roman"/>
          <w:sz w:val="24"/>
          <w:szCs w:val="24"/>
        </w:rPr>
        <w:t>Regarding motive, the defendant’s actions must have been</w:t>
      </w:r>
      <w:r w:rsidR="00140666">
        <w:rPr>
          <w:rFonts w:ascii="Times New Roman" w:hAnsi="Times New Roman" w:cs="Times New Roman"/>
          <w:sz w:val="24"/>
          <w:szCs w:val="24"/>
        </w:rPr>
        <w:t xml:space="preserve"> </w:t>
      </w:r>
      <w:r w:rsidRPr="007121A6">
        <w:rPr>
          <w:rFonts w:ascii="Times New Roman" w:hAnsi="Times New Roman" w:cs="Times New Roman"/>
          <w:sz w:val="24"/>
          <w:szCs w:val="24"/>
        </w:rPr>
        <w:t xml:space="preserve">substantially motivated by a desire to deter or chill the employee’s speech.  </w:t>
      </w:r>
      <w:proofErr w:type="spellStart"/>
      <w:r w:rsidRPr="007121A6">
        <w:rPr>
          <w:rFonts w:ascii="Times New Roman" w:hAnsi="Times New Roman" w:cs="Times New Roman"/>
          <w:i/>
          <w:iCs/>
          <w:sz w:val="24"/>
          <w:szCs w:val="24"/>
        </w:rPr>
        <w:t>Awabdy</w:t>
      </w:r>
      <w:proofErr w:type="spellEnd"/>
      <w:r w:rsidRPr="007121A6">
        <w:rPr>
          <w:rFonts w:ascii="Times New Roman" w:hAnsi="Times New Roman" w:cs="Times New Roman"/>
          <w:i/>
          <w:iCs/>
          <w:sz w:val="24"/>
          <w:szCs w:val="24"/>
        </w:rPr>
        <w:t xml:space="preserve"> v. City of</w:t>
      </w:r>
      <w:r w:rsidR="00140666">
        <w:rPr>
          <w:rFonts w:ascii="Times New Roman" w:hAnsi="Times New Roman" w:cs="Times New Roman"/>
          <w:sz w:val="24"/>
          <w:szCs w:val="24"/>
        </w:rPr>
        <w:t xml:space="preserve"> </w:t>
      </w:r>
      <w:r w:rsidRPr="007121A6">
        <w:rPr>
          <w:rFonts w:ascii="Times New Roman" w:hAnsi="Times New Roman" w:cs="Times New Roman"/>
          <w:i/>
          <w:iCs/>
          <w:sz w:val="24"/>
          <w:szCs w:val="24"/>
        </w:rPr>
        <w:t>Adelanto</w:t>
      </w:r>
      <w:r w:rsidRPr="007121A6">
        <w:rPr>
          <w:rFonts w:ascii="Times New Roman" w:hAnsi="Times New Roman" w:cs="Times New Roman"/>
          <w:sz w:val="24"/>
          <w:szCs w:val="24"/>
        </w:rPr>
        <w:t xml:space="preserve">, 368 F.3d 1062, 1071 (9th Cir. 2004); </w:t>
      </w:r>
      <w:r w:rsidR="00140666" w:rsidRPr="00140666">
        <w:rPr>
          <w:rFonts w:ascii="Times New Roman" w:hAnsi="Times New Roman" w:cs="Times New Roman"/>
          <w:i/>
          <w:iCs/>
          <w:sz w:val="24"/>
          <w:szCs w:val="24"/>
        </w:rPr>
        <w:t>see Dodge</w:t>
      </w:r>
      <w:r w:rsidR="00140666" w:rsidRPr="00140666">
        <w:rPr>
          <w:rFonts w:ascii="Times New Roman" w:hAnsi="Times New Roman" w:cs="Times New Roman"/>
          <w:sz w:val="24"/>
          <w:szCs w:val="24"/>
        </w:rPr>
        <w:t xml:space="preserve">, 56 F.4th at 781. </w:t>
      </w:r>
      <w:proofErr w:type="gramStart"/>
      <w:r w:rsidRPr="007121A6">
        <w:rPr>
          <w:rFonts w:ascii="Times New Roman" w:hAnsi="Times New Roman" w:cs="Times New Roman"/>
          <w:sz w:val="24"/>
          <w:szCs w:val="24"/>
        </w:rPr>
        <w:t>.Defining</w:t>
      </w:r>
      <w:proofErr w:type="gramEnd"/>
      <w:r w:rsidRPr="007121A6">
        <w:rPr>
          <w:rFonts w:ascii="Times New Roman" w:hAnsi="Times New Roman" w:cs="Times New Roman"/>
          <w:sz w:val="24"/>
          <w:szCs w:val="24"/>
        </w:rPr>
        <w:t xml:space="preserve"> “substantial or motivating factor” as a “significant factor” does not misstate the law.  </w:t>
      </w:r>
      <w:r w:rsidRPr="007121A6">
        <w:rPr>
          <w:rFonts w:ascii="Times New Roman" w:hAnsi="Times New Roman" w:cs="Times New Roman"/>
          <w:i/>
          <w:iCs/>
          <w:sz w:val="24"/>
          <w:szCs w:val="24"/>
        </w:rPr>
        <w:t xml:space="preserve">Ostad v. Or. Health </w:t>
      </w:r>
      <w:proofErr w:type="spellStart"/>
      <w:r w:rsidRPr="007121A6">
        <w:rPr>
          <w:rFonts w:ascii="Times New Roman" w:hAnsi="Times New Roman" w:cs="Times New Roman"/>
          <w:i/>
          <w:iCs/>
          <w:sz w:val="24"/>
          <w:szCs w:val="24"/>
        </w:rPr>
        <w:t>Scis</w:t>
      </w:r>
      <w:proofErr w:type="spellEnd"/>
      <w:r w:rsidRPr="007121A6">
        <w:rPr>
          <w:rFonts w:ascii="Times New Roman" w:hAnsi="Times New Roman" w:cs="Times New Roman"/>
          <w:i/>
          <w:iCs/>
          <w:sz w:val="24"/>
          <w:szCs w:val="24"/>
        </w:rPr>
        <w:t>. Univ</w:t>
      </w:r>
      <w:r w:rsidRPr="007121A6">
        <w:rPr>
          <w:rFonts w:ascii="Times New Roman" w:hAnsi="Times New Roman" w:cs="Times New Roman"/>
          <w:sz w:val="24"/>
          <w:szCs w:val="24"/>
        </w:rPr>
        <w:t>., 327 F.3d 876, 884-85 (9th Cir. 2003)</w:t>
      </w:r>
      <w:r w:rsidR="00140666" w:rsidRPr="00140666">
        <w:rPr>
          <w:rFonts w:ascii="Times New Roman" w:hAnsi="Times New Roman" w:cs="Times New Roman"/>
          <w:sz w:val="24"/>
          <w:szCs w:val="24"/>
        </w:rPr>
        <w:t>;</w:t>
      </w:r>
      <w:r w:rsidR="00140666" w:rsidRPr="00140666">
        <w:rPr>
          <w:rFonts w:ascii="Times New Roman" w:hAnsi="Times New Roman" w:cs="Times New Roman"/>
          <w:i/>
          <w:iCs/>
          <w:sz w:val="24"/>
          <w:szCs w:val="24"/>
        </w:rPr>
        <w:t xml:space="preserve"> see also Capp v. City of San Diego</w:t>
      </w:r>
      <w:r w:rsidR="00140666" w:rsidRPr="00140666">
        <w:rPr>
          <w:rFonts w:ascii="Times New Roman" w:hAnsi="Times New Roman" w:cs="Times New Roman"/>
          <w:sz w:val="24"/>
          <w:szCs w:val="24"/>
        </w:rPr>
        <w:t xml:space="preserve">, 940 F.3d 1046, 1056 (9th Cir. 2019) </w:t>
      </w:r>
      <w:r w:rsidR="00140666" w:rsidRPr="00140666">
        <w:rPr>
          <w:rFonts w:ascii="Times New Roman" w:hAnsi="Times New Roman" w:cs="Times New Roman"/>
          <w:sz w:val="24"/>
          <w:szCs w:val="24"/>
        </w:rPr>
        <w:lastRenderedPageBreak/>
        <w:t>(explaining that retaliatory intent may still be one substantial or motivating factor for retaliatory conduct even if other, non-retaliatory reasons exist)</w:t>
      </w:r>
      <w:r w:rsidRPr="007121A6">
        <w:rPr>
          <w:rFonts w:ascii="Times New Roman" w:hAnsi="Times New Roman" w:cs="Times New Roman"/>
          <w:sz w:val="24"/>
          <w:szCs w:val="24"/>
        </w:rPr>
        <w:t>.</w:t>
      </w:r>
    </w:p>
    <w:p w14:paraId="1E693E60" w14:textId="77777777" w:rsidR="004B0A9A" w:rsidRPr="007121A6" w:rsidRDefault="004B0A9A" w:rsidP="0066001B">
      <w:pPr>
        <w:autoSpaceDE w:val="0"/>
        <w:autoSpaceDN w:val="0"/>
        <w:adjustRightInd w:val="0"/>
        <w:spacing w:after="0" w:line="240" w:lineRule="auto"/>
        <w:rPr>
          <w:rFonts w:ascii="Times New Roman" w:hAnsi="Times New Roman" w:cs="Times New Roman"/>
          <w:sz w:val="24"/>
          <w:szCs w:val="24"/>
        </w:rPr>
      </w:pPr>
    </w:p>
    <w:p w14:paraId="717CC164"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This instruction should be modified when an employee was allegedly subjected to an</w:t>
      </w:r>
    </w:p>
    <w:p w14:paraId="5A140260"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adverse employment action based on an employer’s erroneous belief that the employee engaged</w:t>
      </w:r>
    </w:p>
    <w:p w14:paraId="4CAC1030"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in protected speech.  In such cases, it is the employer’s motive for taking the adverse action that</w:t>
      </w:r>
    </w:p>
    <w:p w14:paraId="10FD446F" w14:textId="79FDA07B" w:rsidR="0066001B" w:rsidRPr="007121A6" w:rsidRDefault="0066001B" w:rsidP="00140666">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 xml:space="preserve">triggers the employee’s right to bring an action.  </w:t>
      </w:r>
      <w:r w:rsidRPr="007121A6">
        <w:rPr>
          <w:rFonts w:ascii="Times New Roman" w:hAnsi="Times New Roman" w:cs="Times New Roman"/>
          <w:i/>
          <w:iCs/>
          <w:sz w:val="24"/>
          <w:szCs w:val="24"/>
        </w:rPr>
        <w:t>See Heffernan v. City of Paterson</w:t>
      </w:r>
      <w:r w:rsidRPr="007121A6">
        <w:rPr>
          <w:rFonts w:ascii="Times New Roman" w:hAnsi="Times New Roman" w:cs="Times New Roman"/>
          <w:sz w:val="24"/>
          <w:szCs w:val="24"/>
        </w:rPr>
        <w:t xml:space="preserve">, </w:t>
      </w:r>
      <w:r w:rsidR="00140666" w:rsidRPr="00140666">
        <w:rPr>
          <w:rFonts w:ascii="Times New Roman" w:hAnsi="Times New Roman" w:cs="Times New Roman"/>
          <w:sz w:val="24"/>
          <w:szCs w:val="24"/>
        </w:rPr>
        <w:t>578 U.S. 266, 273</w:t>
      </w:r>
      <w:r w:rsidRPr="007121A6">
        <w:rPr>
          <w:rFonts w:ascii="Times New Roman" w:hAnsi="Times New Roman" w:cs="Times New Roman"/>
          <w:sz w:val="24"/>
          <w:szCs w:val="24"/>
        </w:rPr>
        <w:t>(2016) (</w:t>
      </w:r>
      <w:r w:rsidR="00140666" w:rsidRPr="00140666">
        <w:rPr>
          <w:rFonts w:ascii="Times New Roman" w:hAnsi="Times New Roman" w:cs="Times New Roman"/>
          <w:sz w:val="24"/>
          <w:szCs w:val="24"/>
        </w:rPr>
        <w:t>“When an employer demotes an employee out of a desire to prevent the employee from engaging in political activity that the First Amendment protects, the employee is entitled to challenge that unlawful action under the First Amendment and 42 U.S.C. § 1983—even if, as here, the employer makes a factual mistake about the employee’s behavior.”</w:t>
      </w:r>
      <w:r w:rsidRPr="007121A6">
        <w:rPr>
          <w:rFonts w:ascii="Times New Roman" w:hAnsi="Times New Roman" w:cs="Times New Roman"/>
          <w:sz w:val="24"/>
          <w:szCs w:val="24"/>
        </w:rPr>
        <w:t>).</w:t>
      </w:r>
    </w:p>
    <w:p w14:paraId="5F370680"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5D0154D5" w14:textId="3D3FB97C"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 xml:space="preserve">This instruction also should be modified when a public employee alleges an adverse employment action based on the employee’s refusal to enter into an unconstitutional prior restraint, limiting the public employee’s right to speak as a private citizen on a matter of public concern.  </w:t>
      </w:r>
      <w:r w:rsidRPr="007121A6">
        <w:rPr>
          <w:rFonts w:ascii="Times New Roman" w:hAnsi="Times New Roman" w:cs="Times New Roman"/>
          <w:i/>
          <w:iCs/>
          <w:sz w:val="24"/>
          <w:szCs w:val="24"/>
        </w:rPr>
        <w:t>See Barone v. City of Springfield</w:t>
      </w:r>
      <w:r w:rsidRPr="007121A6">
        <w:rPr>
          <w:rFonts w:ascii="Times New Roman" w:hAnsi="Times New Roman" w:cs="Times New Roman"/>
          <w:sz w:val="24"/>
          <w:szCs w:val="24"/>
        </w:rPr>
        <w:t xml:space="preserve">, 902 F.3d 1091, 1101-06 (9th Cir. 2018).  </w:t>
      </w:r>
    </w:p>
    <w:p w14:paraId="03F72840" w14:textId="77777777" w:rsidR="00E465AB" w:rsidRDefault="00E465AB" w:rsidP="00E465AB">
      <w:pPr>
        <w:autoSpaceDE w:val="0"/>
        <w:autoSpaceDN w:val="0"/>
        <w:adjustRightInd w:val="0"/>
        <w:spacing w:after="0" w:line="240" w:lineRule="auto"/>
        <w:rPr>
          <w:rFonts w:ascii="Times New Roman" w:hAnsi="Times New Roman" w:cs="Times New Roman"/>
          <w:sz w:val="24"/>
          <w:szCs w:val="24"/>
        </w:rPr>
      </w:pPr>
    </w:p>
    <w:p w14:paraId="5BCD1AB6" w14:textId="0D40A499" w:rsidR="00E465AB" w:rsidRPr="00E465AB" w:rsidRDefault="00E465AB" w:rsidP="00074FF0">
      <w:pPr>
        <w:autoSpaceDE w:val="0"/>
        <w:autoSpaceDN w:val="0"/>
        <w:adjustRightInd w:val="0"/>
        <w:spacing w:after="0" w:line="240" w:lineRule="auto"/>
        <w:ind w:firstLine="720"/>
        <w:rPr>
          <w:rFonts w:ascii="Times New Roman" w:hAnsi="Times New Roman" w:cs="Times New Roman"/>
          <w:sz w:val="24"/>
          <w:szCs w:val="24"/>
        </w:rPr>
      </w:pPr>
      <w:r w:rsidRPr="00E465AB">
        <w:rPr>
          <w:rFonts w:ascii="Times New Roman" w:hAnsi="Times New Roman" w:cs="Times New Roman"/>
          <w:sz w:val="24"/>
          <w:szCs w:val="24"/>
        </w:rPr>
        <w:t xml:space="preserve">“Although the [Supreme] Court first applied this framework to government employees, it extended its application to retaliation cases brought by government contractors because ‘the similarities between government employees and government contractors with respect to this issue are obvious.’”  </w:t>
      </w:r>
      <w:r w:rsidRPr="00E465AB">
        <w:rPr>
          <w:rFonts w:ascii="Times New Roman" w:hAnsi="Times New Roman" w:cs="Times New Roman"/>
          <w:i/>
          <w:iCs/>
          <w:sz w:val="24"/>
          <w:szCs w:val="24"/>
        </w:rPr>
        <w:t>Riley’s Am. Heritage Farms</w:t>
      </w:r>
      <w:r w:rsidRPr="00E465AB">
        <w:rPr>
          <w:rFonts w:ascii="Times New Roman" w:hAnsi="Times New Roman" w:cs="Times New Roman"/>
          <w:sz w:val="24"/>
          <w:szCs w:val="24"/>
        </w:rPr>
        <w:t xml:space="preserve">, 32 F.4th at 720 (quoting </w:t>
      </w:r>
      <w:r w:rsidRPr="00E465AB">
        <w:rPr>
          <w:rFonts w:ascii="Times New Roman" w:hAnsi="Times New Roman" w:cs="Times New Roman"/>
          <w:i/>
          <w:iCs/>
          <w:sz w:val="24"/>
          <w:szCs w:val="24"/>
        </w:rPr>
        <w:t xml:space="preserve">Bd. of </w:t>
      </w:r>
      <w:proofErr w:type="spellStart"/>
      <w:r w:rsidRPr="00E465AB">
        <w:rPr>
          <w:rFonts w:ascii="Times New Roman" w:hAnsi="Times New Roman" w:cs="Times New Roman"/>
          <w:i/>
          <w:iCs/>
          <w:sz w:val="24"/>
          <w:szCs w:val="24"/>
        </w:rPr>
        <w:t>Cnty</w:t>
      </w:r>
      <w:proofErr w:type="spellEnd"/>
      <w:r w:rsidRPr="00E465AB">
        <w:rPr>
          <w:rFonts w:ascii="Times New Roman" w:hAnsi="Times New Roman" w:cs="Times New Roman"/>
          <w:i/>
          <w:iCs/>
          <w:sz w:val="24"/>
          <w:szCs w:val="24"/>
        </w:rPr>
        <w:t xml:space="preserve">. Comm’rs, Wabaunsee </w:t>
      </w:r>
      <w:proofErr w:type="spellStart"/>
      <w:r w:rsidRPr="00E465AB">
        <w:rPr>
          <w:rFonts w:ascii="Times New Roman" w:hAnsi="Times New Roman" w:cs="Times New Roman"/>
          <w:i/>
          <w:iCs/>
          <w:sz w:val="24"/>
          <w:szCs w:val="24"/>
        </w:rPr>
        <w:t>Cnty</w:t>
      </w:r>
      <w:proofErr w:type="spellEnd"/>
      <w:r w:rsidRPr="00E465AB">
        <w:rPr>
          <w:rFonts w:ascii="Times New Roman" w:hAnsi="Times New Roman" w:cs="Times New Roman"/>
          <w:i/>
          <w:iCs/>
          <w:sz w:val="24"/>
          <w:szCs w:val="24"/>
        </w:rPr>
        <w:t>., Kan. v. Umbehr</w:t>
      </w:r>
      <w:r w:rsidRPr="00E465AB">
        <w:rPr>
          <w:rFonts w:ascii="Times New Roman" w:hAnsi="Times New Roman" w:cs="Times New Roman"/>
          <w:sz w:val="24"/>
          <w:szCs w:val="24"/>
        </w:rPr>
        <w:t xml:space="preserve">, 518 U.S. 668, 674 (1996)).  Moreover, the Ninth Circuit has extended this framework “to a range of situations where ‘the relationship between the parties is analogous to that between an employer and employee,’” including cases involving “a business vendor operating under a contract with the government for weatherization services,” “a domestic violence counselor employed by a private company that performed counseling services for a municipal court,” and “a volunteer probation officer.”  </w:t>
      </w:r>
      <w:r w:rsidRPr="00E465AB">
        <w:rPr>
          <w:rFonts w:ascii="Times New Roman" w:hAnsi="Times New Roman" w:cs="Times New Roman"/>
          <w:i/>
          <w:iCs/>
          <w:sz w:val="24"/>
          <w:szCs w:val="24"/>
        </w:rPr>
        <w:t>Id.</w:t>
      </w:r>
      <w:r w:rsidRPr="00E465AB">
        <w:rPr>
          <w:rFonts w:ascii="Times New Roman" w:hAnsi="Times New Roman" w:cs="Times New Roman"/>
          <w:sz w:val="24"/>
          <w:szCs w:val="24"/>
        </w:rPr>
        <w:t xml:space="preserve"> at 720-21.  The Ninth Circuit has also extended this framework to a case in which a school district relied on a private company to provide educational services for public school students.  </w:t>
      </w:r>
      <w:r w:rsidRPr="00E465AB">
        <w:rPr>
          <w:rFonts w:ascii="Times New Roman" w:hAnsi="Times New Roman" w:cs="Times New Roman"/>
          <w:i/>
          <w:iCs/>
          <w:sz w:val="24"/>
          <w:szCs w:val="24"/>
        </w:rPr>
        <w:t xml:space="preserve">Id. </w:t>
      </w:r>
      <w:r w:rsidRPr="00E465AB">
        <w:rPr>
          <w:rFonts w:ascii="Times New Roman" w:hAnsi="Times New Roman" w:cs="Times New Roman"/>
          <w:sz w:val="24"/>
          <w:szCs w:val="24"/>
        </w:rPr>
        <w:t>at 722.</w:t>
      </w:r>
    </w:p>
    <w:p w14:paraId="50BBA815" w14:textId="78CA61EE" w:rsidR="008072DB" w:rsidRPr="007121A6" w:rsidRDefault="008072DB" w:rsidP="0066001B">
      <w:pPr>
        <w:autoSpaceDE w:val="0"/>
        <w:autoSpaceDN w:val="0"/>
        <w:adjustRightInd w:val="0"/>
        <w:spacing w:after="0" w:line="240" w:lineRule="auto"/>
        <w:rPr>
          <w:rFonts w:ascii="Times New Roman" w:hAnsi="Times New Roman" w:cs="Times New Roman"/>
          <w:sz w:val="24"/>
          <w:szCs w:val="24"/>
        </w:rPr>
      </w:pPr>
    </w:p>
    <w:p w14:paraId="071BE99D" w14:textId="16CDC035" w:rsidR="008072DB" w:rsidRPr="007121A6" w:rsidRDefault="008072DB" w:rsidP="009D532B">
      <w:pPr>
        <w:autoSpaceDE w:val="0"/>
        <w:autoSpaceDN w:val="0"/>
        <w:adjustRightInd w:val="0"/>
        <w:spacing w:after="0" w:line="240" w:lineRule="auto"/>
        <w:ind w:firstLine="720"/>
        <w:rPr>
          <w:rFonts w:ascii="Times New Roman" w:hAnsi="Times New Roman" w:cs="Times New Roman"/>
          <w:sz w:val="24"/>
          <w:szCs w:val="24"/>
        </w:rPr>
      </w:pPr>
      <w:r w:rsidRPr="007121A6">
        <w:rPr>
          <w:rFonts w:ascii="TimesNewRomanPSMT" w:hAnsi="TimesNewRomanPSMT" w:cs="TimesNewRomanPSMT"/>
          <w:sz w:val="24"/>
          <w:szCs w:val="24"/>
        </w:rPr>
        <w:t xml:space="preserve">This instruction does not apply to restrictions on the speech of elected officials because “an elected official’s speech is protected regardless [of] whether the official is speaking ‘as a citizen upon a matter of public concern.’” </w:t>
      </w:r>
      <w:r w:rsidR="007F3A28" w:rsidRPr="007121A6">
        <w:rPr>
          <w:rFonts w:ascii="TimesNewRomanPSMT" w:hAnsi="TimesNewRomanPSMT" w:cs="TimesNewRomanPSMT"/>
          <w:sz w:val="24"/>
          <w:szCs w:val="24"/>
        </w:rPr>
        <w:t xml:space="preserve"> </w:t>
      </w:r>
      <w:r w:rsidRPr="007121A6">
        <w:rPr>
          <w:rFonts w:ascii="TimesNewRomanPS-ItalicMT" w:hAnsi="TimesNewRomanPS-ItalicMT" w:cs="TimesNewRomanPS-ItalicMT"/>
          <w:i/>
          <w:iCs/>
          <w:sz w:val="24"/>
          <w:szCs w:val="24"/>
        </w:rPr>
        <w:t>See Boquist v. Courtney</w:t>
      </w:r>
      <w:r w:rsidRPr="007121A6">
        <w:rPr>
          <w:rFonts w:ascii="TimesNewRomanPSMT" w:hAnsi="TimesNewRomanPSMT" w:cs="TimesNewRomanPSMT"/>
          <w:sz w:val="24"/>
          <w:szCs w:val="24"/>
        </w:rPr>
        <w:t xml:space="preserve">, 32 F.4th 764, 780 (9th Cir. 2022) (quoting </w:t>
      </w:r>
      <w:r w:rsidRPr="007121A6">
        <w:rPr>
          <w:rFonts w:ascii="TimesNewRomanPS-ItalicMT" w:hAnsi="TimesNewRomanPS-ItalicMT" w:cs="TimesNewRomanPS-ItalicMT"/>
          <w:i/>
          <w:iCs/>
          <w:sz w:val="24"/>
          <w:szCs w:val="24"/>
        </w:rPr>
        <w:t>Garcetti</w:t>
      </w:r>
      <w:r w:rsidRPr="007121A6">
        <w:rPr>
          <w:rFonts w:ascii="TimesNewRomanPSMT" w:hAnsi="TimesNewRomanPSMT" w:cs="TimesNewRomanPSMT"/>
          <w:sz w:val="24"/>
          <w:szCs w:val="24"/>
        </w:rPr>
        <w:t xml:space="preserve">, 547 U.S. at 418). </w:t>
      </w:r>
      <w:r w:rsidR="009D532B" w:rsidRPr="007121A6">
        <w:rPr>
          <w:rFonts w:ascii="TimesNewRomanPSMT" w:hAnsi="TimesNewRomanPSMT" w:cs="TimesNewRomanPSMT"/>
          <w:sz w:val="24"/>
          <w:szCs w:val="24"/>
        </w:rPr>
        <w:t xml:space="preserve"> </w:t>
      </w:r>
    </w:p>
    <w:p w14:paraId="172064A5"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50C1CBAE" w14:textId="2479053A"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r w:rsidRPr="007121A6">
        <w:rPr>
          <w:rFonts w:ascii="Times New Roman" w:hAnsi="Times New Roman" w:cs="Times New Roman"/>
          <w:sz w:val="24"/>
          <w:szCs w:val="24"/>
        </w:rPr>
        <w:tab/>
        <w:t>After a plaintiff establishes the first three steps, he or she has made out a prima facie case, and at step four the burden shifts to the government “to show that ‘under the balancing test established by</w:t>
      </w:r>
      <w:r w:rsidRPr="007121A6">
        <w:rPr>
          <w:rFonts w:ascii="Times New Roman" w:hAnsi="Times New Roman" w:cs="Times New Roman"/>
          <w:i/>
          <w:iCs/>
          <w:sz w:val="24"/>
          <w:szCs w:val="24"/>
        </w:rPr>
        <w:t xml:space="preserve"> Pickering</w:t>
      </w:r>
      <w:r w:rsidRPr="007121A6">
        <w:rPr>
          <w:rFonts w:ascii="Times New Roman" w:hAnsi="Times New Roman" w:cs="Times New Roman"/>
          <w:sz w:val="24"/>
          <w:szCs w:val="24"/>
        </w:rPr>
        <w:t xml:space="preserve">, [the government’s] legitimate administrative interests outweigh the employee’s First Amendment rights.’”  </w:t>
      </w:r>
      <w:r w:rsidRPr="007121A6">
        <w:rPr>
          <w:rFonts w:ascii="Times New Roman" w:hAnsi="Times New Roman" w:cs="Times New Roman"/>
          <w:i/>
          <w:iCs/>
          <w:sz w:val="24"/>
          <w:szCs w:val="24"/>
        </w:rPr>
        <w:t>Moser v. Las Vegas Metro. Police. Dept.</w:t>
      </w:r>
      <w:r w:rsidRPr="007121A6">
        <w:rPr>
          <w:rFonts w:ascii="Times New Roman" w:hAnsi="Times New Roman" w:cs="Times New Roman"/>
          <w:sz w:val="24"/>
          <w:szCs w:val="24"/>
        </w:rPr>
        <w:t xml:space="preserve">, 984 F.3d 900, 906 (9th Cir. 2021) (quoting </w:t>
      </w:r>
      <w:r w:rsidRPr="007121A6">
        <w:rPr>
          <w:rFonts w:ascii="Times New Roman" w:hAnsi="Times New Roman" w:cs="Times New Roman"/>
          <w:i/>
          <w:iCs/>
          <w:sz w:val="24"/>
          <w:szCs w:val="24"/>
        </w:rPr>
        <w:t>Eng</w:t>
      </w:r>
      <w:r w:rsidRPr="007121A6">
        <w:rPr>
          <w:rFonts w:ascii="Times New Roman" w:hAnsi="Times New Roman" w:cs="Times New Roman"/>
          <w:sz w:val="24"/>
          <w:szCs w:val="24"/>
        </w:rPr>
        <w:t xml:space="preserve">, 552 F.3d at 1071) (holding the government failed to satisfy its step four burden because it did not produce any evidence indicating the speech at issue caused or would cause disruption).  “[T]he </w:t>
      </w:r>
      <w:r w:rsidRPr="007121A6">
        <w:rPr>
          <w:rFonts w:ascii="Times New Roman" w:hAnsi="Times New Roman" w:cs="Times New Roman"/>
          <w:i/>
          <w:iCs/>
          <w:sz w:val="24"/>
          <w:szCs w:val="24"/>
        </w:rPr>
        <w:t>Pickering</w:t>
      </w:r>
      <w:r w:rsidRPr="007121A6">
        <w:rPr>
          <w:rFonts w:ascii="Times New Roman" w:hAnsi="Times New Roman" w:cs="Times New Roman"/>
          <w:sz w:val="24"/>
          <w:szCs w:val="24"/>
        </w:rPr>
        <w:t xml:space="preserve"> balancing test is a legal question, but its resolution often entails underlying factual disputes that need to be resolved by a </w:t>
      </w:r>
      <w:proofErr w:type="gramStart"/>
      <w:r w:rsidRPr="007121A6">
        <w:rPr>
          <w:rFonts w:ascii="Times New Roman" w:hAnsi="Times New Roman" w:cs="Times New Roman"/>
          <w:sz w:val="24"/>
          <w:szCs w:val="24"/>
        </w:rPr>
        <w:t>fact-finder</w:t>
      </w:r>
      <w:proofErr w:type="gramEnd"/>
      <w:r w:rsidRPr="007121A6">
        <w:rPr>
          <w:rFonts w:ascii="Times New Roman" w:hAnsi="Times New Roman" w:cs="Times New Roman"/>
          <w:sz w:val="24"/>
          <w:szCs w:val="24"/>
        </w:rPr>
        <w:t xml:space="preserve">.”  </w:t>
      </w:r>
      <w:r w:rsidRPr="007121A6">
        <w:rPr>
          <w:rFonts w:ascii="Times New Roman" w:hAnsi="Times New Roman" w:cs="Times New Roman"/>
          <w:i/>
          <w:iCs/>
          <w:sz w:val="24"/>
          <w:szCs w:val="24"/>
        </w:rPr>
        <w:t>Id</w:t>
      </w:r>
      <w:r w:rsidRPr="007121A6">
        <w:rPr>
          <w:rFonts w:ascii="Times New Roman" w:hAnsi="Times New Roman" w:cs="Times New Roman"/>
          <w:sz w:val="24"/>
          <w:szCs w:val="24"/>
        </w:rPr>
        <w:t xml:space="preserve">. at 911 (quoting </w:t>
      </w:r>
      <w:r w:rsidRPr="007121A6">
        <w:rPr>
          <w:rFonts w:ascii="Times New Roman" w:hAnsi="Times New Roman" w:cs="Times New Roman"/>
          <w:i/>
          <w:iCs/>
          <w:sz w:val="24"/>
          <w:szCs w:val="24"/>
        </w:rPr>
        <w:t>Eng</w:t>
      </w:r>
      <w:r w:rsidRPr="007121A6">
        <w:rPr>
          <w:rFonts w:ascii="Times New Roman" w:hAnsi="Times New Roman" w:cs="Times New Roman"/>
          <w:sz w:val="24"/>
          <w:szCs w:val="24"/>
        </w:rPr>
        <w:t xml:space="preserve">, 552 F.3d at 1071). </w:t>
      </w:r>
    </w:p>
    <w:p w14:paraId="35AFC5D4" w14:textId="77777777" w:rsidR="0066001B" w:rsidRPr="007121A6" w:rsidRDefault="0066001B" w:rsidP="0066001B">
      <w:pPr>
        <w:autoSpaceDE w:val="0"/>
        <w:autoSpaceDN w:val="0"/>
        <w:adjustRightInd w:val="0"/>
        <w:spacing w:after="0" w:line="240" w:lineRule="auto"/>
        <w:rPr>
          <w:rFonts w:ascii="Times New Roman" w:hAnsi="Times New Roman" w:cs="Times New Roman"/>
          <w:sz w:val="24"/>
          <w:szCs w:val="24"/>
        </w:rPr>
      </w:pPr>
    </w:p>
    <w:p w14:paraId="334513E8" w14:textId="1B6C2BDA" w:rsidR="0066001B" w:rsidRDefault="0066001B" w:rsidP="0066001B">
      <w:pPr>
        <w:autoSpaceDE w:val="0"/>
        <w:autoSpaceDN w:val="0"/>
        <w:adjustRightInd w:val="0"/>
        <w:spacing w:after="0" w:line="240" w:lineRule="auto"/>
        <w:rPr>
          <w:rFonts w:ascii="Times New Roman" w:hAnsi="Times New Roman" w:cs="Times New Roman"/>
          <w:sz w:val="24"/>
          <w:szCs w:val="24"/>
        </w:rPr>
      </w:pPr>
    </w:p>
    <w:p w14:paraId="1FDB14D4" w14:textId="77777777" w:rsidR="001E71B3" w:rsidRPr="007121A6" w:rsidRDefault="001E71B3" w:rsidP="0066001B">
      <w:pPr>
        <w:autoSpaceDE w:val="0"/>
        <w:autoSpaceDN w:val="0"/>
        <w:adjustRightInd w:val="0"/>
        <w:spacing w:after="0" w:line="240" w:lineRule="auto"/>
        <w:rPr>
          <w:rFonts w:ascii="Times New Roman" w:hAnsi="Times New Roman" w:cs="Times New Roman"/>
          <w:sz w:val="24"/>
          <w:szCs w:val="24"/>
        </w:rPr>
      </w:pPr>
    </w:p>
    <w:p w14:paraId="3F4DD472" w14:textId="24841143" w:rsidR="00FE7F82" w:rsidRPr="007121A6" w:rsidRDefault="0066001B" w:rsidP="0066001B">
      <w:pPr>
        <w:jc w:val="right"/>
      </w:pPr>
      <w:r w:rsidRPr="007121A6">
        <w:rPr>
          <w:rFonts w:ascii="Times New Roman" w:hAnsi="Times New Roman" w:cs="Times New Roman"/>
          <w:i/>
          <w:iCs/>
          <w:sz w:val="24"/>
          <w:szCs w:val="24"/>
        </w:rPr>
        <w:t xml:space="preserve">Revised </w:t>
      </w:r>
      <w:bookmarkEnd w:id="0"/>
      <w:r w:rsidR="00A15A82">
        <w:rPr>
          <w:rFonts w:ascii="Times New Roman" w:hAnsi="Times New Roman" w:cs="Times New Roman"/>
          <w:i/>
          <w:iCs/>
          <w:sz w:val="24"/>
          <w:szCs w:val="24"/>
        </w:rPr>
        <w:t>November 2024</w:t>
      </w:r>
    </w:p>
    <w:sectPr w:rsidR="00FE7F82" w:rsidRPr="0071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1B"/>
    <w:rsid w:val="000178E2"/>
    <w:rsid w:val="00074FF0"/>
    <w:rsid w:val="000E18AD"/>
    <w:rsid w:val="00140666"/>
    <w:rsid w:val="001557DE"/>
    <w:rsid w:val="001E71B3"/>
    <w:rsid w:val="002116A1"/>
    <w:rsid w:val="004B0A9A"/>
    <w:rsid w:val="00516722"/>
    <w:rsid w:val="00601086"/>
    <w:rsid w:val="00645BBE"/>
    <w:rsid w:val="0066001B"/>
    <w:rsid w:val="006B1852"/>
    <w:rsid w:val="006F641F"/>
    <w:rsid w:val="007121A6"/>
    <w:rsid w:val="00715CC6"/>
    <w:rsid w:val="007E67DC"/>
    <w:rsid w:val="007F3A28"/>
    <w:rsid w:val="008072DB"/>
    <w:rsid w:val="00887257"/>
    <w:rsid w:val="00994FC0"/>
    <w:rsid w:val="009C7EE0"/>
    <w:rsid w:val="009D532B"/>
    <w:rsid w:val="00A15A82"/>
    <w:rsid w:val="00A169E2"/>
    <w:rsid w:val="00AA3FA5"/>
    <w:rsid w:val="00B8511A"/>
    <w:rsid w:val="00B951E2"/>
    <w:rsid w:val="00BD3B4F"/>
    <w:rsid w:val="00BF1510"/>
    <w:rsid w:val="00C423E7"/>
    <w:rsid w:val="00C53AFA"/>
    <w:rsid w:val="00D65B4E"/>
    <w:rsid w:val="00E116A7"/>
    <w:rsid w:val="00E465AB"/>
    <w:rsid w:val="00E575D0"/>
    <w:rsid w:val="00F2425A"/>
    <w:rsid w:val="00FA4229"/>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4D65"/>
  <w15:chartTrackingRefBased/>
  <w15:docId w15:val="{DADE6D6F-995D-4B36-837F-A7273003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510"/>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72DB"/>
    <w:pPr>
      <w:spacing w:after="0" w:line="240" w:lineRule="auto"/>
    </w:pPr>
  </w:style>
  <w:style w:type="character" w:customStyle="1" w:styleId="Heading1Char">
    <w:name w:val="Heading 1 Char"/>
    <w:basedOn w:val="DefaultParagraphFont"/>
    <w:link w:val="Heading1"/>
    <w:uiPriority w:val="9"/>
    <w:rsid w:val="00BF1510"/>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13</cp:revision>
  <dcterms:created xsi:type="dcterms:W3CDTF">2023-01-11T04:47:00Z</dcterms:created>
  <dcterms:modified xsi:type="dcterms:W3CDTF">2025-01-14T19:04:00Z</dcterms:modified>
</cp:coreProperties>
</file>