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2A99" w14:textId="77777777" w:rsidR="009E7C68" w:rsidRPr="009E7C68" w:rsidRDefault="009E7C68" w:rsidP="009E7C68">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803"/>
      <w:r w:rsidRPr="009E7C68">
        <w:rPr>
          <w:rFonts w:ascii="Times New Roman" w:eastAsia="Calibri" w:hAnsi="Times New Roman" w:cs="Times New Roman"/>
          <w:b/>
          <w:bCs/>
          <w:kern w:val="0"/>
          <w14:ligatures w14:val="none"/>
        </w:rPr>
        <w:t>9.9 Particular Rights—First Amendment—Public Employees—Speech</w:t>
      </w:r>
      <w:bookmarkEnd w:id="0"/>
    </w:p>
    <w:p w14:paraId="793926CA" w14:textId="77777777" w:rsidR="009E7C68" w:rsidRPr="009E7C68" w:rsidRDefault="009E7C68" w:rsidP="009E7C68">
      <w:pPr>
        <w:spacing w:after="0" w:line="240" w:lineRule="auto"/>
        <w:rPr>
          <w:rFonts w:ascii="Times New Roman" w:eastAsia="Calibri" w:hAnsi="Times New Roman" w:cs="Times New Roman"/>
          <w:kern w:val="0"/>
          <w14:ligatures w14:val="none"/>
        </w:rPr>
      </w:pPr>
    </w:p>
    <w:p w14:paraId="65455A22" w14:textId="77777777" w:rsidR="00792133" w:rsidRPr="00792133" w:rsidRDefault="00792133" w:rsidP="00792133">
      <w:pPr>
        <w:autoSpaceDE w:val="0"/>
        <w:autoSpaceDN w:val="0"/>
        <w:adjustRightInd w:val="0"/>
        <w:spacing w:after="0" w:line="240" w:lineRule="auto"/>
        <w:rPr>
          <w:rFonts w:ascii="Times New Roman" w:eastAsia="Calibri" w:hAnsi="Times New Roman" w:cs="Times New Roman"/>
          <w:kern w:val="0"/>
          <w14:ligatures w14:val="none"/>
        </w:rPr>
      </w:pPr>
      <w:r w:rsidRPr="00792133">
        <w:rPr>
          <w:rFonts w:ascii="Times New Roman" w:eastAsia="Calibri" w:hAnsi="Times New Roman" w:cs="Times New Roman"/>
          <w:b/>
          <w:bCs/>
          <w:kern w:val="0"/>
          <w14:ligatures w14:val="none"/>
        </w:rPr>
        <w:tab/>
      </w:r>
      <w:r w:rsidRPr="00792133">
        <w:rPr>
          <w:rFonts w:ascii="Times New Roman" w:eastAsia="Calibri" w:hAnsi="Times New Roman" w:cs="Times New Roman"/>
          <w:kern w:val="0"/>
          <w14:ligatures w14:val="none"/>
        </w:rPr>
        <w:t>As previously explained, the plaintiff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 has the burden of proving that the act[s] of the defendant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 deprived the plaintiff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 xml:space="preserve">] of </w:t>
      </w:r>
      <w:proofErr w:type="gramStart"/>
      <w:r w:rsidRPr="00792133">
        <w:rPr>
          <w:rFonts w:ascii="Times New Roman" w:eastAsia="Calibri" w:hAnsi="Times New Roman" w:cs="Times New Roman"/>
          <w:kern w:val="0"/>
          <w14:ligatures w14:val="none"/>
        </w:rPr>
        <w:t>particular rights</w:t>
      </w:r>
      <w:proofErr w:type="gramEnd"/>
      <w:r w:rsidRPr="00792133">
        <w:rPr>
          <w:rFonts w:ascii="Times New Roman" w:eastAsia="Calibri" w:hAnsi="Times New Roman" w:cs="Times New Roman"/>
          <w:kern w:val="0"/>
          <w14:ligatures w14:val="none"/>
        </w:rPr>
        <w:t xml:space="preserve"> under the United States Constitution. In this case, the plaintiff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 alleges the defendant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 deprived [him] [her] [</w:t>
      </w:r>
      <w:r w:rsidRPr="00792133">
        <w:rPr>
          <w:rFonts w:ascii="Times New Roman" w:eastAsia="Calibri" w:hAnsi="Times New Roman" w:cs="Times New Roman"/>
          <w:i/>
          <w:iCs/>
          <w:kern w:val="0"/>
          <w:u w:val="single"/>
          <w14:ligatures w14:val="none"/>
        </w:rPr>
        <w:t>other pronoun</w:t>
      </w:r>
      <w:r w:rsidRPr="00792133">
        <w:rPr>
          <w:rFonts w:ascii="Times New Roman" w:eastAsia="Calibri" w:hAnsi="Times New Roman" w:cs="Times New Roman"/>
          <w:kern w:val="0"/>
          <w14:ligatures w14:val="none"/>
        </w:rPr>
        <w:t>] of [his] [her] [</w:t>
      </w:r>
      <w:r w:rsidRPr="00792133">
        <w:rPr>
          <w:rFonts w:ascii="Times New Roman" w:eastAsia="Calibri" w:hAnsi="Times New Roman" w:cs="Times New Roman"/>
          <w:i/>
          <w:iCs/>
          <w:kern w:val="0"/>
          <w:u w:val="single"/>
          <w14:ligatures w14:val="none"/>
        </w:rPr>
        <w:t>other pronoun</w:t>
      </w:r>
      <w:r w:rsidRPr="00792133">
        <w:rPr>
          <w:rFonts w:ascii="Times New Roman" w:eastAsia="Calibri" w:hAnsi="Times New Roman" w:cs="Times New Roman"/>
          <w:kern w:val="0"/>
          <w14:ligatures w14:val="none"/>
        </w:rPr>
        <w:t>] rights under the First Amendment to the Constitution when [</w:t>
      </w:r>
      <w:r w:rsidRPr="00792133">
        <w:rPr>
          <w:rFonts w:ascii="Times New Roman" w:eastAsia="Calibri" w:hAnsi="Times New Roman" w:cs="Times New Roman"/>
          <w:i/>
          <w:iCs/>
          <w:kern w:val="0"/>
          <w:u w:val="single"/>
          <w14:ligatures w14:val="none"/>
        </w:rPr>
        <w:t>insert factual basis of the plaintiff’s claim</w:t>
      </w:r>
      <w:r w:rsidRPr="00792133">
        <w:rPr>
          <w:rFonts w:ascii="Times New Roman" w:eastAsia="Calibri" w:hAnsi="Times New Roman" w:cs="Times New Roman"/>
          <w:kern w:val="0"/>
          <w:u w:val="single"/>
          <w14:ligatures w14:val="none"/>
        </w:rPr>
        <w:t xml:space="preserve">]. </w:t>
      </w:r>
    </w:p>
    <w:p w14:paraId="309FBAF8" w14:textId="77777777" w:rsidR="00792133" w:rsidRPr="00792133" w:rsidRDefault="00792133" w:rsidP="00792133">
      <w:pPr>
        <w:autoSpaceDE w:val="0"/>
        <w:autoSpaceDN w:val="0"/>
        <w:adjustRightInd w:val="0"/>
        <w:spacing w:after="0" w:line="240" w:lineRule="auto"/>
        <w:rPr>
          <w:rFonts w:ascii="Times New Roman" w:eastAsia="Calibri" w:hAnsi="Times New Roman" w:cs="Times New Roman"/>
          <w:kern w:val="0"/>
          <w14:ligatures w14:val="none"/>
        </w:rPr>
      </w:pPr>
    </w:p>
    <w:p w14:paraId="7AD49627" w14:textId="77777777" w:rsidR="00792133" w:rsidRPr="00792133" w:rsidRDefault="00792133" w:rsidP="00792133">
      <w:pPr>
        <w:autoSpaceDE w:val="0"/>
        <w:autoSpaceDN w:val="0"/>
        <w:adjustRightInd w:val="0"/>
        <w:spacing w:after="0" w:line="240" w:lineRule="auto"/>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ab/>
        <w:t>Under the First Amendment, a public employee has a qualified right to speak on matters of public concern. I instruct you that the plaintiff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]’s speech was on a matter of public concern. To prove the defendant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 deprived the plaintiff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 of this First Amendment right, the plaintiff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 must prove the following additional elements by a preponderance of the evidence:</w:t>
      </w:r>
    </w:p>
    <w:p w14:paraId="4891631C" w14:textId="77777777" w:rsidR="00792133" w:rsidRPr="00792133" w:rsidRDefault="00792133" w:rsidP="00792133">
      <w:pPr>
        <w:autoSpaceDE w:val="0"/>
        <w:autoSpaceDN w:val="0"/>
        <w:adjustRightInd w:val="0"/>
        <w:spacing w:after="0" w:line="240" w:lineRule="auto"/>
        <w:rPr>
          <w:rFonts w:ascii="Times New Roman" w:eastAsia="Calibri" w:hAnsi="Times New Roman" w:cs="Times New Roman"/>
          <w:kern w:val="0"/>
          <w14:ligatures w14:val="none"/>
        </w:rPr>
      </w:pPr>
    </w:p>
    <w:p w14:paraId="0C93F647" w14:textId="77777777" w:rsidR="00792133" w:rsidRPr="00792133" w:rsidRDefault="00792133" w:rsidP="00792133">
      <w:pPr>
        <w:tabs>
          <w:tab w:val="left" w:pos="720"/>
          <w:tab w:val="left" w:pos="1260"/>
        </w:tabs>
        <w:autoSpaceDE w:val="0"/>
        <w:autoSpaceDN w:val="0"/>
        <w:adjustRightInd w:val="0"/>
        <w:spacing w:after="0" w:line="240" w:lineRule="auto"/>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ab/>
        <w:t>First, the plaintiff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 spoke as a private citizen and not as part of [his] [her] [</w:t>
      </w:r>
      <w:r w:rsidRPr="00792133">
        <w:rPr>
          <w:rFonts w:ascii="Times New Roman" w:eastAsia="Calibri" w:hAnsi="Times New Roman" w:cs="Times New Roman"/>
          <w:i/>
          <w:iCs/>
          <w:kern w:val="0"/>
          <w:u w:val="single"/>
          <w14:ligatures w14:val="none"/>
        </w:rPr>
        <w:t>other pronoun</w:t>
      </w:r>
      <w:r w:rsidRPr="00792133">
        <w:rPr>
          <w:rFonts w:ascii="Times New Roman" w:eastAsia="Calibri" w:hAnsi="Times New Roman" w:cs="Times New Roman"/>
          <w:kern w:val="0"/>
          <w14:ligatures w14:val="none"/>
        </w:rPr>
        <w:t xml:space="preserve">] official duties as a public </w:t>
      </w:r>
      <w:proofErr w:type="gramStart"/>
      <w:r w:rsidRPr="00792133">
        <w:rPr>
          <w:rFonts w:ascii="Times New Roman" w:eastAsia="Calibri" w:hAnsi="Times New Roman" w:cs="Times New Roman"/>
          <w:kern w:val="0"/>
          <w14:ligatures w14:val="none"/>
        </w:rPr>
        <w:t>employee;</w:t>
      </w:r>
      <w:proofErr w:type="gramEnd"/>
    </w:p>
    <w:p w14:paraId="235BB1C0" w14:textId="77777777" w:rsidR="00792133" w:rsidRPr="00792133" w:rsidRDefault="00792133" w:rsidP="00792133">
      <w:pPr>
        <w:tabs>
          <w:tab w:val="left" w:pos="1260"/>
        </w:tabs>
        <w:autoSpaceDE w:val="0"/>
        <w:autoSpaceDN w:val="0"/>
        <w:adjustRightInd w:val="0"/>
        <w:spacing w:after="0" w:line="240" w:lineRule="auto"/>
        <w:rPr>
          <w:rFonts w:ascii="Times New Roman" w:eastAsia="Calibri" w:hAnsi="Times New Roman" w:cs="Times New Roman"/>
          <w:kern w:val="0"/>
          <w14:ligatures w14:val="none"/>
        </w:rPr>
      </w:pPr>
    </w:p>
    <w:p w14:paraId="0FBECFD2" w14:textId="77777777" w:rsidR="00792133" w:rsidRPr="00792133" w:rsidRDefault="00792133" w:rsidP="00792133">
      <w:pPr>
        <w:tabs>
          <w:tab w:val="left" w:pos="720"/>
          <w:tab w:val="left" w:pos="1260"/>
        </w:tabs>
        <w:autoSpaceDE w:val="0"/>
        <w:autoSpaceDN w:val="0"/>
        <w:adjustRightInd w:val="0"/>
        <w:spacing w:after="0" w:line="240" w:lineRule="auto"/>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ab/>
        <w:t>Second, the defendant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 took an adverse employment action against the plaintiff; and</w:t>
      </w:r>
    </w:p>
    <w:p w14:paraId="26376031" w14:textId="77777777" w:rsidR="00792133" w:rsidRPr="00792133" w:rsidRDefault="00792133" w:rsidP="00792133">
      <w:pPr>
        <w:tabs>
          <w:tab w:val="left" w:pos="1260"/>
        </w:tabs>
        <w:autoSpaceDE w:val="0"/>
        <w:autoSpaceDN w:val="0"/>
        <w:adjustRightInd w:val="0"/>
        <w:spacing w:after="0" w:line="240" w:lineRule="auto"/>
        <w:rPr>
          <w:rFonts w:ascii="Times New Roman" w:eastAsia="Calibri" w:hAnsi="Times New Roman" w:cs="Times New Roman"/>
          <w:kern w:val="0"/>
          <w14:ligatures w14:val="none"/>
        </w:rPr>
      </w:pPr>
    </w:p>
    <w:p w14:paraId="3571F46B" w14:textId="77777777" w:rsidR="00792133" w:rsidRPr="00792133" w:rsidRDefault="00792133" w:rsidP="00792133">
      <w:pPr>
        <w:tabs>
          <w:tab w:val="left" w:pos="720"/>
          <w:tab w:val="left" w:pos="1260"/>
        </w:tabs>
        <w:autoSpaceDE w:val="0"/>
        <w:autoSpaceDN w:val="0"/>
        <w:adjustRightInd w:val="0"/>
        <w:spacing w:after="0" w:line="240" w:lineRule="auto"/>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ab/>
        <w:t>Third, the plaintiff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]’s speech was a substantial or motivating factor for the adverse employment action.</w:t>
      </w:r>
    </w:p>
    <w:p w14:paraId="6FBA84AF" w14:textId="77777777" w:rsidR="00792133" w:rsidRPr="00792133" w:rsidRDefault="00792133" w:rsidP="00792133">
      <w:pPr>
        <w:autoSpaceDE w:val="0"/>
        <w:autoSpaceDN w:val="0"/>
        <w:adjustRightInd w:val="0"/>
        <w:spacing w:after="0" w:line="240" w:lineRule="auto"/>
        <w:rPr>
          <w:rFonts w:ascii="Times New Roman" w:eastAsia="Calibri" w:hAnsi="Times New Roman" w:cs="Times New Roman"/>
          <w:kern w:val="0"/>
          <w14:ligatures w14:val="none"/>
        </w:rPr>
      </w:pPr>
    </w:p>
    <w:p w14:paraId="61812947" w14:textId="77777777" w:rsidR="00792133" w:rsidRPr="00792133" w:rsidRDefault="00792133" w:rsidP="00792133">
      <w:pPr>
        <w:autoSpaceDE w:val="0"/>
        <w:autoSpaceDN w:val="0"/>
        <w:adjustRightInd w:val="0"/>
        <w:spacing w:after="0" w:line="240" w:lineRule="auto"/>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ab/>
        <w:t xml:space="preserve">An action is an adverse employment action if a reasonable </w:t>
      </w:r>
      <w:proofErr w:type="gramStart"/>
      <w:r w:rsidRPr="00792133">
        <w:rPr>
          <w:rFonts w:ascii="Times New Roman" w:eastAsia="Calibri" w:hAnsi="Times New Roman" w:cs="Times New Roman"/>
          <w:kern w:val="0"/>
          <w14:ligatures w14:val="none"/>
        </w:rPr>
        <w:t>employee would have</w:t>
      </w:r>
      <w:proofErr w:type="gramEnd"/>
      <w:r w:rsidRPr="00792133">
        <w:rPr>
          <w:rFonts w:ascii="Times New Roman" w:eastAsia="Calibri" w:hAnsi="Times New Roman" w:cs="Times New Roman"/>
          <w:kern w:val="0"/>
          <w14:ligatures w14:val="none"/>
        </w:rPr>
        <w:t xml:space="preserve"> found the action materially adverse, which means it might have dissuaded a reasonable worker from engaging in protected activity.</w:t>
      </w:r>
    </w:p>
    <w:p w14:paraId="331984CD" w14:textId="77777777" w:rsidR="00792133" w:rsidRPr="00792133" w:rsidRDefault="00792133" w:rsidP="00792133">
      <w:pPr>
        <w:autoSpaceDE w:val="0"/>
        <w:autoSpaceDN w:val="0"/>
        <w:adjustRightInd w:val="0"/>
        <w:spacing w:after="0" w:line="240" w:lineRule="auto"/>
        <w:rPr>
          <w:rFonts w:ascii="Times New Roman" w:eastAsia="Calibri" w:hAnsi="Times New Roman" w:cs="Times New Roman"/>
          <w:kern w:val="0"/>
          <w14:ligatures w14:val="none"/>
        </w:rPr>
      </w:pPr>
    </w:p>
    <w:p w14:paraId="7508778C" w14:textId="77777777" w:rsidR="00792133" w:rsidRPr="00792133" w:rsidRDefault="00792133" w:rsidP="00792133">
      <w:pPr>
        <w:autoSpaceDE w:val="0"/>
        <w:autoSpaceDN w:val="0"/>
        <w:adjustRightInd w:val="0"/>
        <w:spacing w:after="0" w:line="240" w:lineRule="auto"/>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ab/>
        <w:t xml:space="preserve">A substantial or motivating factor is a significant factor, though not necessarily the only factor. </w:t>
      </w:r>
    </w:p>
    <w:p w14:paraId="60DF3636" w14:textId="77777777" w:rsidR="00792133" w:rsidRPr="00792133" w:rsidRDefault="00792133" w:rsidP="00792133">
      <w:pPr>
        <w:autoSpaceDE w:val="0"/>
        <w:autoSpaceDN w:val="0"/>
        <w:adjustRightInd w:val="0"/>
        <w:spacing w:after="0" w:line="240" w:lineRule="auto"/>
        <w:rPr>
          <w:rFonts w:ascii="Times New Roman" w:eastAsia="Calibri" w:hAnsi="Times New Roman" w:cs="Times New Roman"/>
          <w:kern w:val="0"/>
          <w14:ligatures w14:val="none"/>
        </w:rPr>
      </w:pPr>
    </w:p>
    <w:p w14:paraId="6E2F954C" w14:textId="77777777" w:rsidR="00792133" w:rsidRPr="00792133" w:rsidRDefault="00792133" w:rsidP="00792133">
      <w:pPr>
        <w:autoSpaceDE w:val="0"/>
        <w:autoSpaceDN w:val="0"/>
        <w:adjustRightInd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If the plaintiff [</w:t>
      </w:r>
      <w:r w:rsidRPr="00792133">
        <w:rPr>
          <w:rFonts w:ascii="Times New Roman" w:eastAsia="Calibri" w:hAnsi="Times New Roman" w:cs="Times New Roman"/>
          <w:i/>
          <w:iCs/>
          <w:kern w:val="0"/>
          <w:u w:val="single"/>
          <w14:ligatures w14:val="none"/>
        </w:rPr>
        <w:t>name</w:t>
      </w:r>
      <w:r w:rsidRPr="00792133">
        <w:rPr>
          <w:rFonts w:ascii="Times New Roman" w:eastAsia="Calibri" w:hAnsi="Times New Roman" w:cs="Times New Roman"/>
          <w:kern w:val="0"/>
          <w14:ligatures w14:val="none"/>
        </w:rPr>
        <w:t xml:space="preserve">] </w:t>
      </w:r>
      <w:r w:rsidRPr="00792133">
        <w:rPr>
          <w:rFonts w:ascii="Times New Roman" w:eastAsia="Calibri" w:hAnsi="Times New Roman" w:cs="Times New Roman"/>
          <w:kern w:val="0"/>
          <w:szCs w:val="22"/>
          <w14:ligatures w14:val="none"/>
        </w:rPr>
        <w:t>establishes each of the foregoing elements, the burden shifts to the defendant [</w:t>
      </w:r>
      <w:r w:rsidRPr="00792133">
        <w:rPr>
          <w:rFonts w:ascii="Times New Roman" w:eastAsia="Calibri" w:hAnsi="Times New Roman" w:cs="Times New Roman"/>
          <w:i/>
          <w:iCs/>
          <w:kern w:val="0"/>
          <w:szCs w:val="22"/>
          <w:u w:val="single"/>
          <w14:ligatures w14:val="none"/>
        </w:rPr>
        <w:t>name</w:t>
      </w:r>
      <w:r w:rsidRPr="00792133">
        <w:rPr>
          <w:rFonts w:ascii="Times New Roman" w:eastAsia="Calibri" w:hAnsi="Times New Roman" w:cs="Times New Roman"/>
          <w:kern w:val="0"/>
          <w:szCs w:val="22"/>
          <w14:ligatures w14:val="none"/>
        </w:rPr>
        <w:t>] to prove by a preponderance of the evidence that [the defendant [</w:t>
      </w:r>
      <w:r w:rsidRPr="00792133">
        <w:rPr>
          <w:rFonts w:ascii="Times New Roman" w:eastAsia="Calibri" w:hAnsi="Times New Roman" w:cs="Times New Roman"/>
          <w:i/>
          <w:iCs/>
          <w:kern w:val="0"/>
          <w:szCs w:val="22"/>
          <w:u w:val="single"/>
          <w14:ligatures w14:val="none"/>
        </w:rPr>
        <w:t>name</w:t>
      </w:r>
      <w:r w:rsidRPr="00792133">
        <w:rPr>
          <w:rFonts w:ascii="Times New Roman" w:eastAsia="Calibri" w:hAnsi="Times New Roman" w:cs="Times New Roman"/>
          <w:kern w:val="0"/>
          <w:szCs w:val="22"/>
          <w14:ligatures w14:val="none"/>
        </w:rPr>
        <w:t>] would have taken the action(s) in question, even in the absence of any motive to retaliate against the plaintiff [</w:t>
      </w:r>
      <w:r w:rsidRPr="00792133">
        <w:rPr>
          <w:rFonts w:ascii="Times New Roman" w:eastAsia="Calibri" w:hAnsi="Times New Roman" w:cs="Times New Roman"/>
          <w:i/>
          <w:iCs/>
          <w:kern w:val="0"/>
          <w:szCs w:val="22"/>
          <w:u w:val="single"/>
          <w14:ligatures w14:val="none"/>
        </w:rPr>
        <w:t>name</w:t>
      </w:r>
      <w:r w:rsidRPr="00792133">
        <w:rPr>
          <w:rFonts w:ascii="Times New Roman" w:eastAsia="Calibri" w:hAnsi="Times New Roman" w:cs="Times New Roman"/>
          <w:kern w:val="0"/>
          <w:szCs w:val="22"/>
          <w14:ligatures w14:val="none"/>
        </w:rPr>
        <w:t>]] [legitimate administrative interests in promoting efficient service-delivery and avoiding workplace disruption outweigh the plaintiff’s First Amendment interests]. If you find that the defendant [</w:t>
      </w:r>
      <w:r w:rsidRPr="00792133">
        <w:rPr>
          <w:rFonts w:ascii="Times New Roman" w:eastAsia="Calibri" w:hAnsi="Times New Roman" w:cs="Times New Roman"/>
          <w:i/>
          <w:iCs/>
          <w:kern w:val="0"/>
          <w:szCs w:val="22"/>
          <w:u w:val="single"/>
          <w14:ligatures w14:val="none"/>
        </w:rPr>
        <w:t>name</w:t>
      </w:r>
      <w:r w:rsidRPr="00792133">
        <w:rPr>
          <w:rFonts w:ascii="Times New Roman" w:eastAsia="Calibri" w:hAnsi="Times New Roman" w:cs="Times New Roman"/>
          <w:kern w:val="0"/>
          <w:szCs w:val="22"/>
          <w14:ligatures w14:val="none"/>
        </w:rPr>
        <w:t xml:space="preserve">] </w:t>
      </w:r>
      <w:proofErr w:type="gramStart"/>
      <w:r w:rsidRPr="00792133">
        <w:rPr>
          <w:rFonts w:ascii="Times New Roman" w:eastAsia="Calibri" w:hAnsi="Times New Roman" w:cs="Times New Roman"/>
          <w:kern w:val="0"/>
          <w:szCs w:val="22"/>
          <w14:ligatures w14:val="none"/>
        </w:rPr>
        <w:t>is able to</w:t>
      </w:r>
      <w:proofErr w:type="gramEnd"/>
      <w:r w:rsidRPr="00792133">
        <w:rPr>
          <w:rFonts w:ascii="Times New Roman" w:eastAsia="Calibri" w:hAnsi="Times New Roman" w:cs="Times New Roman"/>
          <w:kern w:val="0"/>
          <w:szCs w:val="22"/>
          <w14:ligatures w14:val="none"/>
        </w:rPr>
        <w:t xml:space="preserve"> demonstrate this, you must </w:t>
      </w:r>
      <w:proofErr w:type="gramStart"/>
      <w:r w:rsidRPr="00792133">
        <w:rPr>
          <w:rFonts w:ascii="Times New Roman" w:eastAsia="Calibri" w:hAnsi="Times New Roman" w:cs="Times New Roman"/>
          <w:kern w:val="0"/>
          <w:szCs w:val="22"/>
          <w14:ligatures w14:val="none"/>
        </w:rPr>
        <w:t>find</w:t>
      </w:r>
      <w:proofErr w:type="gramEnd"/>
      <w:r w:rsidRPr="00792133">
        <w:rPr>
          <w:rFonts w:ascii="Times New Roman" w:eastAsia="Calibri" w:hAnsi="Times New Roman" w:cs="Times New Roman"/>
          <w:kern w:val="0"/>
          <w:szCs w:val="22"/>
          <w14:ligatures w14:val="none"/>
        </w:rPr>
        <w:t xml:space="preserve"> for the defendant [</w:t>
      </w:r>
      <w:r w:rsidRPr="00792133">
        <w:rPr>
          <w:rFonts w:ascii="Times New Roman" w:eastAsia="Calibri" w:hAnsi="Times New Roman" w:cs="Times New Roman"/>
          <w:i/>
          <w:iCs/>
          <w:kern w:val="0"/>
          <w:szCs w:val="22"/>
          <w:u w:val="single"/>
          <w14:ligatures w14:val="none"/>
        </w:rPr>
        <w:t>name</w:t>
      </w:r>
      <w:r w:rsidRPr="00792133">
        <w:rPr>
          <w:rFonts w:ascii="Times New Roman" w:eastAsia="Calibri" w:hAnsi="Times New Roman" w:cs="Times New Roman"/>
          <w:kern w:val="0"/>
          <w:szCs w:val="22"/>
          <w14:ligatures w14:val="none"/>
        </w:rPr>
        <w:t xml:space="preserve">]. If you find that the defendant </w:t>
      </w:r>
      <w:proofErr w:type="gramStart"/>
      <w:r w:rsidRPr="00792133">
        <w:rPr>
          <w:rFonts w:ascii="Times New Roman" w:eastAsia="Calibri" w:hAnsi="Times New Roman" w:cs="Times New Roman"/>
          <w:kern w:val="0"/>
          <w:szCs w:val="22"/>
          <w14:ligatures w14:val="none"/>
        </w:rPr>
        <w:t>is not able to</w:t>
      </w:r>
      <w:proofErr w:type="gramEnd"/>
      <w:r w:rsidRPr="00792133">
        <w:rPr>
          <w:rFonts w:ascii="Times New Roman" w:eastAsia="Calibri" w:hAnsi="Times New Roman" w:cs="Times New Roman"/>
          <w:kern w:val="0"/>
          <w:szCs w:val="22"/>
          <w14:ligatures w14:val="none"/>
        </w:rPr>
        <w:t xml:space="preserve"> demonstrate this, you must find for the plaintiff [</w:t>
      </w:r>
      <w:r w:rsidRPr="00792133">
        <w:rPr>
          <w:rFonts w:ascii="Times New Roman" w:eastAsia="Calibri" w:hAnsi="Times New Roman" w:cs="Times New Roman"/>
          <w:i/>
          <w:iCs/>
          <w:kern w:val="0"/>
          <w:szCs w:val="22"/>
          <w:u w:val="single"/>
          <w14:ligatures w14:val="none"/>
        </w:rPr>
        <w:t>name</w:t>
      </w:r>
      <w:r w:rsidRPr="00792133">
        <w:rPr>
          <w:rFonts w:ascii="Times New Roman" w:eastAsia="Calibri" w:hAnsi="Times New Roman" w:cs="Times New Roman"/>
          <w:kern w:val="0"/>
          <w:szCs w:val="22"/>
          <w14:ligatures w14:val="none"/>
        </w:rPr>
        <w:t>].</w:t>
      </w:r>
    </w:p>
    <w:p w14:paraId="327F8317" w14:textId="77777777" w:rsidR="00792133" w:rsidRPr="00792133" w:rsidRDefault="00792133" w:rsidP="00792133">
      <w:pPr>
        <w:autoSpaceDE w:val="0"/>
        <w:autoSpaceDN w:val="0"/>
        <w:adjustRightInd w:val="0"/>
        <w:spacing w:after="0" w:line="240" w:lineRule="auto"/>
        <w:rPr>
          <w:rFonts w:ascii="Times New Roman" w:eastAsia="Calibri" w:hAnsi="Times New Roman" w:cs="Times New Roman"/>
          <w:kern w:val="0"/>
          <w14:ligatures w14:val="none"/>
        </w:rPr>
      </w:pPr>
    </w:p>
    <w:p w14:paraId="60D4D435" w14:textId="77777777" w:rsidR="00792133" w:rsidRPr="00792133" w:rsidRDefault="00792133" w:rsidP="00792133">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792133">
        <w:rPr>
          <w:rFonts w:ascii="Times New Roman" w:eastAsia="Calibri" w:hAnsi="Times New Roman" w:cs="Times New Roman"/>
          <w:b/>
          <w:bCs/>
          <w:kern w:val="0"/>
          <w14:ligatures w14:val="none"/>
        </w:rPr>
        <w:t>Comment</w:t>
      </w:r>
    </w:p>
    <w:p w14:paraId="5FDDE0B3" w14:textId="77777777" w:rsidR="00792133" w:rsidRPr="00792133" w:rsidRDefault="00792133" w:rsidP="00792133">
      <w:pPr>
        <w:autoSpaceDE w:val="0"/>
        <w:autoSpaceDN w:val="0"/>
        <w:adjustRightInd w:val="0"/>
        <w:spacing w:after="0" w:line="240" w:lineRule="auto"/>
        <w:jc w:val="center"/>
        <w:rPr>
          <w:rFonts w:ascii="Times New Roman" w:eastAsia="Calibri" w:hAnsi="Times New Roman" w:cs="Times New Roman"/>
          <w:b/>
          <w:bCs/>
          <w:kern w:val="0"/>
          <w14:ligatures w14:val="none"/>
        </w:rPr>
      </w:pPr>
    </w:p>
    <w:p w14:paraId="5E021EFF"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Use this instruction only in conjunction with the applicable elements instruction, Instructions 9.3-9.8, and when the plaintiff is a private citizen, use Instruction 9.11 (Particular Rights—First Amendment</w:t>
      </w:r>
      <w:proofErr w:type="gramStart"/>
      <w:r w:rsidRPr="00792133">
        <w:rPr>
          <w:rFonts w:ascii="Times New Roman" w:eastAsia="Calibri" w:hAnsi="Times New Roman" w:cs="Times New Roman"/>
          <w:kern w:val="0"/>
          <w14:ligatures w14:val="none"/>
        </w:rPr>
        <w:t>—“</w:t>
      </w:r>
      <w:proofErr w:type="gramEnd"/>
      <w:r w:rsidRPr="00792133">
        <w:rPr>
          <w:rFonts w:ascii="Times New Roman" w:eastAsia="Calibri" w:hAnsi="Times New Roman" w:cs="Times New Roman"/>
          <w:kern w:val="0"/>
          <w14:ligatures w14:val="none"/>
        </w:rPr>
        <w:t xml:space="preserve">Citizen” Plaintiff). Because this instruction is phrased in terms focusing the jury on the defendant’s liability for certain acts, the instruction should be modified to the extent liability is premised on a failure to act to avoid any risk of misstating the law. </w:t>
      </w:r>
      <w:r w:rsidRPr="00792133">
        <w:rPr>
          <w:rFonts w:ascii="Times New Roman" w:eastAsia="Calibri" w:hAnsi="Times New Roman" w:cs="Times New Roman"/>
          <w:i/>
          <w:iCs/>
          <w:kern w:val="0"/>
          <w14:ligatures w14:val="none"/>
        </w:rPr>
        <w:t>See Clem v. Lomeli</w:t>
      </w:r>
      <w:r w:rsidRPr="00792133">
        <w:rPr>
          <w:rFonts w:ascii="Times New Roman" w:eastAsia="Calibri" w:hAnsi="Times New Roman" w:cs="Times New Roman"/>
          <w:kern w:val="0"/>
          <w14:ligatures w14:val="none"/>
        </w:rPr>
        <w:t xml:space="preserve">, 566 F.3d 1177, 1181-82 (9th Cir. 2009). If there is a dispute about whether the </w:t>
      </w:r>
      <w:r w:rsidRPr="00792133">
        <w:rPr>
          <w:rFonts w:ascii="Times New Roman" w:eastAsia="Calibri" w:hAnsi="Times New Roman" w:cs="Times New Roman"/>
          <w:kern w:val="0"/>
          <w14:ligatures w14:val="none"/>
        </w:rPr>
        <w:lastRenderedPageBreak/>
        <w:t xml:space="preserve">public employee was speaking as a private citizen, use Instruction 9.10 (Particular Rights—First Amendment—Public Employees—Speaking as a Private Citizen). </w:t>
      </w:r>
    </w:p>
    <w:p w14:paraId="126C1307"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5722A6B8"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As to whether a public employee’s speech is protected under the First Amendment, the Supreme Court has “made clear that public employees do not surrender all their First Amendment rights by reason of their employment. Rather, the First Amendment protects a public employee’s right, in certain circumstances, to speak as a citizen addressing matters of public concern.” </w:t>
      </w:r>
      <w:r w:rsidRPr="00792133">
        <w:rPr>
          <w:rFonts w:ascii="Times New Roman" w:eastAsia="Calibri" w:hAnsi="Times New Roman" w:cs="Times New Roman"/>
          <w:i/>
          <w:iCs/>
          <w:kern w:val="0"/>
          <w14:ligatures w14:val="none"/>
        </w:rPr>
        <w:t>Garcetti v. Ceballos</w:t>
      </w:r>
      <w:r w:rsidRPr="00792133">
        <w:rPr>
          <w:rFonts w:ascii="Times New Roman" w:eastAsia="Calibri" w:hAnsi="Times New Roman" w:cs="Times New Roman"/>
          <w:kern w:val="0"/>
          <w14:ligatures w14:val="none"/>
        </w:rPr>
        <w:t xml:space="preserve">, 547 U.S. 410, 417 (2006); </w:t>
      </w:r>
      <w:r w:rsidRPr="00792133">
        <w:rPr>
          <w:rFonts w:ascii="Times New Roman" w:eastAsia="Calibri" w:hAnsi="Times New Roman" w:cs="Times New Roman"/>
          <w:i/>
          <w:iCs/>
          <w:kern w:val="0"/>
          <w14:ligatures w14:val="none"/>
        </w:rPr>
        <w:t>see also Borough of Duryea v. Guarnieri</w:t>
      </w:r>
      <w:r w:rsidRPr="00792133">
        <w:rPr>
          <w:rFonts w:ascii="Times New Roman" w:eastAsia="Calibri" w:hAnsi="Times New Roman" w:cs="Times New Roman"/>
          <w:kern w:val="0"/>
          <w14:ligatures w14:val="none"/>
        </w:rPr>
        <w:t xml:space="preserve">, 564 U.S. 379, 398 (2011) (applying </w:t>
      </w:r>
      <w:r w:rsidRPr="00792133">
        <w:rPr>
          <w:rFonts w:ascii="Times New Roman" w:eastAsia="Calibri" w:hAnsi="Times New Roman" w:cs="Times New Roman"/>
          <w:i/>
          <w:iCs/>
          <w:kern w:val="0"/>
          <w14:ligatures w14:val="none"/>
        </w:rPr>
        <w:t xml:space="preserve">Garcetti </w:t>
      </w:r>
      <w:r w:rsidRPr="00792133">
        <w:rPr>
          <w:rFonts w:ascii="Times New Roman" w:eastAsia="Calibri" w:hAnsi="Times New Roman" w:cs="Times New Roman"/>
          <w:kern w:val="0"/>
          <w14:ligatures w14:val="none"/>
        </w:rPr>
        <w:t xml:space="preserve">public concern test to public employee’s First Amendment Petition Clause claims). </w:t>
      </w:r>
    </w:p>
    <w:p w14:paraId="6762BD01"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51F9B93C"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In </w:t>
      </w:r>
      <w:r w:rsidRPr="00792133">
        <w:rPr>
          <w:rFonts w:ascii="Times New Roman" w:eastAsia="Calibri" w:hAnsi="Times New Roman" w:cs="Times New Roman"/>
          <w:i/>
          <w:iCs/>
          <w:kern w:val="0"/>
          <w14:ligatures w14:val="none"/>
        </w:rPr>
        <w:t>Hernandez v. City of Phoenix</w:t>
      </w:r>
      <w:r w:rsidRPr="00792133">
        <w:rPr>
          <w:rFonts w:ascii="Times New Roman" w:eastAsia="Calibri" w:hAnsi="Times New Roman" w:cs="Times New Roman"/>
          <w:kern w:val="0"/>
          <w14:ligatures w14:val="none"/>
        </w:rPr>
        <w:t>, 43 F.4th 966, 976 (9th Cir. 2022), the Ninth Circuit reiterated that the “five sequential steps to analyze First Amendment retaliation claims brought by government employees,” require considering</w:t>
      </w:r>
    </w:p>
    <w:p w14:paraId="744425E2"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756E4F4D" w14:textId="77777777" w:rsidR="00792133" w:rsidRPr="00792133" w:rsidRDefault="00792133" w:rsidP="00792133">
      <w:pPr>
        <w:widowControl w:val="0"/>
        <w:spacing w:after="0" w:line="240" w:lineRule="auto"/>
        <w:ind w:left="720" w:right="720"/>
        <w:jc w:val="both"/>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(1) whether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 </w:t>
      </w:r>
    </w:p>
    <w:p w14:paraId="23E53516"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2B324710" w14:textId="77777777" w:rsidR="00792133" w:rsidRPr="00792133" w:rsidRDefault="00792133" w:rsidP="00792133">
      <w:pPr>
        <w:widowControl w:val="0"/>
        <w:spacing w:after="0" w:line="240" w:lineRule="auto"/>
        <w:rPr>
          <w:rFonts w:ascii="Times New Roman" w:eastAsia="Calibri" w:hAnsi="Times New Roman" w:cs="Times New Roman"/>
          <w:kern w:val="0"/>
          <w14:ligatures w14:val="none"/>
        </w:rPr>
      </w:pPr>
      <w:r w:rsidRPr="00792133">
        <w:rPr>
          <w:rFonts w:ascii="Times New Roman" w:eastAsia="Calibri" w:hAnsi="Times New Roman" w:cs="Times New Roman"/>
          <w:i/>
          <w:iCs/>
          <w:kern w:val="0"/>
          <w14:ligatures w14:val="none"/>
        </w:rPr>
        <w:t xml:space="preserve">Id. </w:t>
      </w:r>
      <w:r w:rsidRPr="00792133">
        <w:rPr>
          <w:rFonts w:ascii="Times New Roman" w:eastAsia="Calibri" w:hAnsi="Times New Roman" w:cs="Times New Roman"/>
          <w:kern w:val="0"/>
          <w14:ligatures w14:val="none"/>
        </w:rPr>
        <w:t xml:space="preserve">(quoting </w:t>
      </w:r>
      <w:r w:rsidRPr="00792133">
        <w:rPr>
          <w:rFonts w:ascii="Times New Roman" w:eastAsia="Calibri" w:hAnsi="Times New Roman" w:cs="Times New Roman"/>
          <w:i/>
          <w:iCs/>
          <w:kern w:val="0"/>
          <w14:ligatures w14:val="none"/>
        </w:rPr>
        <w:t xml:space="preserve">Eng v. Cooley, </w:t>
      </w:r>
      <w:r w:rsidRPr="00792133">
        <w:rPr>
          <w:rFonts w:ascii="Times New Roman" w:eastAsia="Calibri" w:hAnsi="Times New Roman" w:cs="Times New Roman"/>
          <w:kern w:val="0"/>
          <w14:ligatures w14:val="none"/>
        </w:rPr>
        <w:t xml:space="preserve">552 F.3d 1062, 1070 (9th Cir. 2009)); </w:t>
      </w:r>
      <w:r w:rsidRPr="00792133">
        <w:rPr>
          <w:rFonts w:ascii="Times New Roman" w:eastAsia="Calibri" w:hAnsi="Times New Roman" w:cs="Times New Roman"/>
          <w:i/>
          <w:iCs/>
          <w:kern w:val="0"/>
          <w14:ligatures w14:val="none"/>
        </w:rPr>
        <w:t>see Mt. Healthy City Sch. Dist. Bd. of Educ. v. Doyle</w:t>
      </w:r>
      <w:r w:rsidRPr="00792133">
        <w:rPr>
          <w:rFonts w:ascii="Times New Roman" w:eastAsia="Calibri" w:hAnsi="Times New Roman" w:cs="Times New Roman"/>
          <w:kern w:val="0"/>
          <w14:ligatures w14:val="none"/>
        </w:rPr>
        <w:t xml:space="preserve">, 429 U.S. 274, 276 (1977); </w:t>
      </w:r>
      <w:r w:rsidRPr="00792133">
        <w:rPr>
          <w:rFonts w:ascii="Times New Roman" w:eastAsia="Calibri" w:hAnsi="Times New Roman" w:cs="Times New Roman"/>
          <w:i/>
          <w:iCs/>
          <w:kern w:val="0"/>
          <w14:ligatures w14:val="none"/>
        </w:rPr>
        <w:t>Pickering v. Board of Education</w:t>
      </w:r>
      <w:r w:rsidRPr="00792133">
        <w:rPr>
          <w:rFonts w:ascii="Times New Roman" w:eastAsia="Calibri" w:hAnsi="Times New Roman" w:cs="Times New Roman"/>
          <w:kern w:val="0"/>
          <w14:ligatures w14:val="none"/>
        </w:rPr>
        <w:t xml:space="preserve">, 391 U.S. 563, 568 (1968); </w:t>
      </w:r>
      <w:r w:rsidRPr="00792133">
        <w:rPr>
          <w:rFonts w:ascii="Times New Roman" w:eastAsia="Calibri" w:hAnsi="Times New Roman" w:cs="Times New Roman"/>
          <w:i/>
          <w:iCs/>
          <w:kern w:val="0"/>
          <w14:ligatures w14:val="none"/>
        </w:rPr>
        <w:t>see also Dodge v. Evergreen Sch. Dist. #114</w:t>
      </w:r>
      <w:r w:rsidRPr="00792133">
        <w:rPr>
          <w:rFonts w:ascii="Times New Roman" w:eastAsia="Calibri" w:hAnsi="Times New Roman" w:cs="Times New Roman"/>
          <w:kern w:val="0"/>
          <w14:ligatures w14:val="none"/>
        </w:rPr>
        <w:t xml:space="preserve">, 56 F.4th 767, 776-77 (9th Cir. 2022) (setting forth legal standard for public employee First Amendment retaliation claims); </w:t>
      </w:r>
      <w:r w:rsidRPr="00792133">
        <w:rPr>
          <w:rFonts w:ascii="Times New Roman" w:eastAsia="Calibri" w:hAnsi="Times New Roman" w:cs="Times New Roman"/>
          <w:i/>
          <w:iCs/>
          <w:kern w:val="0"/>
          <w14:ligatures w14:val="none"/>
        </w:rPr>
        <w:t>Riley’s Am. Heritage Farms v. Elsasser</w:t>
      </w:r>
      <w:r w:rsidRPr="00792133">
        <w:rPr>
          <w:rFonts w:ascii="Times New Roman" w:eastAsia="Calibri" w:hAnsi="Times New Roman" w:cs="Times New Roman"/>
          <w:kern w:val="0"/>
          <w14:ligatures w14:val="none"/>
        </w:rPr>
        <w:t xml:space="preserve">, 32 F.4th 707, 721 (9th Cir. 2022) (same). </w:t>
      </w:r>
    </w:p>
    <w:p w14:paraId="42DD01E3"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339E2979"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Under the framework above, the government employee bears the burden of proving the first three steps of the test. </w:t>
      </w:r>
      <w:r w:rsidRPr="00792133">
        <w:rPr>
          <w:rFonts w:ascii="Times New Roman" w:eastAsia="Calibri" w:hAnsi="Times New Roman" w:cs="Times New Roman"/>
          <w:i/>
          <w:iCs/>
          <w:kern w:val="0"/>
          <w14:ligatures w14:val="none"/>
        </w:rPr>
        <w:t xml:space="preserve">See Moser v. L.V. Metro. Police </w:t>
      </w:r>
      <w:proofErr w:type="spellStart"/>
      <w:r w:rsidRPr="00792133">
        <w:rPr>
          <w:rFonts w:ascii="Times New Roman" w:eastAsia="Calibri" w:hAnsi="Times New Roman" w:cs="Times New Roman"/>
          <w:i/>
          <w:iCs/>
          <w:kern w:val="0"/>
          <w14:ligatures w14:val="none"/>
        </w:rPr>
        <w:t>Dep’t</w:t>
      </w:r>
      <w:proofErr w:type="spellEnd"/>
      <w:r w:rsidRPr="00792133">
        <w:rPr>
          <w:rFonts w:ascii="Times New Roman" w:eastAsia="Calibri" w:hAnsi="Times New Roman" w:cs="Times New Roman"/>
          <w:kern w:val="0"/>
          <w14:ligatures w14:val="none"/>
        </w:rPr>
        <w:t xml:space="preserve">, 984 F.3d 900, 904 (9th Cir. 2021). If the employee succeeds in making that threshold showing, the burden then shifts to the government to prove steps four and five. </w:t>
      </w:r>
      <w:r w:rsidRPr="00792133">
        <w:rPr>
          <w:rFonts w:ascii="Times New Roman" w:eastAsia="Calibri" w:hAnsi="Times New Roman" w:cs="Times New Roman"/>
          <w:i/>
          <w:iCs/>
          <w:kern w:val="0"/>
          <w14:ligatures w14:val="none"/>
        </w:rPr>
        <w:t>See id.</w:t>
      </w:r>
      <w:r w:rsidRPr="00792133">
        <w:rPr>
          <w:rFonts w:ascii="Times New Roman" w:eastAsia="Calibri" w:hAnsi="Times New Roman" w:cs="Times New Roman"/>
          <w:kern w:val="0"/>
          <w14:ligatures w14:val="none"/>
        </w:rPr>
        <w:t xml:space="preserve">; </w:t>
      </w:r>
      <w:r w:rsidRPr="00792133">
        <w:rPr>
          <w:rFonts w:ascii="Times New Roman" w:eastAsia="Calibri" w:hAnsi="Times New Roman" w:cs="Times New Roman"/>
          <w:i/>
          <w:iCs/>
          <w:kern w:val="0"/>
          <w14:ligatures w14:val="none"/>
        </w:rPr>
        <w:t>Ohlson v. Brady</w:t>
      </w:r>
      <w:r w:rsidRPr="00792133">
        <w:rPr>
          <w:rFonts w:ascii="Times New Roman" w:eastAsia="Calibri" w:hAnsi="Times New Roman" w:cs="Times New Roman"/>
          <w:kern w:val="0"/>
          <w14:ligatures w14:val="none"/>
        </w:rPr>
        <w:t xml:space="preserve">, 9 F.4th 1156, 1162 (9th Cir. 2021); </w:t>
      </w:r>
      <w:r w:rsidRPr="00792133">
        <w:rPr>
          <w:rFonts w:ascii="Times New Roman" w:eastAsia="Calibri" w:hAnsi="Times New Roman" w:cs="Times New Roman"/>
          <w:i/>
          <w:iCs/>
          <w:kern w:val="0"/>
          <w14:ligatures w14:val="none"/>
        </w:rPr>
        <w:t>see also Kennedy v. Bremerton Sch. Dist.</w:t>
      </w:r>
      <w:r w:rsidRPr="00792133">
        <w:rPr>
          <w:rFonts w:ascii="Times New Roman" w:eastAsia="Calibri" w:hAnsi="Times New Roman" w:cs="Times New Roman"/>
          <w:kern w:val="0"/>
          <w14:ligatures w14:val="none"/>
        </w:rPr>
        <w:t xml:space="preserve">, 597 U.S. 507, 531 (2022) (discussing the burden shifting framework of the </w:t>
      </w:r>
      <w:r w:rsidRPr="00792133">
        <w:rPr>
          <w:rFonts w:ascii="Times New Roman" w:eastAsia="Calibri" w:hAnsi="Times New Roman" w:cs="Times New Roman"/>
          <w:i/>
          <w:iCs/>
          <w:kern w:val="0"/>
          <w14:ligatures w14:val="none"/>
        </w:rPr>
        <w:t>Pickering</w:t>
      </w:r>
      <w:r w:rsidRPr="00792133">
        <w:rPr>
          <w:rFonts w:ascii="Times New Roman" w:eastAsia="Calibri" w:hAnsi="Times New Roman" w:cs="Times New Roman"/>
          <w:kern w:val="0"/>
          <w14:ligatures w14:val="none"/>
        </w:rPr>
        <w:t>-</w:t>
      </w:r>
      <w:r w:rsidRPr="00792133">
        <w:rPr>
          <w:rFonts w:ascii="Times New Roman" w:eastAsia="Calibri" w:hAnsi="Times New Roman" w:cs="Times New Roman"/>
          <w:i/>
          <w:iCs/>
          <w:kern w:val="0"/>
          <w14:ligatures w14:val="none"/>
        </w:rPr>
        <w:t xml:space="preserve">Garcetti </w:t>
      </w:r>
      <w:r w:rsidRPr="00792133">
        <w:rPr>
          <w:rFonts w:ascii="Times New Roman" w:eastAsia="Calibri" w:hAnsi="Times New Roman" w:cs="Times New Roman"/>
          <w:kern w:val="0"/>
          <w:szCs w:val="22"/>
          <w14:ligatures w14:val="none"/>
        </w:rPr>
        <w:t xml:space="preserve">analysis); </w:t>
      </w:r>
      <w:r w:rsidRPr="00792133">
        <w:rPr>
          <w:rFonts w:ascii="Times New Roman" w:eastAsia="Calibri" w:hAnsi="Times New Roman" w:cs="Times New Roman"/>
          <w:i/>
          <w:iCs/>
          <w:kern w:val="0"/>
          <w:szCs w:val="22"/>
          <w14:ligatures w14:val="none"/>
        </w:rPr>
        <w:t>Damiano v. Grants Pass Sch. Dist. No. 7</w:t>
      </w:r>
      <w:r w:rsidRPr="00792133">
        <w:rPr>
          <w:rFonts w:ascii="Times New Roman" w:eastAsia="Calibri" w:hAnsi="Times New Roman" w:cs="Times New Roman"/>
          <w:kern w:val="0"/>
          <w:szCs w:val="22"/>
          <w14:ligatures w14:val="none"/>
        </w:rPr>
        <w:t xml:space="preserve">, 140 F.4th 1117, 1147 (9th Cir. 2025) (reversing summary judgment for defendants on the application of </w:t>
      </w:r>
      <w:r w:rsidRPr="00792133">
        <w:rPr>
          <w:rFonts w:ascii="Times New Roman" w:eastAsia="Calibri" w:hAnsi="Times New Roman" w:cs="Times New Roman"/>
          <w:i/>
          <w:iCs/>
          <w:kern w:val="0"/>
          <w:szCs w:val="22"/>
          <w14:ligatures w14:val="none"/>
        </w:rPr>
        <w:t xml:space="preserve">Pickering </w:t>
      </w:r>
      <w:r w:rsidRPr="00792133">
        <w:rPr>
          <w:rFonts w:ascii="Times New Roman" w:eastAsia="Calibri" w:hAnsi="Times New Roman" w:cs="Times New Roman"/>
          <w:kern w:val="0"/>
          <w:szCs w:val="22"/>
          <w14:ligatures w14:val="none"/>
        </w:rPr>
        <w:t xml:space="preserve">when, viewing the facts in the light most favorable to the plaintiffs, the defendants had not “shown the actual or reasonably predicted disruption [was] so substantial they prevail under </w:t>
      </w:r>
      <w:r w:rsidRPr="00792133">
        <w:rPr>
          <w:rFonts w:ascii="Times New Roman" w:eastAsia="Calibri" w:hAnsi="Times New Roman" w:cs="Times New Roman"/>
          <w:i/>
          <w:iCs/>
          <w:kern w:val="0"/>
          <w:szCs w:val="22"/>
          <w14:ligatures w14:val="none"/>
        </w:rPr>
        <w:t xml:space="preserve">Pickering </w:t>
      </w:r>
      <w:r w:rsidRPr="00792133">
        <w:rPr>
          <w:rFonts w:ascii="Times New Roman" w:eastAsia="Calibri" w:hAnsi="Times New Roman" w:cs="Times New Roman"/>
          <w:kern w:val="0"/>
          <w:szCs w:val="22"/>
          <w14:ligatures w14:val="none"/>
        </w:rPr>
        <w:t>as a matter of law”).</w:t>
      </w:r>
    </w:p>
    <w:p w14:paraId="55A9CFC9"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6E954123"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The “public concern inquiry is purely a question of law,” </w:t>
      </w:r>
      <w:r w:rsidRPr="00792133">
        <w:rPr>
          <w:rFonts w:ascii="Times New Roman" w:eastAsia="Calibri" w:hAnsi="Times New Roman" w:cs="Times New Roman"/>
          <w:i/>
          <w:iCs/>
          <w:kern w:val="0"/>
          <w14:ligatures w14:val="none"/>
        </w:rPr>
        <w:t>Eng</w:t>
      </w:r>
      <w:r w:rsidRPr="00792133">
        <w:rPr>
          <w:rFonts w:ascii="Times New Roman" w:eastAsia="Calibri" w:hAnsi="Times New Roman" w:cs="Times New Roman"/>
          <w:kern w:val="0"/>
          <w14:ligatures w14:val="none"/>
        </w:rPr>
        <w:t xml:space="preserve">, 552 F.3d at 1070, that depends on the “content, form, and context of a given statement, as revealed by the whole record.” </w:t>
      </w:r>
      <w:r w:rsidRPr="00792133">
        <w:rPr>
          <w:rFonts w:ascii="Times New Roman" w:eastAsia="Calibri" w:hAnsi="Times New Roman" w:cs="Times New Roman"/>
          <w:i/>
          <w:iCs/>
          <w:kern w:val="0"/>
          <w14:ligatures w14:val="none"/>
        </w:rPr>
        <w:t>Moser</w:t>
      </w:r>
      <w:r w:rsidRPr="00792133">
        <w:rPr>
          <w:rFonts w:ascii="Times New Roman" w:eastAsia="Calibri" w:hAnsi="Times New Roman" w:cs="Times New Roman"/>
          <w:kern w:val="0"/>
          <w14:ligatures w14:val="none"/>
        </w:rPr>
        <w:t xml:space="preserve">, 984 F.3d at 905 (quoting </w:t>
      </w:r>
      <w:r w:rsidRPr="00792133">
        <w:rPr>
          <w:rFonts w:ascii="Times New Roman" w:eastAsia="Calibri" w:hAnsi="Times New Roman" w:cs="Times New Roman"/>
          <w:i/>
          <w:iCs/>
          <w:kern w:val="0"/>
          <w14:ligatures w14:val="none"/>
        </w:rPr>
        <w:t>Connick v. Myers</w:t>
      </w:r>
      <w:r w:rsidRPr="00792133">
        <w:rPr>
          <w:rFonts w:ascii="Times New Roman" w:eastAsia="Calibri" w:hAnsi="Times New Roman" w:cs="Times New Roman"/>
          <w:kern w:val="0"/>
          <w14:ligatures w14:val="none"/>
        </w:rPr>
        <w:t xml:space="preserve">, 461 U.S. 138, 147-48 (1983)); </w:t>
      </w:r>
      <w:r w:rsidRPr="00792133">
        <w:rPr>
          <w:rFonts w:ascii="Times New Roman" w:eastAsia="Calibri" w:hAnsi="Times New Roman" w:cs="Times New Roman"/>
          <w:i/>
          <w:iCs/>
          <w:kern w:val="0"/>
          <w14:ligatures w14:val="none"/>
        </w:rPr>
        <w:t xml:space="preserve">see also Adams v. </w:t>
      </w:r>
      <w:r w:rsidRPr="00792133">
        <w:rPr>
          <w:rFonts w:ascii="Times New Roman" w:eastAsia="Calibri" w:hAnsi="Times New Roman" w:cs="Times New Roman"/>
          <w:i/>
          <w:iCs/>
          <w:kern w:val="0"/>
          <w:szCs w:val="22"/>
          <w14:ligatures w14:val="none"/>
        </w:rPr>
        <w:t>County of Sacramento</w:t>
      </w:r>
      <w:r w:rsidRPr="00792133">
        <w:rPr>
          <w:rFonts w:ascii="Times New Roman" w:eastAsia="Calibri" w:hAnsi="Times New Roman" w:cs="Times New Roman"/>
          <w:kern w:val="0"/>
          <w:szCs w:val="22"/>
          <w14:ligatures w14:val="none"/>
        </w:rPr>
        <w:t>, 143 F.4th 1027, 1034-37</w:t>
      </w:r>
      <w:r w:rsidRPr="00792133" w:rsidDel="009E7C68">
        <w:rPr>
          <w:rFonts w:ascii="Times New Roman" w:eastAsia="Calibri" w:hAnsi="Times New Roman" w:cs="Times New Roman"/>
          <w:kern w:val="0"/>
          <w:szCs w:val="22"/>
          <w14:ligatures w14:val="none"/>
        </w:rPr>
        <w:t xml:space="preserve"> </w:t>
      </w:r>
      <w:r w:rsidRPr="00792133">
        <w:rPr>
          <w:rFonts w:ascii="Times New Roman" w:eastAsia="Calibri" w:hAnsi="Times New Roman" w:cs="Times New Roman"/>
          <w:kern w:val="0"/>
          <w:szCs w:val="22"/>
          <w14:ligatures w14:val="none"/>
        </w:rPr>
        <w:t>(9th Cir. 2025) (amended opinion) (holding that private text exchange related to offensive images did not involve a matter of public concern).</w:t>
      </w:r>
    </w:p>
    <w:p w14:paraId="6EF0C3DD"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2596E1B5"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lastRenderedPageBreak/>
        <w:t xml:space="preserve">In </w:t>
      </w:r>
      <w:r w:rsidRPr="00792133">
        <w:rPr>
          <w:rFonts w:ascii="Times New Roman" w:eastAsia="Calibri" w:hAnsi="Times New Roman" w:cs="Times New Roman"/>
          <w:i/>
          <w:iCs/>
          <w:kern w:val="0"/>
          <w14:ligatures w14:val="none"/>
        </w:rPr>
        <w:t>Garcetti</w:t>
      </w:r>
      <w:r w:rsidRPr="00792133">
        <w:rPr>
          <w:rFonts w:ascii="Times New Roman" w:eastAsia="Calibri" w:hAnsi="Times New Roman" w:cs="Times New Roman"/>
          <w:kern w:val="0"/>
          <w14:ligatures w14:val="none"/>
        </w:rPr>
        <w:t xml:space="preserve">, the Supreme Court held “that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First, in an explicit effort to avoid having its holding serve as an invitation for employers to restrict employees’ rights “by creating excessively broad job descriptions,” the Court noted that “the listing of a given task in an employee’s written job description is neither necessary nor sufficient to demonstrate that conducting the task is within the scope of the employee’s professional duties for First Amendment purposes.” </w:t>
      </w:r>
      <w:r w:rsidRPr="00792133">
        <w:rPr>
          <w:rFonts w:ascii="Times New Roman" w:eastAsia="Calibri" w:hAnsi="Times New Roman" w:cs="Times New Roman"/>
          <w:i/>
          <w:iCs/>
          <w:kern w:val="0"/>
          <w14:ligatures w14:val="none"/>
        </w:rPr>
        <w:t>Id</w:t>
      </w:r>
      <w:r w:rsidRPr="00792133">
        <w:rPr>
          <w:rFonts w:ascii="Times New Roman" w:eastAsia="Calibri" w:hAnsi="Times New Roman" w:cs="Times New Roman"/>
          <w:kern w:val="0"/>
          <w14:ligatures w14:val="none"/>
        </w:rPr>
        <w:t xml:space="preserve">. at 424-25. Second, the Court recognized that </w:t>
      </w:r>
    </w:p>
    <w:p w14:paraId="285DB04D"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2D4141C1" w14:textId="77777777" w:rsidR="00792133" w:rsidRPr="00792133" w:rsidRDefault="00792133" w:rsidP="00792133">
      <w:pPr>
        <w:widowControl w:val="0"/>
        <w:spacing w:after="0" w:line="240" w:lineRule="auto"/>
        <w:ind w:left="720" w:right="720"/>
        <w:jc w:val="both"/>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[t]here is some argument that expression related to academic scholarship or classroom instruction implicates additional constitutional interests that are not fully accounted for by this Court’s customary employee-speech jurisprudence … [F]or that reason [we] do not[] decide whether the analysis we conduct today would apply in the same manner to a case involving speech related to scholarship or teaching. </w:t>
      </w:r>
    </w:p>
    <w:p w14:paraId="3B846367" w14:textId="77777777" w:rsidR="00792133" w:rsidRPr="00792133" w:rsidRDefault="00792133" w:rsidP="00792133">
      <w:pPr>
        <w:widowControl w:val="0"/>
        <w:spacing w:after="0" w:line="240" w:lineRule="auto"/>
        <w:ind w:left="720" w:right="720" w:firstLine="720"/>
        <w:jc w:val="both"/>
        <w:rPr>
          <w:rFonts w:ascii="Times New Roman" w:eastAsia="Calibri" w:hAnsi="Times New Roman" w:cs="Times New Roman"/>
          <w:kern w:val="0"/>
          <w14:ligatures w14:val="none"/>
        </w:rPr>
      </w:pPr>
    </w:p>
    <w:p w14:paraId="60E63B89" w14:textId="77777777" w:rsidR="00792133" w:rsidRPr="00792133" w:rsidRDefault="00792133" w:rsidP="00792133">
      <w:pPr>
        <w:widowControl w:val="0"/>
        <w:spacing w:after="0" w:line="240" w:lineRule="auto"/>
        <w:rPr>
          <w:rFonts w:ascii="Times New Roman" w:eastAsia="Calibri" w:hAnsi="Times New Roman" w:cs="Times New Roman"/>
          <w:kern w:val="0"/>
          <w14:ligatures w14:val="none"/>
        </w:rPr>
      </w:pPr>
      <w:r w:rsidRPr="00792133">
        <w:rPr>
          <w:rFonts w:ascii="Times New Roman" w:eastAsia="Calibri" w:hAnsi="Times New Roman" w:cs="Times New Roman"/>
          <w:i/>
          <w:iCs/>
          <w:kern w:val="0"/>
          <w14:ligatures w14:val="none"/>
        </w:rPr>
        <w:t>Id</w:t>
      </w:r>
      <w:r w:rsidRPr="00792133">
        <w:rPr>
          <w:rFonts w:ascii="Times New Roman" w:eastAsia="Calibri" w:hAnsi="Times New Roman" w:cs="Times New Roman"/>
          <w:kern w:val="0"/>
          <w14:ligatures w14:val="none"/>
        </w:rPr>
        <w:t xml:space="preserve">. at 425. </w:t>
      </w:r>
    </w:p>
    <w:p w14:paraId="7B86DDCB"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7FF7AB94"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In </w:t>
      </w:r>
      <w:r w:rsidRPr="00792133">
        <w:rPr>
          <w:rFonts w:ascii="Times New Roman" w:eastAsia="Calibri" w:hAnsi="Times New Roman" w:cs="Times New Roman"/>
          <w:i/>
          <w:iCs/>
          <w:kern w:val="0"/>
          <w14:ligatures w14:val="none"/>
        </w:rPr>
        <w:t>Demers v. Austin</w:t>
      </w:r>
      <w:r w:rsidRPr="00792133">
        <w:rPr>
          <w:rFonts w:ascii="Times New Roman" w:eastAsia="Calibri" w:hAnsi="Times New Roman" w:cs="Times New Roman"/>
          <w:kern w:val="0"/>
          <w14:ligatures w14:val="none"/>
        </w:rPr>
        <w:t>, 746 F.3d 402, 406 (9th Cir. 2014), however, the Ninth Circuit answered the latter question and held that “</w:t>
      </w:r>
      <w:r w:rsidRPr="00792133">
        <w:rPr>
          <w:rFonts w:ascii="Times New Roman" w:eastAsia="Calibri" w:hAnsi="Times New Roman" w:cs="Times New Roman"/>
          <w:i/>
          <w:iCs/>
          <w:kern w:val="0"/>
          <w14:ligatures w14:val="none"/>
        </w:rPr>
        <w:t xml:space="preserve">Garcetti </w:t>
      </w:r>
      <w:r w:rsidRPr="00792133">
        <w:rPr>
          <w:rFonts w:ascii="Times New Roman" w:eastAsia="Calibri" w:hAnsi="Times New Roman" w:cs="Times New Roman"/>
          <w:kern w:val="0"/>
          <w14:ligatures w14:val="none"/>
        </w:rPr>
        <w:t xml:space="preserve">does not apply to ‘speech related to scholarship or teaching.’” Rather, the Ninth Circuit held that such speech is governed by </w:t>
      </w:r>
      <w:bookmarkStart w:id="1" w:name="_Hlk199187439"/>
      <w:r w:rsidRPr="00792133">
        <w:rPr>
          <w:rFonts w:ascii="Times New Roman" w:eastAsia="Calibri" w:hAnsi="Times New Roman" w:cs="Times New Roman"/>
          <w:i/>
          <w:iCs/>
          <w:kern w:val="0"/>
          <w14:ligatures w14:val="none"/>
        </w:rPr>
        <w:t>Pickering v. Board of Education</w:t>
      </w:r>
      <w:r w:rsidRPr="00792133">
        <w:rPr>
          <w:rFonts w:ascii="Times New Roman" w:eastAsia="Calibri" w:hAnsi="Times New Roman" w:cs="Times New Roman"/>
          <w:kern w:val="0"/>
          <w14:ligatures w14:val="none"/>
        </w:rPr>
        <w:t xml:space="preserve">, 391 U.S. 563 (1968) </w:t>
      </w:r>
      <w:bookmarkEnd w:id="1"/>
      <w:r w:rsidRPr="00792133">
        <w:rPr>
          <w:rFonts w:ascii="Times New Roman" w:eastAsia="Calibri" w:hAnsi="Times New Roman" w:cs="Times New Roman"/>
          <w:kern w:val="0"/>
          <w14:ligatures w14:val="none"/>
        </w:rPr>
        <w:t xml:space="preserve">(considering speech by public school teacher critical of school board). </w:t>
      </w:r>
      <w:r w:rsidRPr="00792133">
        <w:rPr>
          <w:rFonts w:ascii="Times New Roman" w:eastAsia="Calibri" w:hAnsi="Times New Roman" w:cs="Times New Roman"/>
          <w:i/>
          <w:iCs/>
          <w:kern w:val="0"/>
          <w14:ligatures w14:val="none"/>
        </w:rPr>
        <w:t>Id</w:t>
      </w:r>
      <w:r w:rsidRPr="00792133">
        <w:rPr>
          <w:rFonts w:ascii="Times New Roman" w:eastAsia="Calibri" w:hAnsi="Times New Roman" w:cs="Times New Roman"/>
          <w:kern w:val="0"/>
          <w14:ligatures w14:val="none"/>
        </w:rPr>
        <w:t xml:space="preserve">. In </w:t>
      </w:r>
      <w:r w:rsidRPr="00792133">
        <w:rPr>
          <w:rFonts w:ascii="Times New Roman" w:eastAsia="Calibri" w:hAnsi="Times New Roman" w:cs="Times New Roman"/>
          <w:i/>
          <w:iCs/>
          <w:kern w:val="0"/>
          <w14:ligatures w14:val="none"/>
        </w:rPr>
        <w:t>Demers</w:t>
      </w:r>
      <w:r w:rsidRPr="00792133">
        <w:rPr>
          <w:rFonts w:ascii="Times New Roman" w:eastAsia="Calibri" w:hAnsi="Times New Roman" w:cs="Times New Roman"/>
          <w:kern w:val="0"/>
          <w14:ligatures w14:val="none"/>
        </w:rPr>
        <w:t>,</w:t>
      </w:r>
      <w:r w:rsidRPr="00792133">
        <w:rPr>
          <w:rFonts w:ascii="Times New Roman" w:eastAsia="Calibri" w:hAnsi="Times New Roman" w:cs="Times New Roman"/>
          <w:i/>
          <w:iCs/>
          <w:kern w:val="0"/>
          <w14:ligatures w14:val="none"/>
        </w:rPr>
        <w:t xml:space="preserve"> </w:t>
      </w:r>
      <w:r w:rsidRPr="00792133">
        <w:rPr>
          <w:rFonts w:ascii="Times New Roman" w:eastAsia="Calibri" w:hAnsi="Times New Roman" w:cs="Times New Roman"/>
          <w:kern w:val="0"/>
          <w14:ligatures w14:val="none"/>
        </w:rPr>
        <w:t>the</w:t>
      </w:r>
      <w:r w:rsidRPr="00792133">
        <w:rPr>
          <w:rFonts w:ascii="Times New Roman" w:eastAsia="Calibri" w:hAnsi="Times New Roman" w:cs="Times New Roman"/>
          <w:i/>
          <w:iCs/>
          <w:kern w:val="0"/>
          <w14:ligatures w14:val="none"/>
        </w:rPr>
        <w:t xml:space="preserve"> </w:t>
      </w:r>
      <w:r w:rsidRPr="00792133">
        <w:rPr>
          <w:rFonts w:ascii="Times New Roman" w:eastAsia="Calibri" w:hAnsi="Times New Roman" w:cs="Times New Roman"/>
          <w:kern w:val="0"/>
          <w14:ligatures w14:val="none"/>
        </w:rPr>
        <w:t xml:space="preserve">court went on to conclude that a state university professor’s plan for changes in his department addressed a matter of public concern under </w:t>
      </w:r>
      <w:r w:rsidRPr="00792133">
        <w:rPr>
          <w:rFonts w:ascii="Times New Roman" w:eastAsia="Calibri" w:hAnsi="Times New Roman" w:cs="Times New Roman"/>
          <w:i/>
          <w:iCs/>
          <w:kern w:val="0"/>
          <w14:ligatures w14:val="none"/>
        </w:rPr>
        <w:t>Pickering</w:t>
      </w:r>
      <w:r w:rsidRPr="00792133">
        <w:rPr>
          <w:rFonts w:ascii="Times New Roman" w:eastAsia="Calibri" w:hAnsi="Times New Roman" w:cs="Times New Roman"/>
          <w:kern w:val="0"/>
          <w14:ligatures w14:val="none"/>
        </w:rPr>
        <w:t xml:space="preserve">. </w:t>
      </w:r>
      <w:r w:rsidRPr="00792133">
        <w:rPr>
          <w:rFonts w:ascii="Times New Roman" w:eastAsia="Calibri" w:hAnsi="Times New Roman" w:cs="Times New Roman"/>
          <w:i/>
          <w:iCs/>
          <w:kern w:val="0"/>
          <w14:ligatures w14:val="none"/>
        </w:rPr>
        <w:t>Id</w:t>
      </w:r>
      <w:r w:rsidRPr="00792133">
        <w:rPr>
          <w:rFonts w:ascii="Times New Roman" w:eastAsia="Calibri" w:hAnsi="Times New Roman" w:cs="Times New Roman"/>
          <w:kern w:val="0"/>
          <w14:ligatures w14:val="none"/>
        </w:rPr>
        <w:t xml:space="preserve">. at 414-17; </w:t>
      </w:r>
      <w:r w:rsidRPr="00792133">
        <w:rPr>
          <w:rFonts w:ascii="Times New Roman" w:eastAsia="Calibri" w:hAnsi="Times New Roman" w:cs="Times New Roman"/>
          <w:i/>
          <w:kern w:val="0"/>
          <w14:ligatures w14:val="none"/>
        </w:rPr>
        <w:t>see also Jensen v. Brown</w:t>
      </w:r>
      <w:r w:rsidRPr="00792133">
        <w:rPr>
          <w:rFonts w:ascii="Times New Roman" w:eastAsia="Calibri" w:hAnsi="Times New Roman" w:cs="Times New Roman"/>
          <w:kern w:val="0"/>
          <w14:ligatures w14:val="none"/>
        </w:rPr>
        <w:t xml:space="preserve">, 131 F.4th 677, 688-89, 694 (9th Cir. 2025) (relying on </w:t>
      </w:r>
      <w:r w:rsidRPr="00792133">
        <w:rPr>
          <w:rFonts w:ascii="Times New Roman" w:eastAsia="Calibri" w:hAnsi="Times New Roman" w:cs="Times New Roman"/>
          <w:i/>
          <w:iCs/>
          <w:kern w:val="0"/>
          <w14:ligatures w14:val="none"/>
        </w:rPr>
        <w:t>Demers</w:t>
      </w:r>
      <w:r w:rsidRPr="00792133">
        <w:rPr>
          <w:rFonts w:ascii="Times New Roman" w:eastAsia="Calibri" w:hAnsi="Times New Roman" w:cs="Times New Roman"/>
          <w:kern w:val="0"/>
          <w14:ligatures w14:val="none"/>
        </w:rPr>
        <w:t xml:space="preserve"> to apply the </w:t>
      </w:r>
      <w:r w:rsidRPr="00792133">
        <w:rPr>
          <w:rFonts w:ascii="Times New Roman" w:eastAsia="Calibri" w:hAnsi="Times New Roman" w:cs="Times New Roman"/>
          <w:i/>
          <w:kern w:val="0"/>
          <w14:ligatures w14:val="none"/>
        </w:rPr>
        <w:t>Pickering</w:t>
      </w:r>
      <w:r w:rsidRPr="00792133">
        <w:rPr>
          <w:rFonts w:ascii="Times New Roman" w:eastAsia="Calibri" w:hAnsi="Times New Roman" w:cs="Times New Roman"/>
          <w:kern w:val="0"/>
          <w14:ligatures w14:val="none"/>
        </w:rPr>
        <w:t xml:space="preserve"> test to a community college professor’s First Amendment retaliation claim against his employer based on his criticism of curriculum changes). By contrast, in </w:t>
      </w:r>
      <w:r w:rsidRPr="00792133">
        <w:rPr>
          <w:rFonts w:ascii="Times New Roman" w:eastAsia="Calibri" w:hAnsi="Times New Roman" w:cs="Times New Roman"/>
          <w:i/>
          <w:iCs/>
          <w:kern w:val="0"/>
          <w14:ligatures w14:val="none"/>
        </w:rPr>
        <w:t>Kennedy v. Bremerton School District</w:t>
      </w:r>
      <w:r w:rsidRPr="00792133">
        <w:rPr>
          <w:rFonts w:ascii="Times New Roman" w:eastAsia="Calibri" w:hAnsi="Times New Roman" w:cs="Times New Roman"/>
          <w:kern w:val="0"/>
          <w14:ligatures w14:val="none"/>
        </w:rPr>
        <w:t xml:space="preserve">, the Supreme Court held that a football coach spoke not as a public employee, but as a private citizen, when he decided “to persist in praying quietly without his players after three games in October 2015,” 597 U.S. 507, 525-26 (2022), which were “the three prayers that resulted in his suspension,” </w:t>
      </w:r>
      <w:r w:rsidRPr="00792133">
        <w:rPr>
          <w:rFonts w:ascii="Times New Roman" w:eastAsia="Calibri" w:hAnsi="Times New Roman" w:cs="Times New Roman"/>
          <w:i/>
          <w:iCs/>
          <w:kern w:val="0"/>
          <w14:ligatures w14:val="none"/>
        </w:rPr>
        <w:t xml:space="preserve">id. </w:t>
      </w:r>
      <w:r w:rsidRPr="00792133">
        <w:rPr>
          <w:rFonts w:ascii="Times New Roman" w:eastAsia="Calibri" w:hAnsi="Times New Roman" w:cs="Times New Roman"/>
          <w:kern w:val="0"/>
          <w14:ligatures w14:val="none"/>
        </w:rPr>
        <w:t xml:space="preserve">at 529. </w:t>
      </w:r>
    </w:p>
    <w:p w14:paraId="5B7E5043"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17DA1227"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The definition of “adverse employment action” in this instruction is substantially the same as that in Instruction 10.12 (Civil Rights—Title VII</w:t>
      </w:r>
      <w:proofErr w:type="gramStart"/>
      <w:r w:rsidRPr="00792133">
        <w:rPr>
          <w:rFonts w:ascii="Times New Roman" w:eastAsia="Calibri" w:hAnsi="Times New Roman" w:cs="Times New Roman"/>
          <w:kern w:val="0"/>
          <w14:ligatures w14:val="none"/>
        </w:rPr>
        <w:t>—“</w:t>
      </w:r>
      <w:proofErr w:type="gramEnd"/>
      <w:r w:rsidRPr="00792133">
        <w:rPr>
          <w:rFonts w:ascii="Times New Roman" w:eastAsia="Calibri" w:hAnsi="Times New Roman" w:cs="Times New Roman"/>
          <w:kern w:val="0"/>
          <w14:ligatures w14:val="none"/>
        </w:rPr>
        <w:t xml:space="preserve">Adverse Employment Action” in Retaliation Cases). See the Comment to that instruction for supporting authorities. </w:t>
      </w:r>
    </w:p>
    <w:p w14:paraId="23F726A8"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5B92AF41"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With respect to </w:t>
      </w:r>
      <w:r w:rsidRPr="00792133">
        <w:rPr>
          <w:rFonts w:ascii="Times New Roman" w:eastAsia="Calibri" w:hAnsi="Times New Roman" w:cs="Times New Roman"/>
          <w:kern w:val="0"/>
          <w:szCs w:val="22"/>
          <w14:ligatures w14:val="none"/>
        </w:rPr>
        <w:t>causation, “[</w:t>
      </w:r>
      <w:proofErr w:type="spellStart"/>
      <w:r w:rsidRPr="00792133">
        <w:rPr>
          <w:rFonts w:ascii="Times New Roman" w:eastAsia="Calibri" w:hAnsi="Times New Roman" w:cs="Times New Roman"/>
          <w:kern w:val="0"/>
          <w:szCs w:val="22"/>
          <w14:ligatures w14:val="none"/>
        </w:rPr>
        <w:t>i</w:t>
      </w:r>
      <w:proofErr w:type="spellEnd"/>
      <w:r w:rsidRPr="00792133">
        <w:rPr>
          <w:rFonts w:ascii="Times New Roman" w:eastAsia="Calibri" w:hAnsi="Times New Roman" w:cs="Times New Roman"/>
          <w:kern w:val="0"/>
          <w:szCs w:val="22"/>
          <w14:ligatures w14:val="none"/>
        </w:rPr>
        <w:t xml:space="preserve">]t is clear . . . that the causation is understood to be but-for causation, without which the adverse action would not have been taken.” </w:t>
      </w:r>
      <w:r w:rsidRPr="00792133">
        <w:rPr>
          <w:rFonts w:ascii="Times New Roman" w:eastAsia="Calibri" w:hAnsi="Times New Roman" w:cs="Times New Roman"/>
          <w:i/>
          <w:iCs/>
          <w:kern w:val="0"/>
          <w:szCs w:val="22"/>
          <w14:ligatures w14:val="none"/>
        </w:rPr>
        <w:t>Hartman v. Moore</w:t>
      </w:r>
      <w:r w:rsidRPr="00792133">
        <w:rPr>
          <w:rFonts w:ascii="Times New Roman" w:eastAsia="Calibri" w:hAnsi="Times New Roman" w:cs="Times New Roman"/>
          <w:kern w:val="0"/>
          <w:szCs w:val="22"/>
          <w14:ligatures w14:val="none"/>
        </w:rPr>
        <w:t xml:space="preserve">, 547 U.S. 250, 260 (2006). Proximity in time can support a causal connection between speech and an adverse employment action. </w:t>
      </w:r>
      <w:r w:rsidRPr="00792133">
        <w:rPr>
          <w:rFonts w:ascii="Times New Roman" w:eastAsia="Calibri" w:hAnsi="Times New Roman" w:cs="Times New Roman"/>
          <w:i/>
          <w:iCs/>
          <w:kern w:val="0"/>
          <w:szCs w:val="22"/>
          <w14:ligatures w14:val="none"/>
        </w:rPr>
        <w:t>See</w:t>
      </w:r>
      <w:r w:rsidRPr="00792133">
        <w:rPr>
          <w:rFonts w:ascii="Times New Roman" w:eastAsia="Calibri" w:hAnsi="Times New Roman" w:cs="Times New Roman"/>
          <w:kern w:val="0"/>
          <w:szCs w:val="22"/>
          <w14:ligatures w14:val="none"/>
        </w:rPr>
        <w:t xml:space="preserve"> </w:t>
      </w:r>
      <w:r w:rsidRPr="00792133">
        <w:rPr>
          <w:rFonts w:ascii="Times New Roman" w:eastAsia="Calibri" w:hAnsi="Times New Roman" w:cs="Times New Roman"/>
          <w:i/>
          <w:iCs/>
          <w:kern w:val="0"/>
          <w:szCs w:val="22"/>
          <w14:ligatures w14:val="none"/>
        </w:rPr>
        <w:t>Burch v. City of Chubbuck</w:t>
      </w:r>
      <w:r w:rsidRPr="00792133">
        <w:rPr>
          <w:rFonts w:ascii="Times New Roman" w:eastAsia="Calibri" w:hAnsi="Times New Roman" w:cs="Times New Roman"/>
          <w:kern w:val="0"/>
          <w:szCs w:val="22"/>
          <w14:ligatures w14:val="none"/>
        </w:rPr>
        <w:t xml:space="preserve">, 146 F.4th 822, 838 (9th Cir. 2025). Thus, “upon a prima facie showing of retaliatory harm, the burden shifts to the defendant official to demonstrate that even without the impetus to retaliate he would have taken the action complained of (such as firing the employee).” </w:t>
      </w:r>
      <w:r w:rsidRPr="00792133">
        <w:rPr>
          <w:rFonts w:ascii="Times New Roman" w:eastAsia="Calibri" w:hAnsi="Times New Roman" w:cs="Times New Roman"/>
          <w:i/>
          <w:iCs/>
          <w:kern w:val="0"/>
          <w:szCs w:val="22"/>
          <w14:ligatures w14:val="none"/>
        </w:rPr>
        <w:t>Id</w:t>
      </w:r>
      <w:r w:rsidRPr="00792133">
        <w:rPr>
          <w:rFonts w:ascii="Times New Roman" w:eastAsia="Calibri" w:hAnsi="Times New Roman" w:cs="Times New Roman"/>
          <w:kern w:val="0"/>
          <w:szCs w:val="22"/>
          <w14:ligatures w14:val="none"/>
        </w:rPr>
        <w:t xml:space="preserve">.; </w:t>
      </w:r>
      <w:r w:rsidRPr="00792133">
        <w:rPr>
          <w:rFonts w:ascii="Times New Roman" w:eastAsia="Calibri" w:hAnsi="Times New Roman" w:cs="Times New Roman"/>
          <w:i/>
          <w:iCs/>
          <w:kern w:val="0"/>
          <w:szCs w:val="22"/>
          <w14:ligatures w14:val="none"/>
        </w:rPr>
        <w:t>see</w:t>
      </w:r>
      <w:r w:rsidRPr="00792133">
        <w:rPr>
          <w:rFonts w:ascii="Times New Roman" w:eastAsia="Calibri" w:hAnsi="Times New Roman" w:cs="Times New Roman"/>
          <w:kern w:val="0"/>
          <w:szCs w:val="22"/>
          <w14:ligatures w14:val="none"/>
        </w:rPr>
        <w:t xml:space="preserve"> </w:t>
      </w:r>
      <w:r w:rsidRPr="00792133">
        <w:rPr>
          <w:rFonts w:ascii="Times New Roman" w:eastAsia="Calibri" w:hAnsi="Times New Roman" w:cs="Times New Roman"/>
          <w:i/>
          <w:iCs/>
          <w:kern w:val="0"/>
          <w:szCs w:val="22"/>
          <w14:ligatures w14:val="none"/>
        </w:rPr>
        <w:t>Burch</w:t>
      </w:r>
      <w:r w:rsidRPr="00792133">
        <w:rPr>
          <w:rFonts w:ascii="Times New Roman" w:eastAsia="Calibri" w:hAnsi="Times New Roman" w:cs="Times New Roman"/>
          <w:kern w:val="0"/>
          <w:szCs w:val="22"/>
          <w14:ligatures w14:val="none"/>
        </w:rPr>
        <w:t xml:space="preserve">, 146 F.4th at 839-40 (holding that there was no genuine dispute of fact that defendants had an adequate justification for the adverse employment actions or would have reached the same adverse employment actions even in the </w:t>
      </w:r>
      <w:r w:rsidRPr="00792133">
        <w:rPr>
          <w:rFonts w:ascii="Times New Roman" w:eastAsia="Calibri" w:hAnsi="Times New Roman" w:cs="Times New Roman"/>
          <w:kern w:val="0"/>
          <w:szCs w:val="22"/>
          <w14:ligatures w14:val="none"/>
        </w:rPr>
        <w:lastRenderedPageBreak/>
        <w:t>absence of the protected action speech, which in this case was plaintiff’s placement of a yard sign supporting his superior’s election opponent).</w:t>
      </w:r>
    </w:p>
    <w:p w14:paraId="255A419B"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1293ADDB"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The Ninth Circuit has held that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792133">
        <w:rPr>
          <w:rFonts w:ascii="Times New Roman" w:eastAsia="Calibri" w:hAnsi="Times New Roman" w:cs="Times New Roman"/>
          <w:i/>
          <w:iCs/>
          <w:kern w:val="0"/>
          <w14:ligatures w14:val="none"/>
        </w:rPr>
        <w:t>Lakeside-Scott v. Multnomah County</w:t>
      </w:r>
      <w:r w:rsidRPr="00792133">
        <w:rPr>
          <w:rFonts w:ascii="Times New Roman" w:eastAsia="Calibri" w:hAnsi="Times New Roman" w:cs="Times New Roman"/>
          <w:kern w:val="0"/>
          <w14:ligatures w14:val="none"/>
        </w:rPr>
        <w:t xml:space="preserve">, 556 F.3d 797, 799 (9th Cir. 2009); </w:t>
      </w:r>
      <w:r w:rsidRPr="00792133">
        <w:rPr>
          <w:rFonts w:ascii="Times New Roman" w:eastAsia="Calibri" w:hAnsi="Times New Roman" w:cs="Times New Roman"/>
          <w:i/>
          <w:iCs/>
          <w:kern w:val="0"/>
          <w14:ligatures w14:val="none"/>
        </w:rPr>
        <w:t>see also Greisen v. Hanken</w:t>
      </w:r>
      <w:r w:rsidRPr="00792133">
        <w:rPr>
          <w:rFonts w:ascii="Times New Roman" w:eastAsia="Calibri" w:hAnsi="Times New Roman" w:cs="Times New Roman"/>
          <w:kern w:val="0"/>
          <w14:ligatures w14:val="none"/>
        </w:rPr>
        <w:t xml:space="preserve">, 925 F.3d 1097, 1115-17 (9th Cir. 2019) (holding substantial evidence supported proximate causation conclusion even though plaintiff was terminated by defendant’s successor because “[defendant]’s actions were a causal factor in [the successor]’s decision”). </w:t>
      </w:r>
    </w:p>
    <w:p w14:paraId="4681562B"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6AD37E85"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Regarding motive, the defendant’s actions must have been substantially motivated by a desire to deter or chill the employee’s speech. </w:t>
      </w:r>
      <w:proofErr w:type="spellStart"/>
      <w:r w:rsidRPr="00792133">
        <w:rPr>
          <w:rFonts w:ascii="Times New Roman" w:eastAsia="Calibri" w:hAnsi="Times New Roman" w:cs="Times New Roman"/>
          <w:i/>
          <w:iCs/>
          <w:kern w:val="0"/>
          <w14:ligatures w14:val="none"/>
        </w:rPr>
        <w:t>Awabdy</w:t>
      </w:r>
      <w:proofErr w:type="spellEnd"/>
      <w:r w:rsidRPr="00792133">
        <w:rPr>
          <w:rFonts w:ascii="Times New Roman" w:eastAsia="Calibri" w:hAnsi="Times New Roman" w:cs="Times New Roman"/>
          <w:i/>
          <w:iCs/>
          <w:kern w:val="0"/>
          <w14:ligatures w14:val="none"/>
        </w:rPr>
        <w:t xml:space="preserve"> v. City of Adelanto</w:t>
      </w:r>
      <w:r w:rsidRPr="00792133">
        <w:rPr>
          <w:rFonts w:ascii="Times New Roman" w:eastAsia="Calibri" w:hAnsi="Times New Roman" w:cs="Times New Roman"/>
          <w:kern w:val="0"/>
          <w14:ligatures w14:val="none"/>
        </w:rPr>
        <w:t xml:space="preserve">, 368 F.3d 1062, 1071 (9th Cir. 2004); </w:t>
      </w:r>
      <w:r w:rsidRPr="00792133">
        <w:rPr>
          <w:rFonts w:ascii="Times New Roman" w:eastAsia="Calibri" w:hAnsi="Times New Roman" w:cs="Times New Roman"/>
          <w:i/>
          <w:iCs/>
          <w:kern w:val="0"/>
          <w14:ligatures w14:val="none"/>
        </w:rPr>
        <w:t>see Dodge</w:t>
      </w:r>
      <w:r w:rsidRPr="00792133">
        <w:rPr>
          <w:rFonts w:ascii="Times New Roman" w:eastAsia="Calibri" w:hAnsi="Times New Roman" w:cs="Times New Roman"/>
          <w:kern w:val="0"/>
          <w14:ligatures w14:val="none"/>
        </w:rPr>
        <w:t xml:space="preserve">, 56 F.4th at 781. Defining “substantial or motivating factor” as a “significant factor” does not misstate the law. </w:t>
      </w:r>
      <w:r w:rsidRPr="00792133">
        <w:rPr>
          <w:rFonts w:ascii="Times New Roman" w:eastAsia="Calibri" w:hAnsi="Times New Roman" w:cs="Times New Roman"/>
          <w:i/>
          <w:iCs/>
          <w:kern w:val="0"/>
          <w14:ligatures w14:val="none"/>
        </w:rPr>
        <w:t xml:space="preserve">Ostad v. Or. Health </w:t>
      </w:r>
      <w:proofErr w:type="spellStart"/>
      <w:r w:rsidRPr="00792133">
        <w:rPr>
          <w:rFonts w:ascii="Times New Roman" w:eastAsia="Calibri" w:hAnsi="Times New Roman" w:cs="Times New Roman"/>
          <w:i/>
          <w:iCs/>
          <w:kern w:val="0"/>
          <w14:ligatures w14:val="none"/>
        </w:rPr>
        <w:t>Scis</w:t>
      </w:r>
      <w:proofErr w:type="spellEnd"/>
      <w:r w:rsidRPr="00792133">
        <w:rPr>
          <w:rFonts w:ascii="Times New Roman" w:eastAsia="Calibri" w:hAnsi="Times New Roman" w:cs="Times New Roman"/>
          <w:i/>
          <w:iCs/>
          <w:kern w:val="0"/>
          <w14:ligatures w14:val="none"/>
        </w:rPr>
        <w:t>. Univ</w:t>
      </w:r>
      <w:r w:rsidRPr="00792133">
        <w:rPr>
          <w:rFonts w:ascii="Times New Roman" w:eastAsia="Calibri" w:hAnsi="Times New Roman" w:cs="Times New Roman"/>
          <w:kern w:val="0"/>
          <w14:ligatures w14:val="none"/>
        </w:rPr>
        <w:t xml:space="preserve">., 327 F.3d 876, 884-85 (9th Cir. 2003); </w:t>
      </w:r>
      <w:r w:rsidRPr="00792133">
        <w:rPr>
          <w:rFonts w:ascii="Times New Roman" w:eastAsia="Calibri" w:hAnsi="Times New Roman" w:cs="Times New Roman"/>
          <w:i/>
          <w:iCs/>
          <w:kern w:val="0"/>
          <w14:ligatures w14:val="none"/>
        </w:rPr>
        <w:t>see also Capp v. City of San Diego</w:t>
      </w:r>
      <w:r w:rsidRPr="00792133">
        <w:rPr>
          <w:rFonts w:ascii="Times New Roman" w:eastAsia="Calibri" w:hAnsi="Times New Roman" w:cs="Times New Roman"/>
          <w:kern w:val="0"/>
          <w14:ligatures w14:val="none"/>
        </w:rPr>
        <w:t xml:space="preserve">, 940 F.3d 1046, 1056 (9th Cir. 2019) (explaining that retaliatory intent may still be one substantial or motivating factor for retaliatory conduct even if other, non-retaliatory reasons exist). </w:t>
      </w:r>
    </w:p>
    <w:p w14:paraId="4EA9986C"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5B49347C"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This instruction should be modified when an employee was allegedly subjected to an adverse employment action based on an employer’s erroneous belief that the employee engaged in protected speech. In such cases, it is the employer’s motive for taking the adverse action that triggers the employee’s right to bring an action. </w:t>
      </w:r>
      <w:r w:rsidRPr="00792133">
        <w:rPr>
          <w:rFonts w:ascii="Times New Roman" w:eastAsia="Calibri" w:hAnsi="Times New Roman" w:cs="Times New Roman"/>
          <w:i/>
          <w:iCs/>
          <w:kern w:val="0"/>
          <w14:ligatures w14:val="none"/>
        </w:rPr>
        <w:t>See Heffernan v. City of Paterson</w:t>
      </w:r>
      <w:r w:rsidRPr="00792133">
        <w:rPr>
          <w:rFonts w:ascii="Times New Roman" w:eastAsia="Calibri" w:hAnsi="Times New Roman" w:cs="Times New Roman"/>
          <w:kern w:val="0"/>
          <w14:ligatures w14:val="none"/>
        </w:rPr>
        <w:t xml:space="preserve">, 578 U.S. 266, 273 (2016) (“When an employer demotes an employee out of a desire to prevent the employee from engaging in political activity that the First Amendment protects, the employee is entitled to challenge that unlawful action under the First Amendment and 42 U.S.C. § 1983—even if, as here, the employer makes a factual mistake about the employee’s behavior.”). </w:t>
      </w:r>
    </w:p>
    <w:p w14:paraId="226F5D4E"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255B2E2A"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This instruction also should be modified when a public employee alleges an adverse employment action based on the employee’s refusal to </w:t>
      </w:r>
      <w:proofErr w:type="gramStart"/>
      <w:r w:rsidRPr="00792133">
        <w:rPr>
          <w:rFonts w:ascii="Times New Roman" w:eastAsia="Calibri" w:hAnsi="Times New Roman" w:cs="Times New Roman"/>
          <w:kern w:val="0"/>
          <w14:ligatures w14:val="none"/>
        </w:rPr>
        <w:t>enter into</w:t>
      </w:r>
      <w:proofErr w:type="gramEnd"/>
      <w:r w:rsidRPr="00792133">
        <w:rPr>
          <w:rFonts w:ascii="Times New Roman" w:eastAsia="Calibri" w:hAnsi="Times New Roman" w:cs="Times New Roman"/>
          <w:kern w:val="0"/>
          <w14:ligatures w14:val="none"/>
        </w:rPr>
        <w:t xml:space="preserve"> an unconstitutional prior restraint, limiting the public employee’s right to speak as a private citizen on a matter of public concern. </w:t>
      </w:r>
      <w:r w:rsidRPr="00792133">
        <w:rPr>
          <w:rFonts w:ascii="Times New Roman" w:eastAsia="Calibri" w:hAnsi="Times New Roman" w:cs="Times New Roman"/>
          <w:i/>
          <w:iCs/>
          <w:kern w:val="0"/>
          <w14:ligatures w14:val="none"/>
        </w:rPr>
        <w:t>See Barone v. City of Springfield</w:t>
      </w:r>
      <w:r w:rsidRPr="00792133">
        <w:rPr>
          <w:rFonts w:ascii="Times New Roman" w:eastAsia="Calibri" w:hAnsi="Times New Roman" w:cs="Times New Roman"/>
          <w:kern w:val="0"/>
          <w14:ligatures w14:val="none"/>
        </w:rPr>
        <w:t xml:space="preserve">, 902 F.3d 1091, 1101-06 (9th Cir. 2018). </w:t>
      </w:r>
    </w:p>
    <w:p w14:paraId="3606B6E8"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3AA3BE38"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792133">
        <w:rPr>
          <w:rFonts w:ascii="Times New Roman" w:eastAsia="Calibri" w:hAnsi="Times New Roman" w:cs="Times New Roman"/>
          <w:i/>
          <w:iCs/>
          <w:kern w:val="0"/>
          <w14:ligatures w14:val="none"/>
        </w:rPr>
        <w:t>Riley’s Am. Heritage Farms</w:t>
      </w:r>
      <w:r w:rsidRPr="00792133">
        <w:rPr>
          <w:rFonts w:ascii="Times New Roman" w:eastAsia="Calibri" w:hAnsi="Times New Roman" w:cs="Times New Roman"/>
          <w:kern w:val="0"/>
          <w14:ligatures w14:val="none"/>
        </w:rPr>
        <w:t xml:space="preserve">, 32 F.4th at 720 (quoting </w:t>
      </w:r>
      <w:r w:rsidRPr="00792133">
        <w:rPr>
          <w:rFonts w:ascii="Times New Roman" w:eastAsia="Calibri" w:hAnsi="Times New Roman" w:cs="Times New Roman"/>
          <w:i/>
          <w:iCs/>
          <w:kern w:val="0"/>
          <w14:ligatures w14:val="none"/>
        </w:rPr>
        <w:t xml:space="preserve">Bd. of </w:t>
      </w:r>
      <w:proofErr w:type="spellStart"/>
      <w:r w:rsidRPr="00792133">
        <w:rPr>
          <w:rFonts w:ascii="Times New Roman" w:eastAsia="Calibri" w:hAnsi="Times New Roman" w:cs="Times New Roman"/>
          <w:i/>
          <w:iCs/>
          <w:kern w:val="0"/>
          <w14:ligatures w14:val="none"/>
        </w:rPr>
        <w:t>Cnty</w:t>
      </w:r>
      <w:proofErr w:type="spellEnd"/>
      <w:r w:rsidRPr="00792133">
        <w:rPr>
          <w:rFonts w:ascii="Times New Roman" w:eastAsia="Calibri" w:hAnsi="Times New Roman" w:cs="Times New Roman"/>
          <w:i/>
          <w:iCs/>
          <w:kern w:val="0"/>
          <w14:ligatures w14:val="none"/>
        </w:rPr>
        <w:t>. Comm’rs</w:t>
      </w:r>
      <w:r w:rsidRPr="00792133">
        <w:rPr>
          <w:rFonts w:ascii="Times New Roman" w:eastAsia="Calibri" w:hAnsi="Times New Roman" w:cs="Times New Roman"/>
          <w:i/>
          <w:strike/>
          <w:kern w:val="0"/>
          <w14:ligatures w14:val="none"/>
        </w:rPr>
        <w:t xml:space="preserve"> </w:t>
      </w:r>
      <w:r w:rsidRPr="00792133">
        <w:rPr>
          <w:rFonts w:ascii="Times New Roman" w:eastAsia="Calibri" w:hAnsi="Times New Roman" w:cs="Times New Roman"/>
          <w:i/>
          <w:iCs/>
          <w:kern w:val="0"/>
          <w14:ligatures w14:val="none"/>
        </w:rPr>
        <w:t>v. Umbehr</w:t>
      </w:r>
      <w:r w:rsidRPr="00792133">
        <w:rPr>
          <w:rFonts w:ascii="Times New Roman" w:eastAsia="Calibri" w:hAnsi="Times New Roman" w:cs="Times New Roman"/>
          <w:kern w:val="0"/>
          <w14:ligatures w14:val="none"/>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contract with the government for weatherization services,” “a domestic violence counselor employed by a private company that performed counseling services for a municipal court,” and “a volunteer probation officer.” </w:t>
      </w:r>
      <w:r w:rsidRPr="00792133">
        <w:rPr>
          <w:rFonts w:ascii="Times New Roman" w:eastAsia="Calibri" w:hAnsi="Times New Roman" w:cs="Times New Roman"/>
          <w:i/>
          <w:iCs/>
          <w:kern w:val="0"/>
          <w14:ligatures w14:val="none"/>
        </w:rPr>
        <w:t xml:space="preserve">Id. </w:t>
      </w:r>
      <w:r w:rsidRPr="00792133">
        <w:rPr>
          <w:rFonts w:ascii="Times New Roman" w:eastAsia="Calibri" w:hAnsi="Times New Roman" w:cs="Times New Roman"/>
          <w:kern w:val="0"/>
          <w14:ligatures w14:val="none"/>
        </w:rPr>
        <w:t xml:space="preserve">at 720-21. The Ninth Circuit has also extended this framework to a case in which a school district relied on a private company to provide educational </w:t>
      </w:r>
      <w:r w:rsidRPr="00792133">
        <w:rPr>
          <w:rFonts w:ascii="Times New Roman" w:eastAsia="Calibri" w:hAnsi="Times New Roman" w:cs="Times New Roman"/>
          <w:kern w:val="0"/>
          <w14:ligatures w14:val="none"/>
        </w:rPr>
        <w:lastRenderedPageBreak/>
        <w:t xml:space="preserve">services for public school students. </w:t>
      </w:r>
      <w:r w:rsidRPr="00792133">
        <w:rPr>
          <w:rFonts w:ascii="Times New Roman" w:eastAsia="Calibri" w:hAnsi="Times New Roman" w:cs="Times New Roman"/>
          <w:i/>
          <w:iCs/>
          <w:kern w:val="0"/>
          <w14:ligatures w14:val="none"/>
        </w:rPr>
        <w:t xml:space="preserve">Id. </w:t>
      </w:r>
      <w:r w:rsidRPr="00792133">
        <w:rPr>
          <w:rFonts w:ascii="Times New Roman" w:eastAsia="Calibri" w:hAnsi="Times New Roman" w:cs="Times New Roman"/>
          <w:kern w:val="0"/>
          <w14:ligatures w14:val="none"/>
        </w:rPr>
        <w:t xml:space="preserve">at 722. </w:t>
      </w:r>
    </w:p>
    <w:p w14:paraId="36C53F50"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481AB927"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This instruction does not apply to restrictions on the speech of elected officials because “an elected official’s speech is protected regardless [of] whether the official is speaking ‘as a citizen upon a matter of public concern.’” </w:t>
      </w:r>
      <w:r w:rsidRPr="00792133">
        <w:rPr>
          <w:rFonts w:ascii="Times New Roman" w:eastAsia="Calibri" w:hAnsi="Times New Roman" w:cs="Times New Roman"/>
          <w:i/>
          <w:iCs/>
          <w:kern w:val="0"/>
          <w14:ligatures w14:val="none"/>
        </w:rPr>
        <w:t>See Boquist v. Courtney</w:t>
      </w:r>
      <w:r w:rsidRPr="00792133">
        <w:rPr>
          <w:rFonts w:ascii="Times New Roman" w:eastAsia="Calibri" w:hAnsi="Times New Roman" w:cs="Times New Roman"/>
          <w:kern w:val="0"/>
          <w14:ligatures w14:val="none"/>
        </w:rPr>
        <w:t xml:space="preserve">, 32 F.4th 764, 780 (9th Cir. 2022) (quoting </w:t>
      </w:r>
      <w:r w:rsidRPr="00792133">
        <w:rPr>
          <w:rFonts w:ascii="Times New Roman" w:eastAsia="Calibri" w:hAnsi="Times New Roman" w:cs="Times New Roman"/>
          <w:i/>
          <w:iCs/>
          <w:kern w:val="0"/>
          <w14:ligatures w14:val="none"/>
        </w:rPr>
        <w:t>Garcetti</w:t>
      </w:r>
      <w:r w:rsidRPr="00792133">
        <w:rPr>
          <w:rFonts w:ascii="Times New Roman" w:eastAsia="Calibri" w:hAnsi="Times New Roman" w:cs="Times New Roman"/>
          <w:kern w:val="0"/>
          <w14:ligatures w14:val="none"/>
        </w:rPr>
        <w:t xml:space="preserve">, 547 U.S. at 418). </w:t>
      </w:r>
    </w:p>
    <w:p w14:paraId="443DE5E2" w14:textId="77777777" w:rsidR="00792133" w:rsidRPr="00792133" w:rsidRDefault="00792133" w:rsidP="00792133">
      <w:pPr>
        <w:widowControl w:val="0"/>
        <w:spacing w:after="0" w:line="240" w:lineRule="auto"/>
        <w:ind w:firstLine="720"/>
        <w:rPr>
          <w:rFonts w:ascii="Times New Roman" w:eastAsia="Calibri" w:hAnsi="Times New Roman" w:cs="Times New Roman"/>
          <w:kern w:val="0"/>
          <w14:ligatures w14:val="none"/>
        </w:rPr>
      </w:pPr>
    </w:p>
    <w:p w14:paraId="6BBCE48E" w14:textId="15A8EB57" w:rsidR="009E7C68" w:rsidRDefault="00792133" w:rsidP="00792133">
      <w:pPr>
        <w:widowControl w:val="0"/>
        <w:spacing w:after="0" w:line="240" w:lineRule="auto"/>
        <w:ind w:firstLine="720"/>
        <w:rPr>
          <w:rFonts w:ascii="Times New Roman" w:eastAsia="Calibri" w:hAnsi="Times New Roman" w:cs="Times New Roman"/>
          <w:kern w:val="0"/>
          <w14:ligatures w14:val="none"/>
        </w:rPr>
      </w:pPr>
      <w:r w:rsidRPr="00792133">
        <w:rPr>
          <w:rFonts w:ascii="Times New Roman" w:eastAsia="Calibri" w:hAnsi="Times New Roman" w:cs="Times New Roman"/>
          <w:kern w:val="0"/>
          <w14:ligatures w14:val="none"/>
        </w:rPr>
        <w:t xml:space="preserve">After a plaintiff establishes the first three steps, he or she has made out a prima facie case, and at step four the burden shifts to the government “to show that ‘under the balancing test established by </w:t>
      </w:r>
      <w:r w:rsidRPr="00792133">
        <w:rPr>
          <w:rFonts w:ascii="Times New Roman" w:eastAsia="Calibri" w:hAnsi="Times New Roman" w:cs="Times New Roman"/>
          <w:i/>
          <w:iCs/>
          <w:kern w:val="0"/>
          <w14:ligatures w14:val="none"/>
        </w:rPr>
        <w:t>Pickering</w:t>
      </w:r>
      <w:r w:rsidRPr="00792133">
        <w:rPr>
          <w:rFonts w:ascii="Times New Roman" w:eastAsia="Calibri" w:hAnsi="Times New Roman" w:cs="Times New Roman"/>
          <w:kern w:val="0"/>
          <w14:ligatures w14:val="none"/>
        </w:rPr>
        <w:t xml:space="preserve">, [the government’s] legitimate administrative interests outweigh the employee’s First Amendment rights.’” </w:t>
      </w:r>
      <w:r w:rsidRPr="00792133">
        <w:rPr>
          <w:rFonts w:ascii="Times New Roman" w:eastAsia="Calibri" w:hAnsi="Times New Roman" w:cs="Times New Roman"/>
          <w:i/>
          <w:iCs/>
          <w:kern w:val="0"/>
          <w14:ligatures w14:val="none"/>
        </w:rPr>
        <w:t>Moser</w:t>
      </w:r>
      <w:r w:rsidRPr="00792133">
        <w:rPr>
          <w:rFonts w:ascii="Times New Roman" w:eastAsia="Calibri" w:hAnsi="Times New Roman" w:cs="Times New Roman"/>
          <w:kern w:val="0"/>
          <w14:ligatures w14:val="none"/>
        </w:rPr>
        <w:t xml:space="preserve">, 984 F.3d at 906 (quoting </w:t>
      </w:r>
      <w:r w:rsidRPr="00792133">
        <w:rPr>
          <w:rFonts w:ascii="Times New Roman" w:eastAsia="Calibri" w:hAnsi="Times New Roman" w:cs="Times New Roman"/>
          <w:i/>
          <w:iCs/>
          <w:kern w:val="0"/>
          <w14:ligatures w14:val="none"/>
        </w:rPr>
        <w:t>Eng</w:t>
      </w:r>
      <w:r w:rsidRPr="00792133">
        <w:rPr>
          <w:rFonts w:ascii="Times New Roman" w:eastAsia="Calibri" w:hAnsi="Times New Roman" w:cs="Times New Roman"/>
          <w:kern w:val="0"/>
          <w14:ligatures w14:val="none"/>
        </w:rPr>
        <w:t xml:space="preserve">, 552 F.3d at 1071) (holding the government failed to satisfy its step four burden because it did not produce any evidence indicating the speech at issue caused or would cause disruption). “[T]he </w:t>
      </w:r>
      <w:r w:rsidRPr="00792133">
        <w:rPr>
          <w:rFonts w:ascii="Times New Roman" w:eastAsia="Calibri" w:hAnsi="Times New Roman" w:cs="Times New Roman"/>
          <w:i/>
          <w:iCs/>
          <w:kern w:val="0"/>
          <w14:ligatures w14:val="none"/>
        </w:rPr>
        <w:t xml:space="preserve">Pickering </w:t>
      </w:r>
      <w:r w:rsidRPr="00792133">
        <w:rPr>
          <w:rFonts w:ascii="Times New Roman" w:eastAsia="Calibri" w:hAnsi="Times New Roman" w:cs="Times New Roman"/>
          <w:kern w:val="0"/>
          <w14:ligatures w14:val="none"/>
        </w:rPr>
        <w:t xml:space="preserve">balancing test is a legal question, but its resolution often entails underlying factual disputes that need to be resolved by a </w:t>
      </w:r>
      <w:proofErr w:type="gramStart"/>
      <w:r w:rsidRPr="00792133">
        <w:rPr>
          <w:rFonts w:ascii="Times New Roman" w:eastAsia="Calibri" w:hAnsi="Times New Roman" w:cs="Times New Roman"/>
          <w:kern w:val="0"/>
          <w14:ligatures w14:val="none"/>
        </w:rPr>
        <w:t>fact-finder</w:t>
      </w:r>
      <w:proofErr w:type="gramEnd"/>
      <w:r w:rsidRPr="00792133">
        <w:rPr>
          <w:rFonts w:ascii="Times New Roman" w:eastAsia="Calibri" w:hAnsi="Times New Roman" w:cs="Times New Roman"/>
          <w:kern w:val="0"/>
          <w14:ligatures w14:val="none"/>
        </w:rPr>
        <w:t xml:space="preserve">.” </w:t>
      </w:r>
      <w:r w:rsidRPr="00792133">
        <w:rPr>
          <w:rFonts w:ascii="Times New Roman" w:eastAsia="Calibri" w:hAnsi="Times New Roman" w:cs="Times New Roman"/>
          <w:i/>
          <w:iCs/>
          <w:kern w:val="0"/>
          <w14:ligatures w14:val="none"/>
        </w:rPr>
        <w:t>Id</w:t>
      </w:r>
      <w:r w:rsidRPr="00792133">
        <w:rPr>
          <w:rFonts w:ascii="Times New Roman" w:eastAsia="Calibri" w:hAnsi="Times New Roman" w:cs="Times New Roman"/>
          <w:kern w:val="0"/>
          <w14:ligatures w14:val="none"/>
        </w:rPr>
        <w:t xml:space="preserve">. at 911 (quoting </w:t>
      </w:r>
      <w:r w:rsidRPr="00792133">
        <w:rPr>
          <w:rFonts w:ascii="Times New Roman" w:eastAsia="Calibri" w:hAnsi="Times New Roman" w:cs="Times New Roman"/>
          <w:i/>
          <w:iCs/>
          <w:kern w:val="0"/>
          <w14:ligatures w14:val="none"/>
        </w:rPr>
        <w:t>Eng</w:t>
      </w:r>
      <w:r w:rsidRPr="00792133">
        <w:rPr>
          <w:rFonts w:ascii="Times New Roman" w:eastAsia="Calibri" w:hAnsi="Times New Roman" w:cs="Times New Roman"/>
          <w:kern w:val="0"/>
          <w14:ligatures w14:val="none"/>
        </w:rPr>
        <w:t>, 552 F.3d at 1071).</w:t>
      </w:r>
    </w:p>
    <w:p w14:paraId="47AE5E42" w14:textId="77777777" w:rsidR="00792133" w:rsidRPr="009E7C68" w:rsidRDefault="00792133" w:rsidP="00792133">
      <w:pPr>
        <w:widowControl w:val="0"/>
        <w:spacing w:after="0" w:line="240" w:lineRule="auto"/>
        <w:ind w:firstLine="720"/>
        <w:rPr>
          <w:rFonts w:ascii="Times New Roman" w:eastAsia="Calibri" w:hAnsi="Times New Roman" w:cs="Times New Roman"/>
          <w:kern w:val="0"/>
          <w14:ligatures w14:val="none"/>
        </w:rPr>
      </w:pPr>
    </w:p>
    <w:p w14:paraId="4898FE6B" w14:textId="204144FE" w:rsidR="009E7C68" w:rsidRPr="009E7C68" w:rsidRDefault="009E7C68" w:rsidP="009E7C68">
      <w:pPr>
        <w:widowControl w:val="0"/>
        <w:spacing w:after="0" w:line="240" w:lineRule="auto"/>
        <w:ind w:firstLine="720"/>
        <w:jc w:val="right"/>
        <w:rPr>
          <w:rFonts w:ascii="Times New Roman" w:eastAsia="Calibri" w:hAnsi="Times New Roman" w:cs="Times New Roman"/>
          <w:kern w:val="0"/>
          <w14:ligatures w14:val="none"/>
        </w:rPr>
      </w:pPr>
      <w:r w:rsidRPr="009E7C68">
        <w:rPr>
          <w:rFonts w:ascii="Times New Roman" w:eastAsia="Calibri" w:hAnsi="Times New Roman" w:cs="Times New Roman"/>
          <w:i/>
          <w:iCs/>
          <w:kern w:val="0"/>
          <w14:ligatures w14:val="none"/>
        </w:rPr>
        <w:t xml:space="preserve">Revised </w:t>
      </w:r>
      <w:r>
        <w:rPr>
          <w:rFonts w:ascii="Times New Roman" w:eastAsia="Calibri" w:hAnsi="Times New Roman" w:cs="Times New Roman"/>
          <w:i/>
          <w:kern w:val="0"/>
          <w14:ligatures w14:val="none"/>
        </w:rPr>
        <w:t xml:space="preserve">September </w:t>
      </w:r>
      <w:r w:rsidRPr="009E7C68">
        <w:rPr>
          <w:rFonts w:ascii="Times New Roman" w:eastAsia="Calibri" w:hAnsi="Times New Roman" w:cs="Times New Roman"/>
          <w:i/>
          <w:kern w:val="0"/>
          <w14:ligatures w14:val="none"/>
        </w:rPr>
        <w:t>2025</w:t>
      </w:r>
    </w:p>
    <w:p w14:paraId="70017353"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68"/>
    <w:rsid w:val="00147419"/>
    <w:rsid w:val="00377DB4"/>
    <w:rsid w:val="0042339F"/>
    <w:rsid w:val="00792133"/>
    <w:rsid w:val="007E0761"/>
    <w:rsid w:val="00846641"/>
    <w:rsid w:val="00920AE5"/>
    <w:rsid w:val="009E7C68"/>
    <w:rsid w:val="00B951E2"/>
    <w:rsid w:val="00C36D00"/>
    <w:rsid w:val="00D04691"/>
    <w:rsid w:val="00D54CA4"/>
    <w:rsid w:val="00DA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32D1"/>
  <w15:chartTrackingRefBased/>
  <w15:docId w15:val="{980D5A69-E3BA-4C21-8811-EFB74B67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C68"/>
    <w:rPr>
      <w:rFonts w:eastAsiaTheme="majorEastAsia" w:cstheme="majorBidi"/>
      <w:color w:val="272727" w:themeColor="text1" w:themeTint="D8"/>
    </w:rPr>
  </w:style>
  <w:style w:type="paragraph" w:styleId="Title">
    <w:name w:val="Title"/>
    <w:basedOn w:val="Normal"/>
    <w:next w:val="Normal"/>
    <w:link w:val="TitleChar"/>
    <w:uiPriority w:val="10"/>
    <w:qFormat/>
    <w:rsid w:val="009E7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C68"/>
    <w:pPr>
      <w:spacing w:before="160"/>
      <w:jc w:val="center"/>
    </w:pPr>
    <w:rPr>
      <w:i/>
      <w:iCs/>
      <w:color w:val="404040" w:themeColor="text1" w:themeTint="BF"/>
    </w:rPr>
  </w:style>
  <w:style w:type="character" w:customStyle="1" w:styleId="QuoteChar">
    <w:name w:val="Quote Char"/>
    <w:basedOn w:val="DefaultParagraphFont"/>
    <w:link w:val="Quote"/>
    <w:uiPriority w:val="29"/>
    <w:rsid w:val="009E7C68"/>
    <w:rPr>
      <w:i/>
      <w:iCs/>
      <w:color w:val="404040" w:themeColor="text1" w:themeTint="BF"/>
    </w:rPr>
  </w:style>
  <w:style w:type="paragraph" w:styleId="ListParagraph">
    <w:name w:val="List Paragraph"/>
    <w:basedOn w:val="Normal"/>
    <w:uiPriority w:val="34"/>
    <w:qFormat/>
    <w:rsid w:val="009E7C68"/>
    <w:pPr>
      <w:ind w:left="720"/>
      <w:contextualSpacing/>
    </w:pPr>
  </w:style>
  <w:style w:type="character" w:styleId="IntenseEmphasis">
    <w:name w:val="Intense Emphasis"/>
    <w:basedOn w:val="DefaultParagraphFont"/>
    <w:uiPriority w:val="21"/>
    <w:qFormat/>
    <w:rsid w:val="009E7C68"/>
    <w:rPr>
      <w:i/>
      <w:iCs/>
      <w:color w:val="0F4761" w:themeColor="accent1" w:themeShade="BF"/>
    </w:rPr>
  </w:style>
  <w:style w:type="paragraph" w:styleId="IntenseQuote">
    <w:name w:val="Intense Quote"/>
    <w:basedOn w:val="Normal"/>
    <w:next w:val="Normal"/>
    <w:link w:val="IntenseQuoteChar"/>
    <w:uiPriority w:val="30"/>
    <w:qFormat/>
    <w:rsid w:val="009E7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C68"/>
    <w:rPr>
      <w:i/>
      <w:iCs/>
      <w:color w:val="0F4761" w:themeColor="accent1" w:themeShade="BF"/>
    </w:rPr>
  </w:style>
  <w:style w:type="character" w:styleId="IntenseReference">
    <w:name w:val="Intense Reference"/>
    <w:basedOn w:val="DefaultParagraphFont"/>
    <w:uiPriority w:val="32"/>
    <w:qFormat/>
    <w:rsid w:val="009E7C68"/>
    <w:rPr>
      <w:b/>
      <w:bCs/>
      <w:smallCaps/>
      <w:color w:val="0F4761" w:themeColor="accent1" w:themeShade="BF"/>
      <w:spacing w:val="5"/>
    </w:rPr>
  </w:style>
  <w:style w:type="paragraph" w:styleId="Revision">
    <w:name w:val="Revision"/>
    <w:hidden/>
    <w:uiPriority w:val="99"/>
    <w:semiHidden/>
    <w:rsid w:val="009E7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2158</Words>
  <Characters>12301</Characters>
  <Application>Microsoft Office Word</Application>
  <DocSecurity>0</DocSecurity>
  <Lines>102</Lines>
  <Paragraphs>28</Paragraphs>
  <ScaleCrop>false</ScaleCrop>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3</cp:revision>
  <dcterms:created xsi:type="dcterms:W3CDTF">2025-10-10T15:29:00Z</dcterms:created>
  <dcterms:modified xsi:type="dcterms:W3CDTF">2026-03-12T15:50:00Z</dcterms:modified>
</cp:coreProperties>
</file>