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949E" w14:textId="78CCEF7B" w:rsidR="0066001B" w:rsidRPr="0066001B" w:rsidRDefault="0066001B" w:rsidP="0066001B">
      <w:pPr>
        <w:autoSpaceDE w:val="0"/>
        <w:autoSpaceDN w:val="0"/>
        <w:adjustRightInd w:val="0"/>
        <w:spacing w:after="0" w:line="240" w:lineRule="auto"/>
        <w:jc w:val="center"/>
        <w:rPr>
          <w:rFonts w:ascii="Times New Roman" w:hAnsi="Times New Roman" w:cs="Times New Roman"/>
          <w:b/>
          <w:bCs/>
          <w:sz w:val="24"/>
          <w:szCs w:val="24"/>
        </w:rPr>
      </w:pPr>
      <w:r w:rsidRPr="0066001B">
        <w:rPr>
          <w:rFonts w:ascii="Times New Roman" w:hAnsi="Times New Roman" w:cs="Times New Roman"/>
          <w:sz w:val="24"/>
          <w:szCs w:val="24"/>
          <w:lang w:val="en-CA"/>
        </w:rPr>
        <w:fldChar w:fldCharType="begin"/>
      </w:r>
      <w:r w:rsidRPr="0066001B">
        <w:rPr>
          <w:rFonts w:ascii="Times New Roman" w:hAnsi="Times New Roman" w:cs="Times New Roman"/>
          <w:sz w:val="24"/>
          <w:szCs w:val="24"/>
          <w:lang w:val="en-CA"/>
        </w:rPr>
        <w:instrText xml:space="preserve"> SEQ CHAPTER \h \r 1</w:instrText>
      </w:r>
      <w:r w:rsidRPr="0066001B">
        <w:rPr>
          <w:rFonts w:ascii="Times New Roman" w:hAnsi="Times New Roman" w:cs="Times New Roman"/>
          <w:sz w:val="24"/>
          <w:szCs w:val="24"/>
          <w:lang w:val="en-CA"/>
        </w:rPr>
        <w:fldChar w:fldCharType="end"/>
      </w:r>
      <w:r w:rsidRPr="0066001B">
        <w:rPr>
          <w:rFonts w:ascii="Times New Roman" w:hAnsi="Times New Roman" w:cs="Times New Roman"/>
          <w:b/>
          <w:bCs/>
          <w:sz w:val="24"/>
          <w:szCs w:val="24"/>
        </w:rPr>
        <w:t>9.9 PARTICULAR RIGHTS</w:t>
      </w:r>
      <w:r w:rsidRPr="0066001B">
        <w:rPr>
          <w:rFonts w:ascii="Times New Roman" w:hAnsi="Times New Roman" w:cs="Times New Roman"/>
          <w:sz w:val="24"/>
          <w:szCs w:val="24"/>
        </w:rPr>
        <w:t>—</w:t>
      </w:r>
      <w:r w:rsidRPr="0066001B">
        <w:rPr>
          <w:rFonts w:ascii="Times New Roman" w:hAnsi="Times New Roman" w:cs="Times New Roman"/>
          <w:b/>
          <w:bCs/>
          <w:sz w:val="24"/>
          <w:szCs w:val="24"/>
        </w:rPr>
        <w:t>FIRST AMENDMENT—PUBLIC EMPLOYEES—SPEECH</w:t>
      </w:r>
    </w:p>
    <w:p w14:paraId="0F5A635E" w14:textId="77777777" w:rsidR="0066001B" w:rsidRPr="0066001B" w:rsidRDefault="0066001B" w:rsidP="0066001B">
      <w:pPr>
        <w:autoSpaceDE w:val="0"/>
        <w:autoSpaceDN w:val="0"/>
        <w:adjustRightInd w:val="0"/>
        <w:spacing w:after="0" w:line="240" w:lineRule="auto"/>
        <w:rPr>
          <w:rFonts w:ascii="Times New Roman" w:hAnsi="Times New Roman" w:cs="Times New Roman"/>
          <w:b/>
          <w:bCs/>
          <w:sz w:val="24"/>
          <w:szCs w:val="24"/>
        </w:rPr>
      </w:pPr>
    </w:p>
    <w:p w14:paraId="19A2CB31"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b/>
          <w:bCs/>
          <w:sz w:val="24"/>
          <w:szCs w:val="24"/>
        </w:rPr>
        <w:tab/>
      </w:r>
      <w:r w:rsidRPr="0066001B">
        <w:rPr>
          <w:rFonts w:ascii="Times New Roman" w:hAnsi="Times New Roman" w:cs="Times New Roman"/>
          <w:sz w:val="24"/>
          <w:szCs w:val="24"/>
        </w:rPr>
        <w:t>As previously explained, the plaintiff has the burden of proving that the act[s] of the defendant [</w:t>
      </w:r>
      <w:r w:rsidRPr="0066001B">
        <w:rPr>
          <w:rFonts w:ascii="Times New Roman" w:hAnsi="Times New Roman" w:cs="Times New Roman"/>
          <w:i/>
          <w:iCs/>
          <w:sz w:val="24"/>
          <w:szCs w:val="24"/>
          <w:u w:val="single"/>
        </w:rPr>
        <w:t>name</w:t>
      </w:r>
      <w:r w:rsidRPr="0066001B">
        <w:rPr>
          <w:rFonts w:ascii="Times New Roman" w:hAnsi="Times New Roman" w:cs="Times New Roman"/>
          <w:sz w:val="24"/>
          <w:szCs w:val="24"/>
        </w:rPr>
        <w:t>] deprived the plaintiff of particular rights under the United States Constitution.  In this case, the plaintiff alleges the defendant deprived [him] [her] of [his] [her] rights under the First Amendment to the Constitution when [</w:t>
      </w:r>
      <w:r w:rsidRPr="0066001B">
        <w:rPr>
          <w:rFonts w:ascii="Times New Roman" w:hAnsi="Times New Roman" w:cs="Times New Roman"/>
          <w:i/>
          <w:iCs/>
          <w:sz w:val="24"/>
          <w:szCs w:val="24"/>
          <w:u w:val="single"/>
        </w:rPr>
        <w:t>insert factual basis of the plaintiff’s claim</w:t>
      </w:r>
      <w:r w:rsidRPr="0066001B">
        <w:rPr>
          <w:rFonts w:ascii="Times New Roman" w:hAnsi="Times New Roman" w:cs="Times New Roman"/>
          <w:sz w:val="24"/>
          <w:szCs w:val="24"/>
        </w:rPr>
        <w:t xml:space="preserve">].  </w:t>
      </w:r>
    </w:p>
    <w:p w14:paraId="1559D991"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32FC3D15"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11C02B51"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44A905B" w14:textId="77777777" w:rsidR="0066001B" w:rsidRPr="0066001B"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6001B">
        <w:rPr>
          <w:rFonts w:ascii="Times New Roman" w:hAnsi="Times New Roman" w:cs="Times New Roman"/>
          <w:sz w:val="24"/>
          <w:szCs w:val="24"/>
        </w:rPr>
        <w:tab/>
        <w:t>1.</w:t>
      </w:r>
      <w:r w:rsidRPr="0066001B">
        <w:rPr>
          <w:rFonts w:ascii="CG Times" w:hAnsi="CG Times" w:cs="CG Times"/>
          <w:sz w:val="24"/>
          <w:szCs w:val="24"/>
        </w:rPr>
        <w:tab/>
      </w:r>
      <w:r w:rsidRPr="0066001B">
        <w:rPr>
          <w:rFonts w:ascii="Times New Roman" w:hAnsi="Times New Roman" w:cs="Times New Roman"/>
          <w:sz w:val="24"/>
          <w:szCs w:val="24"/>
        </w:rPr>
        <w:t>the plaintiff spoke as a private citizen and not as part of [his] [her] official duties as a public employee;</w:t>
      </w:r>
    </w:p>
    <w:p w14:paraId="0B90A2F1"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46C7ADA6" w14:textId="77777777" w:rsidR="0066001B" w:rsidRPr="0066001B"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6001B">
        <w:rPr>
          <w:rFonts w:ascii="Times New Roman" w:hAnsi="Times New Roman" w:cs="Times New Roman"/>
          <w:sz w:val="24"/>
          <w:szCs w:val="24"/>
        </w:rPr>
        <w:tab/>
        <w:t>2.</w:t>
      </w:r>
      <w:r w:rsidRPr="0066001B">
        <w:rPr>
          <w:rFonts w:ascii="CG Times" w:hAnsi="CG Times" w:cs="CG Times"/>
          <w:sz w:val="24"/>
          <w:szCs w:val="24"/>
        </w:rPr>
        <w:tab/>
      </w:r>
      <w:r w:rsidRPr="0066001B">
        <w:rPr>
          <w:rFonts w:ascii="Times New Roman" w:hAnsi="Times New Roman" w:cs="Times New Roman"/>
          <w:sz w:val="24"/>
          <w:szCs w:val="24"/>
        </w:rPr>
        <w:t>the defendant took an adverse employment action against the plaintiff; and</w:t>
      </w:r>
    </w:p>
    <w:p w14:paraId="755D98AF"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22B77A8C" w14:textId="77777777" w:rsidR="0066001B" w:rsidRPr="0066001B"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6001B">
        <w:rPr>
          <w:rFonts w:ascii="Times New Roman" w:hAnsi="Times New Roman" w:cs="Times New Roman"/>
          <w:sz w:val="24"/>
          <w:szCs w:val="24"/>
        </w:rPr>
        <w:tab/>
        <w:t>3.</w:t>
      </w:r>
      <w:r w:rsidRPr="0066001B">
        <w:rPr>
          <w:rFonts w:ascii="CG Times" w:hAnsi="CG Times" w:cs="CG Times"/>
          <w:sz w:val="24"/>
          <w:szCs w:val="24"/>
        </w:rPr>
        <w:tab/>
      </w:r>
      <w:r w:rsidRPr="0066001B">
        <w:rPr>
          <w:rFonts w:ascii="Times New Roman" w:hAnsi="Times New Roman" w:cs="Times New Roman"/>
          <w:sz w:val="24"/>
          <w:szCs w:val="24"/>
        </w:rPr>
        <w:t>the plaintiff’s speech was a substantial or motivating factor for the adverse employment action.</w:t>
      </w:r>
    </w:p>
    <w:p w14:paraId="73E501D5"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33843254"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An action is an adverse employment action if a reasonable employee would have found the action materially adverse, which means it might have dissuaded a reasonable worker from engaging in protected activity.</w:t>
      </w:r>
    </w:p>
    <w:p w14:paraId="718B945C"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2C77114"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A substantial or motivating factor is a significant factor. </w:t>
      </w:r>
    </w:p>
    <w:p w14:paraId="0849D639"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3AC06E7" w14:textId="690C342C" w:rsidR="0066001B" w:rsidRPr="0066001B" w:rsidRDefault="0066001B" w:rsidP="0066001B">
      <w:pPr>
        <w:autoSpaceDE w:val="0"/>
        <w:autoSpaceDN w:val="0"/>
        <w:adjustRightInd w:val="0"/>
        <w:spacing w:after="0" w:line="240" w:lineRule="auto"/>
        <w:jc w:val="center"/>
        <w:rPr>
          <w:rFonts w:ascii="Times New Roman" w:hAnsi="Times New Roman" w:cs="Times New Roman"/>
          <w:b/>
          <w:bCs/>
          <w:sz w:val="24"/>
          <w:szCs w:val="24"/>
        </w:rPr>
      </w:pPr>
      <w:r w:rsidRPr="0066001B">
        <w:rPr>
          <w:rFonts w:ascii="Times New Roman" w:hAnsi="Times New Roman" w:cs="Times New Roman"/>
          <w:b/>
          <w:bCs/>
          <w:sz w:val="24"/>
          <w:szCs w:val="24"/>
        </w:rPr>
        <w:t>Comment</w:t>
      </w:r>
    </w:p>
    <w:p w14:paraId="49917641" w14:textId="77777777" w:rsidR="0066001B" w:rsidRPr="0066001B" w:rsidRDefault="0066001B" w:rsidP="0066001B">
      <w:pPr>
        <w:autoSpaceDE w:val="0"/>
        <w:autoSpaceDN w:val="0"/>
        <w:adjustRightInd w:val="0"/>
        <w:spacing w:after="0" w:line="240" w:lineRule="auto"/>
        <w:jc w:val="center"/>
        <w:rPr>
          <w:rFonts w:ascii="Times New Roman" w:hAnsi="Times New Roman" w:cs="Times New Roman"/>
          <w:b/>
          <w:bCs/>
          <w:sz w:val="24"/>
          <w:szCs w:val="24"/>
        </w:rPr>
      </w:pPr>
    </w:p>
    <w:p w14:paraId="6C726723"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b/>
          <w:bCs/>
          <w:sz w:val="24"/>
          <w:szCs w:val="24"/>
        </w:rPr>
        <w:tab/>
      </w:r>
      <w:r w:rsidRPr="0066001B">
        <w:rPr>
          <w:rFonts w:ascii="Times New Roman" w:hAnsi="Times New Roman" w:cs="Times New Roman"/>
          <w:sz w:val="24"/>
          <w:szCs w:val="24"/>
        </w:rPr>
        <w:t xml:space="preserve">Use this instruction only in conjunction with the applicable elements instruction, Instructions 9.3–9.8, and when the plaintiff is a public employee.  Use Instruction 9.11 (Particular Rights—First Amendment—“Citizen”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66001B">
        <w:rPr>
          <w:rFonts w:ascii="Times New Roman" w:hAnsi="Times New Roman" w:cs="Times New Roman"/>
          <w:i/>
          <w:iCs/>
          <w:sz w:val="24"/>
          <w:szCs w:val="24"/>
        </w:rPr>
        <w:t>See Clem v. Lomeli</w:t>
      </w:r>
      <w:r w:rsidRPr="0066001B">
        <w:rPr>
          <w:rFonts w:ascii="Times New Roman" w:hAnsi="Times New Roman" w:cs="Times New Roman"/>
          <w:sz w:val="24"/>
          <w:szCs w:val="24"/>
        </w:rPr>
        <w:t>, 566 F.3d 1177, 1181-82 (9th Cir. 2009).  If there is a dispute about whether the public employee was speaking as a private citizen, use Instruction 9.10 (Particular Rights—First Amendment—Public Employees—Speaking as a Private Citizen).</w:t>
      </w:r>
    </w:p>
    <w:p w14:paraId="7BEBAD83"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B6C67EA"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66001B">
        <w:rPr>
          <w:rFonts w:ascii="Times New Roman" w:hAnsi="Times New Roman" w:cs="Times New Roman"/>
          <w:i/>
          <w:iCs/>
          <w:sz w:val="24"/>
          <w:szCs w:val="24"/>
        </w:rPr>
        <w:t>Garcetti v. Ceballos</w:t>
      </w:r>
      <w:r w:rsidRPr="0066001B">
        <w:rPr>
          <w:rFonts w:ascii="Times New Roman" w:hAnsi="Times New Roman" w:cs="Times New Roman"/>
          <w:sz w:val="24"/>
          <w:szCs w:val="24"/>
        </w:rPr>
        <w:t xml:space="preserve">, 547 U.S. 410, 417 (2006); </w:t>
      </w:r>
      <w:r w:rsidRPr="0066001B">
        <w:rPr>
          <w:rFonts w:ascii="Times New Roman" w:hAnsi="Times New Roman" w:cs="Times New Roman"/>
          <w:i/>
          <w:iCs/>
          <w:sz w:val="24"/>
          <w:szCs w:val="24"/>
        </w:rPr>
        <w:t>see also</w:t>
      </w:r>
      <w:r w:rsidRPr="0066001B">
        <w:rPr>
          <w:rFonts w:ascii="Times New Roman" w:hAnsi="Times New Roman" w:cs="Times New Roman"/>
          <w:sz w:val="24"/>
          <w:szCs w:val="24"/>
        </w:rPr>
        <w:t xml:space="preserve"> </w:t>
      </w:r>
      <w:r w:rsidRPr="0066001B">
        <w:rPr>
          <w:rFonts w:ascii="Times New Roman" w:hAnsi="Times New Roman" w:cs="Times New Roman"/>
          <w:i/>
          <w:iCs/>
          <w:sz w:val="24"/>
          <w:szCs w:val="24"/>
        </w:rPr>
        <w:t xml:space="preserve">Borough of Duryea v. </w:t>
      </w:r>
      <w:proofErr w:type="spellStart"/>
      <w:r w:rsidRPr="0066001B">
        <w:rPr>
          <w:rFonts w:ascii="Times New Roman" w:hAnsi="Times New Roman" w:cs="Times New Roman"/>
          <w:i/>
          <w:iCs/>
          <w:sz w:val="24"/>
          <w:szCs w:val="24"/>
        </w:rPr>
        <w:t>Guarnieri</w:t>
      </w:r>
      <w:proofErr w:type="spellEnd"/>
      <w:r w:rsidRPr="0066001B">
        <w:rPr>
          <w:rFonts w:ascii="Times New Roman" w:hAnsi="Times New Roman" w:cs="Times New Roman"/>
          <w:sz w:val="24"/>
          <w:szCs w:val="24"/>
        </w:rPr>
        <w:t xml:space="preserve">, 564 U.S. 379, 383-86 (2011) (applying </w:t>
      </w:r>
      <w:r w:rsidRPr="0066001B">
        <w:rPr>
          <w:rFonts w:ascii="Times New Roman" w:hAnsi="Times New Roman" w:cs="Times New Roman"/>
          <w:i/>
          <w:iCs/>
          <w:sz w:val="24"/>
          <w:szCs w:val="24"/>
        </w:rPr>
        <w:t>Garcetti</w:t>
      </w:r>
      <w:r w:rsidRPr="0066001B">
        <w:rPr>
          <w:rFonts w:ascii="Times New Roman" w:hAnsi="Times New Roman" w:cs="Times New Roman"/>
          <w:sz w:val="24"/>
          <w:szCs w:val="24"/>
        </w:rPr>
        <w:t xml:space="preserve"> public concern test to public employee’s First Amendment Petition Clause claims). </w:t>
      </w:r>
    </w:p>
    <w:p w14:paraId="28DB3016"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lastRenderedPageBreak/>
        <w:tab/>
        <w:t xml:space="preserve">In </w:t>
      </w:r>
      <w:r w:rsidRPr="0066001B">
        <w:rPr>
          <w:rFonts w:ascii="Times New Roman" w:hAnsi="Times New Roman" w:cs="Times New Roman"/>
          <w:i/>
          <w:iCs/>
          <w:sz w:val="24"/>
          <w:szCs w:val="24"/>
        </w:rPr>
        <w:t>Gibson v. Office of Attorney Gen.</w:t>
      </w:r>
      <w:r w:rsidRPr="0066001B">
        <w:rPr>
          <w:rFonts w:ascii="Times New Roman" w:hAnsi="Times New Roman" w:cs="Times New Roman"/>
          <w:sz w:val="24"/>
          <w:szCs w:val="24"/>
        </w:rPr>
        <w:t>, 561 F.3d 920, 925 (9th Cir. 2009), the Ninth Circuit reiterated the “sequential five-step series of questions” to consider when evaluating a public employee’s First Amendment retaliation claim:</w:t>
      </w:r>
    </w:p>
    <w:p w14:paraId="7BD078AE"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07B2B05D" w14:textId="77777777" w:rsidR="0066001B" w:rsidRPr="0066001B" w:rsidRDefault="0066001B" w:rsidP="0066001B">
      <w:pPr>
        <w:autoSpaceDE w:val="0"/>
        <w:autoSpaceDN w:val="0"/>
        <w:adjustRightInd w:val="0"/>
        <w:spacing w:after="0" w:line="240" w:lineRule="auto"/>
        <w:ind w:left="720" w:right="720"/>
        <w:jc w:val="both"/>
        <w:rPr>
          <w:rFonts w:ascii="Times New Roman" w:hAnsi="Times New Roman" w:cs="Times New Roman"/>
          <w:sz w:val="24"/>
          <w:szCs w:val="24"/>
        </w:rPr>
      </w:pPr>
      <w:r w:rsidRPr="0066001B">
        <w:rPr>
          <w:rFonts w:ascii="Times New Roman" w:hAnsi="Times New Roman" w:cs="Times New Roman"/>
          <w:sz w:val="24"/>
          <w:szCs w:val="24"/>
        </w:rPr>
        <w:t>(1) [W]</w:t>
      </w:r>
      <w:proofErr w:type="spellStart"/>
      <w:r w:rsidRPr="0066001B">
        <w:rPr>
          <w:rFonts w:ascii="Times New Roman" w:hAnsi="Times New Roman" w:cs="Times New Roman"/>
          <w:sz w:val="24"/>
          <w:szCs w:val="24"/>
        </w:rPr>
        <w:t>hether</w:t>
      </w:r>
      <w:proofErr w:type="spellEnd"/>
      <w:r w:rsidRPr="0066001B">
        <w:rPr>
          <w:rFonts w:ascii="Times New Roman" w:hAnsi="Times New Roman" w:cs="Times New Roman"/>
          <w:sz w:val="24"/>
          <w:szCs w:val="24"/>
        </w:rPr>
        <w:t xml:space="preserve">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6D248AB7" w14:textId="77777777" w:rsidR="0066001B" w:rsidRPr="0066001B" w:rsidRDefault="0066001B" w:rsidP="0066001B">
      <w:pPr>
        <w:autoSpaceDE w:val="0"/>
        <w:autoSpaceDN w:val="0"/>
        <w:adjustRightInd w:val="0"/>
        <w:spacing w:after="0" w:line="240" w:lineRule="auto"/>
        <w:rPr>
          <w:rFonts w:ascii="Times New Roman" w:hAnsi="Times New Roman" w:cs="Times New Roman"/>
          <w:i/>
          <w:iCs/>
          <w:sz w:val="24"/>
          <w:szCs w:val="24"/>
        </w:rPr>
      </w:pPr>
      <w:r w:rsidRPr="0066001B">
        <w:rPr>
          <w:rFonts w:ascii="Times New Roman" w:hAnsi="Times New Roman" w:cs="Times New Roman"/>
          <w:sz w:val="24"/>
          <w:szCs w:val="24"/>
        </w:rPr>
        <w:t xml:space="preserve">  </w:t>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r w:rsidRPr="0066001B">
        <w:rPr>
          <w:rFonts w:ascii="Times New Roman" w:hAnsi="Times New Roman" w:cs="Times New Roman"/>
          <w:i/>
          <w:iCs/>
          <w:sz w:val="24"/>
          <w:szCs w:val="24"/>
        </w:rPr>
        <w:tab/>
      </w:r>
    </w:p>
    <w:p w14:paraId="2DEA91C2"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i/>
          <w:iCs/>
          <w:sz w:val="24"/>
          <w:szCs w:val="24"/>
        </w:rPr>
        <w:t xml:space="preserve">Id. </w:t>
      </w:r>
      <w:r w:rsidRPr="0066001B">
        <w:rPr>
          <w:rFonts w:ascii="Times New Roman" w:hAnsi="Times New Roman" w:cs="Times New Roman"/>
          <w:sz w:val="24"/>
          <w:szCs w:val="24"/>
        </w:rPr>
        <w:t xml:space="preserve">(quoting </w:t>
      </w:r>
      <w:proofErr w:type="spellStart"/>
      <w:r w:rsidRPr="0066001B">
        <w:rPr>
          <w:rFonts w:ascii="Times New Roman" w:hAnsi="Times New Roman" w:cs="Times New Roman"/>
          <w:i/>
          <w:iCs/>
          <w:sz w:val="24"/>
          <w:szCs w:val="24"/>
        </w:rPr>
        <w:t>Eng</w:t>
      </w:r>
      <w:proofErr w:type="spellEnd"/>
      <w:r w:rsidRPr="0066001B">
        <w:rPr>
          <w:rFonts w:ascii="Times New Roman" w:hAnsi="Times New Roman" w:cs="Times New Roman"/>
          <w:i/>
          <w:iCs/>
          <w:sz w:val="24"/>
          <w:szCs w:val="24"/>
        </w:rPr>
        <w:t xml:space="preserve"> v. Cooley,</w:t>
      </w:r>
      <w:r w:rsidRPr="0066001B">
        <w:rPr>
          <w:rFonts w:ascii="Times New Roman" w:hAnsi="Times New Roman" w:cs="Times New Roman"/>
          <w:sz w:val="24"/>
          <w:szCs w:val="24"/>
        </w:rPr>
        <w:t xml:space="preserve"> 552 F.3d 1062, 1070 (9th Cir. 2009)). </w:t>
      </w:r>
    </w:p>
    <w:p w14:paraId="1AE67BF2"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72DBCCC"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Because this instruction only addresses the first three elements summarized in </w:t>
      </w:r>
      <w:proofErr w:type="spellStart"/>
      <w:r w:rsidRPr="0066001B">
        <w:rPr>
          <w:rFonts w:ascii="Times New Roman" w:hAnsi="Times New Roman" w:cs="Times New Roman"/>
          <w:i/>
          <w:iCs/>
          <w:sz w:val="24"/>
          <w:szCs w:val="24"/>
        </w:rPr>
        <w:t>Eng</w:t>
      </w:r>
      <w:proofErr w:type="spellEnd"/>
      <w:r w:rsidRPr="0066001B">
        <w:rPr>
          <w:rFonts w:ascii="Times New Roman" w:hAnsi="Times New Roman" w:cs="Times New Roman"/>
          <w:sz w:val="24"/>
          <w:szCs w:val="24"/>
        </w:rPr>
        <w:t xml:space="preserve"> and </w:t>
      </w:r>
      <w:r w:rsidRPr="0066001B">
        <w:rPr>
          <w:rFonts w:ascii="Times New Roman" w:hAnsi="Times New Roman" w:cs="Times New Roman"/>
          <w:i/>
          <w:iCs/>
          <w:sz w:val="24"/>
          <w:szCs w:val="24"/>
        </w:rPr>
        <w:t>Gibson</w:t>
      </w:r>
      <w:r w:rsidRPr="0066001B">
        <w:rPr>
          <w:rFonts w:ascii="Times New Roman" w:hAnsi="Times New Roman" w:cs="Times New Roman"/>
          <w:sz w:val="24"/>
          <w:szCs w:val="24"/>
        </w:rPr>
        <w:t>, the instruction should be modified if there are jury issues involving the fourth or fifth factors stated above.</w:t>
      </w:r>
    </w:p>
    <w:p w14:paraId="50B09555"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215DB2B3"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The “public concern inquiry is purely a question of law,” </w:t>
      </w:r>
      <w:r w:rsidRPr="0066001B">
        <w:rPr>
          <w:rFonts w:ascii="Times New Roman" w:hAnsi="Times New Roman" w:cs="Times New Roman"/>
          <w:i/>
          <w:iCs/>
          <w:sz w:val="24"/>
          <w:szCs w:val="24"/>
        </w:rPr>
        <w:t>Gibson</w:t>
      </w:r>
      <w:r w:rsidRPr="0066001B">
        <w:rPr>
          <w:rFonts w:ascii="Times New Roman" w:hAnsi="Times New Roman" w:cs="Times New Roman"/>
          <w:sz w:val="24"/>
          <w:szCs w:val="24"/>
        </w:rPr>
        <w:t>, 561 F.3d at 925 (citing</w:t>
      </w:r>
    </w:p>
    <w:p w14:paraId="229D482F"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roofErr w:type="spellStart"/>
      <w:r w:rsidRPr="0066001B">
        <w:rPr>
          <w:rFonts w:ascii="Times New Roman" w:hAnsi="Times New Roman" w:cs="Times New Roman"/>
          <w:i/>
          <w:iCs/>
          <w:sz w:val="24"/>
          <w:szCs w:val="24"/>
        </w:rPr>
        <w:t>Eng</w:t>
      </w:r>
      <w:proofErr w:type="spellEnd"/>
      <w:r w:rsidRPr="0066001B">
        <w:rPr>
          <w:rFonts w:ascii="Times New Roman" w:hAnsi="Times New Roman" w:cs="Times New Roman"/>
          <w:sz w:val="24"/>
          <w:szCs w:val="24"/>
        </w:rPr>
        <w:t>, 552 F.3d at 1070), that depends on the “content, form, and context of a given statement, as</w:t>
      </w:r>
    </w:p>
    <w:p w14:paraId="06E6EDAC"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 xml:space="preserve">revealed by the whole record.”  </w:t>
      </w:r>
      <w:r w:rsidRPr="0066001B">
        <w:rPr>
          <w:rFonts w:ascii="Times New Roman" w:hAnsi="Times New Roman" w:cs="Times New Roman"/>
          <w:i/>
          <w:iCs/>
          <w:sz w:val="24"/>
          <w:szCs w:val="24"/>
        </w:rPr>
        <w:t>Ulrich v. City &amp; County of San Francisco</w:t>
      </w:r>
      <w:r w:rsidRPr="0066001B">
        <w:rPr>
          <w:rFonts w:ascii="Times New Roman" w:hAnsi="Times New Roman" w:cs="Times New Roman"/>
          <w:sz w:val="24"/>
          <w:szCs w:val="24"/>
        </w:rPr>
        <w:t>, 308 F.3d 968, 976-77 (9th Cir.2002).</w:t>
      </w:r>
    </w:p>
    <w:p w14:paraId="6438949B"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69A9F631"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In </w:t>
      </w:r>
      <w:r w:rsidRPr="0066001B">
        <w:rPr>
          <w:rFonts w:ascii="Times New Roman" w:hAnsi="Times New Roman" w:cs="Times New Roman"/>
          <w:i/>
          <w:iCs/>
          <w:sz w:val="24"/>
          <w:szCs w:val="24"/>
        </w:rPr>
        <w:t>Garcetti</w:t>
      </w:r>
      <w:r w:rsidRPr="0066001B">
        <w:rPr>
          <w:rFonts w:ascii="Times New Roman" w:hAnsi="Times New Roman" w:cs="Times New Roman"/>
          <w:sz w:val="24"/>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66001B">
        <w:rPr>
          <w:rFonts w:ascii="Times New Roman" w:hAnsi="Times New Roman" w:cs="Times New Roman"/>
          <w:i/>
          <w:iCs/>
          <w:sz w:val="24"/>
          <w:szCs w:val="24"/>
        </w:rPr>
        <w:t>Id</w:t>
      </w:r>
      <w:r w:rsidRPr="0066001B">
        <w:rPr>
          <w:rFonts w:ascii="Times New Roman" w:hAnsi="Times New Roman" w:cs="Times New Roman"/>
          <w:sz w:val="24"/>
          <w:szCs w:val="24"/>
        </w:rPr>
        <w:t xml:space="preserve">. at 424-25.  Second, the Court recognized that </w:t>
      </w:r>
    </w:p>
    <w:p w14:paraId="3856A79E"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6F692EDD" w14:textId="77777777" w:rsidR="0066001B" w:rsidRPr="0066001B" w:rsidRDefault="0066001B" w:rsidP="0066001B">
      <w:pPr>
        <w:autoSpaceDE w:val="0"/>
        <w:autoSpaceDN w:val="0"/>
        <w:adjustRightInd w:val="0"/>
        <w:spacing w:after="0" w:line="240" w:lineRule="auto"/>
        <w:ind w:left="720" w:right="720"/>
        <w:jc w:val="both"/>
        <w:rPr>
          <w:rFonts w:ascii="Times New Roman" w:hAnsi="Times New Roman" w:cs="Times New Roman"/>
          <w:sz w:val="24"/>
          <w:szCs w:val="24"/>
        </w:rPr>
      </w:pPr>
      <w:r w:rsidRPr="0066001B">
        <w:rPr>
          <w:rFonts w:ascii="Times New Roman" w:hAnsi="Times New Roman" w:cs="Times New Roman"/>
          <w:sz w:val="24"/>
          <w:szCs w:val="24"/>
        </w:rPr>
        <w:t>[t]here is some argument that expression related to academic scholarship or classroom instruction implicates additional constitutional interests that are not fully accounted for by this Court’s customary employee-speech jurisprudence … [F]or that reason [we] do not[] decide whether the analysis we conduct today would apply in the same manner to a case involving speech related to scholarship or teaching.</w:t>
      </w:r>
    </w:p>
    <w:p w14:paraId="3137C5A7" w14:textId="77777777" w:rsidR="0066001B" w:rsidRPr="0066001B" w:rsidRDefault="0066001B" w:rsidP="0066001B">
      <w:pPr>
        <w:autoSpaceDE w:val="0"/>
        <w:autoSpaceDN w:val="0"/>
        <w:adjustRightInd w:val="0"/>
        <w:spacing w:after="0" w:line="240" w:lineRule="auto"/>
        <w:ind w:left="720" w:right="720"/>
        <w:rPr>
          <w:rFonts w:ascii="Times New Roman" w:hAnsi="Times New Roman" w:cs="Times New Roman"/>
          <w:sz w:val="24"/>
          <w:szCs w:val="24"/>
        </w:rPr>
      </w:pPr>
    </w:p>
    <w:p w14:paraId="43A66AC3"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 xml:space="preserve"> </w:t>
      </w:r>
      <w:r w:rsidRPr="0066001B">
        <w:rPr>
          <w:rFonts w:ascii="Times New Roman" w:hAnsi="Times New Roman" w:cs="Times New Roman"/>
          <w:i/>
          <w:iCs/>
          <w:sz w:val="24"/>
          <w:szCs w:val="24"/>
        </w:rPr>
        <w:t>Id</w:t>
      </w:r>
      <w:r w:rsidRPr="0066001B">
        <w:rPr>
          <w:rFonts w:ascii="Times New Roman" w:hAnsi="Times New Roman" w:cs="Times New Roman"/>
          <w:sz w:val="24"/>
          <w:szCs w:val="24"/>
        </w:rPr>
        <w:t>. at 425.</w:t>
      </w:r>
    </w:p>
    <w:p w14:paraId="625AA589"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4A8D6BC9" w14:textId="0187B604"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lastRenderedPageBreak/>
        <w:tab/>
        <w:t xml:space="preserve">In </w:t>
      </w:r>
      <w:r w:rsidRPr="0066001B">
        <w:rPr>
          <w:rFonts w:ascii="Times New Roman" w:hAnsi="Times New Roman" w:cs="Times New Roman"/>
          <w:i/>
          <w:iCs/>
          <w:sz w:val="24"/>
          <w:szCs w:val="24"/>
        </w:rPr>
        <w:t>Demers v. Austin</w:t>
      </w:r>
      <w:r w:rsidRPr="0066001B">
        <w:rPr>
          <w:rFonts w:ascii="Times New Roman" w:hAnsi="Times New Roman" w:cs="Times New Roman"/>
          <w:sz w:val="24"/>
          <w:szCs w:val="24"/>
        </w:rPr>
        <w:t>, 746 F.3d 402, 406 (9th Cir. 2014), however, the Ninth Circuit answered the latter question and held that “</w:t>
      </w:r>
      <w:r w:rsidRPr="0066001B">
        <w:rPr>
          <w:rFonts w:ascii="Times New Roman" w:hAnsi="Times New Roman" w:cs="Times New Roman"/>
          <w:i/>
          <w:iCs/>
          <w:sz w:val="24"/>
          <w:szCs w:val="24"/>
        </w:rPr>
        <w:t>Garcetti</w:t>
      </w:r>
      <w:r w:rsidRPr="0066001B">
        <w:rPr>
          <w:rFonts w:ascii="Times New Roman" w:hAnsi="Times New Roman" w:cs="Times New Roman"/>
          <w:sz w:val="24"/>
          <w:szCs w:val="24"/>
        </w:rPr>
        <w:t xml:space="preserve"> does not apply to ‘speech related to scholarship or teaching.’”  Rather, the Ninth Circuit held that such speech is governed by </w:t>
      </w:r>
      <w:r w:rsidRPr="0066001B">
        <w:rPr>
          <w:rFonts w:ascii="Times New Roman" w:hAnsi="Times New Roman" w:cs="Times New Roman"/>
          <w:i/>
          <w:iCs/>
          <w:sz w:val="24"/>
          <w:szCs w:val="24"/>
        </w:rPr>
        <w:t>Pickering v. Board of Education</w:t>
      </w:r>
      <w:r w:rsidRPr="0066001B">
        <w:rPr>
          <w:rFonts w:ascii="Times New Roman" w:hAnsi="Times New Roman" w:cs="Times New Roman"/>
          <w:sz w:val="24"/>
          <w:szCs w:val="24"/>
        </w:rPr>
        <w:t xml:space="preserve">, 391 U.S. 563 (1968) (considering speech by public school teacher critical of school board).  </w:t>
      </w:r>
      <w:r w:rsidRPr="0066001B">
        <w:rPr>
          <w:rFonts w:ascii="Times New Roman" w:hAnsi="Times New Roman" w:cs="Times New Roman"/>
          <w:i/>
          <w:iCs/>
          <w:sz w:val="24"/>
          <w:szCs w:val="24"/>
        </w:rPr>
        <w:t>Id</w:t>
      </w:r>
      <w:r w:rsidRPr="0066001B">
        <w:rPr>
          <w:rFonts w:ascii="Times New Roman" w:hAnsi="Times New Roman" w:cs="Times New Roman"/>
          <w:sz w:val="24"/>
          <w:szCs w:val="24"/>
        </w:rPr>
        <w:t xml:space="preserve">.  The </w:t>
      </w:r>
      <w:r w:rsidRPr="0066001B">
        <w:rPr>
          <w:rFonts w:ascii="Times New Roman" w:hAnsi="Times New Roman" w:cs="Times New Roman"/>
          <w:i/>
          <w:iCs/>
          <w:sz w:val="24"/>
          <w:szCs w:val="24"/>
        </w:rPr>
        <w:t>Demers</w:t>
      </w:r>
      <w:r w:rsidRPr="0066001B">
        <w:rPr>
          <w:rFonts w:ascii="Times New Roman" w:hAnsi="Times New Roman" w:cs="Times New Roman"/>
          <w:sz w:val="24"/>
          <w:szCs w:val="24"/>
        </w:rPr>
        <w:t xml:space="preserve"> court went on to conclude that a state university professor’s plan for changes in his department addressed a matter of public concern under </w:t>
      </w:r>
      <w:r w:rsidRPr="0066001B">
        <w:rPr>
          <w:rFonts w:ascii="Times New Roman" w:hAnsi="Times New Roman" w:cs="Times New Roman"/>
          <w:i/>
          <w:iCs/>
          <w:sz w:val="24"/>
          <w:szCs w:val="24"/>
        </w:rPr>
        <w:t>Pickering</w:t>
      </w:r>
      <w:r w:rsidRPr="0066001B">
        <w:rPr>
          <w:rFonts w:ascii="Times New Roman" w:hAnsi="Times New Roman" w:cs="Times New Roman"/>
          <w:sz w:val="24"/>
          <w:szCs w:val="24"/>
        </w:rPr>
        <w:t xml:space="preserve">.  </w:t>
      </w:r>
      <w:r w:rsidRPr="0066001B">
        <w:rPr>
          <w:rFonts w:ascii="Times New Roman" w:hAnsi="Times New Roman" w:cs="Times New Roman"/>
          <w:i/>
          <w:iCs/>
          <w:sz w:val="24"/>
          <w:szCs w:val="24"/>
        </w:rPr>
        <w:t>Id</w:t>
      </w:r>
      <w:r w:rsidRPr="0066001B">
        <w:rPr>
          <w:rFonts w:ascii="Times New Roman" w:hAnsi="Times New Roman" w:cs="Times New Roman"/>
          <w:sz w:val="24"/>
          <w:szCs w:val="24"/>
        </w:rPr>
        <w:t xml:space="preserve">. at 414-17.  </w:t>
      </w:r>
      <w:r>
        <w:rPr>
          <w:rFonts w:ascii="Times New Roman" w:hAnsi="Times New Roman" w:cs="Times New Roman"/>
          <w:sz w:val="24"/>
          <w:szCs w:val="24"/>
        </w:rPr>
        <w:t xml:space="preserve">In </w:t>
      </w:r>
      <w:r>
        <w:rPr>
          <w:rFonts w:ascii="Times New Roman" w:hAnsi="Times New Roman" w:cs="Times New Roman"/>
          <w:i/>
          <w:iCs/>
          <w:sz w:val="24"/>
          <w:szCs w:val="24"/>
        </w:rPr>
        <w:t>Kennedy v. Bremerton School Dist.</w:t>
      </w:r>
      <w:r>
        <w:rPr>
          <w:rFonts w:ascii="Times New Roman" w:hAnsi="Times New Roman" w:cs="Times New Roman"/>
          <w:sz w:val="24"/>
          <w:szCs w:val="24"/>
        </w:rPr>
        <w:t>, 991 F.3d 1004, 1016 (9</w:t>
      </w:r>
      <w:r w:rsidRPr="0066001B">
        <w:rPr>
          <w:rFonts w:ascii="Times New Roman" w:hAnsi="Times New Roman" w:cs="Times New Roman"/>
          <w:sz w:val="24"/>
          <w:szCs w:val="24"/>
        </w:rPr>
        <w:t xml:space="preserve">th </w:t>
      </w:r>
      <w:r>
        <w:rPr>
          <w:rFonts w:ascii="Times New Roman" w:hAnsi="Times New Roman" w:cs="Times New Roman"/>
          <w:sz w:val="24"/>
          <w:szCs w:val="24"/>
        </w:rPr>
        <w:t>Cir. 2021), the Ninth Circuit held that football coach spoke as a public employee when employer directed speech after games and therefore First Amendment rights were limited.</w:t>
      </w:r>
    </w:p>
    <w:p w14:paraId="2E6CD0E4"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1F9690A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The definition of “adverse employment action” in this instruction is substantially the same as that in Instruction 10.10 (Civil Rights—Title VII—“Adverse Employment Action” in Retaliation Cases).  </w:t>
      </w:r>
      <w:r w:rsidRPr="0066001B">
        <w:rPr>
          <w:rFonts w:ascii="Times New Roman" w:hAnsi="Times New Roman" w:cs="Times New Roman"/>
          <w:i/>
          <w:iCs/>
          <w:sz w:val="24"/>
          <w:szCs w:val="24"/>
        </w:rPr>
        <w:t>See</w:t>
      </w:r>
      <w:r w:rsidRPr="0066001B">
        <w:rPr>
          <w:rFonts w:ascii="Times New Roman" w:hAnsi="Times New Roman" w:cs="Times New Roman"/>
          <w:sz w:val="24"/>
          <w:szCs w:val="24"/>
        </w:rPr>
        <w:t xml:space="preserve"> the Comment to that instruction for supporting authorities.</w:t>
      </w:r>
    </w:p>
    <w:p w14:paraId="6E36FCC6"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4E8C300A"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With respect to causation, “[</w:t>
      </w:r>
      <w:proofErr w:type="spellStart"/>
      <w:r w:rsidRPr="0066001B">
        <w:rPr>
          <w:rFonts w:ascii="Times New Roman" w:hAnsi="Times New Roman" w:cs="Times New Roman"/>
          <w:sz w:val="24"/>
          <w:szCs w:val="24"/>
        </w:rPr>
        <w:t>i</w:t>
      </w:r>
      <w:proofErr w:type="spellEnd"/>
      <w:r w:rsidRPr="0066001B">
        <w:rPr>
          <w:rFonts w:ascii="Times New Roman" w:hAnsi="Times New Roman" w:cs="Times New Roman"/>
          <w:sz w:val="24"/>
          <w:szCs w:val="24"/>
        </w:rPr>
        <w:t>]t is clear . . . that the causation is understood to be but-for</w:t>
      </w:r>
    </w:p>
    <w:p w14:paraId="731BD01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 xml:space="preserve">causation, without which the adverse action would not have been taken.”  </w:t>
      </w:r>
      <w:r w:rsidRPr="0066001B">
        <w:rPr>
          <w:rFonts w:ascii="Times New Roman" w:hAnsi="Times New Roman" w:cs="Times New Roman"/>
          <w:i/>
          <w:iCs/>
          <w:sz w:val="24"/>
          <w:szCs w:val="24"/>
        </w:rPr>
        <w:t>Hartman v. Moore</w:t>
      </w:r>
      <w:r w:rsidRPr="0066001B">
        <w:rPr>
          <w:rFonts w:ascii="Times New Roman" w:hAnsi="Times New Roman" w:cs="Times New Roman"/>
          <w:sz w:val="24"/>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66001B">
        <w:rPr>
          <w:rFonts w:ascii="Times New Roman" w:hAnsi="Times New Roman" w:cs="Times New Roman"/>
          <w:i/>
          <w:iCs/>
          <w:sz w:val="24"/>
          <w:szCs w:val="24"/>
        </w:rPr>
        <w:t>Id</w:t>
      </w:r>
      <w:r w:rsidRPr="0066001B">
        <w:rPr>
          <w:rFonts w:ascii="Times New Roman" w:hAnsi="Times New Roman" w:cs="Times New Roman"/>
          <w:sz w:val="24"/>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66001B">
        <w:rPr>
          <w:rFonts w:ascii="Times New Roman" w:hAnsi="Times New Roman" w:cs="Times New Roman"/>
          <w:i/>
          <w:iCs/>
          <w:sz w:val="24"/>
          <w:szCs w:val="24"/>
        </w:rPr>
        <w:t>Lakeside-Scott v. Multnomah</w:t>
      </w:r>
      <w:r w:rsidRPr="0066001B">
        <w:rPr>
          <w:rFonts w:ascii="Times New Roman" w:hAnsi="Times New Roman" w:cs="Times New Roman"/>
          <w:sz w:val="24"/>
          <w:szCs w:val="24"/>
        </w:rPr>
        <w:t xml:space="preserve"> </w:t>
      </w:r>
      <w:r w:rsidRPr="0066001B">
        <w:rPr>
          <w:rFonts w:ascii="Times New Roman" w:hAnsi="Times New Roman" w:cs="Times New Roman"/>
          <w:i/>
          <w:iCs/>
          <w:sz w:val="24"/>
          <w:szCs w:val="24"/>
        </w:rPr>
        <w:t>County</w:t>
      </w:r>
      <w:r w:rsidRPr="0066001B">
        <w:rPr>
          <w:rFonts w:ascii="Times New Roman" w:hAnsi="Times New Roman" w:cs="Times New Roman"/>
          <w:sz w:val="24"/>
          <w:szCs w:val="24"/>
        </w:rPr>
        <w:t>, 556 F.3d 797, 799 (9th Cir. 2009).  Regarding motive, the defendant’s actions must have been</w:t>
      </w:r>
    </w:p>
    <w:p w14:paraId="0D09ED40" w14:textId="77777777" w:rsidR="0066001B" w:rsidRPr="0066001B" w:rsidRDefault="0066001B" w:rsidP="0066001B">
      <w:pPr>
        <w:autoSpaceDE w:val="0"/>
        <w:autoSpaceDN w:val="0"/>
        <w:adjustRightInd w:val="0"/>
        <w:spacing w:after="0" w:line="240" w:lineRule="auto"/>
        <w:rPr>
          <w:rFonts w:ascii="Times New Roman" w:hAnsi="Times New Roman" w:cs="Times New Roman"/>
          <w:i/>
          <w:iCs/>
          <w:sz w:val="24"/>
          <w:szCs w:val="24"/>
        </w:rPr>
      </w:pPr>
      <w:r w:rsidRPr="0066001B">
        <w:rPr>
          <w:rFonts w:ascii="Times New Roman" w:hAnsi="Times New Roman" w:cs="Times New Roman"/>
          <w:sz w:val="24"/>
          <w:szCs w:val="24"/>
        </w:rPr>
        <w:t xml:space="preserve">substantially motivated by a desire to deter or chill the employee’s speech.  </w:t>
      </w:r>
      <w:proofErr w:type="spellStart"/>
      <w:r w:rsidRPr="0066001B">
        <w:rPr>
          <w:rFonts w:ascii="Times New Roman" w:hAnsi="Times New Roman" w:cs="Times New Roman"/>
          <w:i/>
          <w:iCs/>
          <w:sz w:val="24"/>
          <w:szCs w:val="24"/>
        </w:rPr>
        <w:t>Awabdy</w:t>
      </w:r>
      <w:proofErr w:type="spellEnd"/>
      <w:r w:rsidRPr="0066001B">
        <w:rPr>
          <w:rFonts w:ascii="Times New Roman" w:hAnsi="Times New Roman" w:cs="Times New Roman"/>
          <w:i/>
          <w:iCs/>
          <w:sz w:val="24"/>
          <w:szCs w:val="24"/>
        </w:rPr>
        <w:t xml:space="preserve"> v. City of</w:t>
      </w:r>
    </w:p>
    <w:p w14:paraId="50DF7868"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i/>
          <w:iCs/>
          <w:sz w:val="24"/>
          <w:szCs w:val="24"/>
        </w:rPr>
        <w:t>Adelanto</w:t>
      </w:r>
      <w:r w:rsidRPr="0066001B">
        <w:rPr>
          <w:rFonts w:ascii="Times New Roman" w:hAnsi="Times New Roman" w:cs="Times New Roman"/>
          <w:sz w:val="24"/>
          <w:szCs w:val="24"/>
        </w:rPr>
        <w:t xml:space="preserve">, 368 F.3d 1062, 1071 (9th Cir. 2004); </w:t>
      </w:r>
      <w:proofErr w:type="spellStart"/>
      <w:r w:rsidRPr="0066001B">
        <w:rPr>
          <w:rFonts w:ascii="Times New Roman" w:hAnsi="Times New Roman" w:cs="Times New Roman"/>
          <w:i/>
          <w:iCs/>
          <w:sz w:val="24"/>
          <w:szCs w:val="24"/>
        </w:rPr>
        <w:t>Sloman</w:t>
      </w:r>
      <w:proofErr w:type="spellEnd"/>
      <w:r w:rsidRPr="0066001B">
        <w:rPr>
          <w:rFonts w:ascii="Times New Roman" w:hAnsi="Times New Roman" w:cs="Times New Roman"/>
          <w:i/>
          <w:iCs/>
          <w:sz w:val="24"/>
          <w:szCs w:val="24"/>
        </w:rPr>
        <w:t xml:space="preserve"> v. Tadlock</w:t>
      </w:r>
      <w:r w:rsidRPr="0066001B">
        <w:rPr>
          <w:rFonts w:ascii="Times New Roman" w:hAnsi="Times New Roman" w:cs="Times New Roman"/>
          <w:sz w:val="24"/>
          <w:szCs w:val="24"/>
        </w:rPr>
        <w:t>, 21 F.3d 1462, 1465, 1469 n.10 (9th Cir. 1994).</w:t>
      </w:r>
    </w:p>
    <w:p w14:paraId="281B048D"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2F8A55BD"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Defining “substantial or motivating factor” as a “significant factor” does not misstate the law.  </w:t>
      </w:r>
      <w:proofErr w:type="spellStart"/>
      <w:r w:rsidRPr="0066001B">
        <w:rPr>
          <w:rFonts w:ascii="Times New Roman" w:hAnsi="Times New Roman" w:cs="Times New Roman"/>
          <w:i/>
          <w:iCs/>
          <w:sz w:val="24"/>
          <w:szCs w:val="24"/>
        </w:rPr>
        <w:t>Ostad</w:t>
      </w:r>
      <w:proofErr w:type="spellEnd"/>
      <w:r w:rsidRPr="0066001B">
        <w:rPr>
          <w:rFonts w:ascii="Times New Roman" w:hAnsi="Times New Roman" w:cs="Times New Roman"/>
          <w:i/>
          <w:iCs/>
          <w:sz w:val="24"/>
          <w:szCs w:val="24"/>
        </w:rPr>
        <w:t xml:space="preserve"> v. Or. Health </w:t>
      </w:r>
      <w:proofErr w:type="spellStart"/>
      <w:r w:rsidRPr="0066001B">
        <w:rPr>
          <w:rFonts w:ascii="Times New Roman" w:hAnsi="Times New Roman" w:cs="Times New Roman"/>
          <w:i/>
          <w:iCs/>
          <w:sz w:val="24"/>
          <w:szCs w:val="24"/>
        </w:rPr>
        <w:t>Scis</w:t>
      </w:r>
      <w:proofErr w:type="spellEnd"/>
      <w:r w:rsidRPr="0066001B">
        <w:rPr>
          <w:rFonts w:ascii="Times New Roman" w:hAnsi="Times New Roman" w:cs="Times New Roman"/>
          <w:i/>
          <w:iCs/>
          <w:sz w:val="24"/>
          <w:szCs w:val="24"/>
        </w:rPr>
        <w:t>. Univ</w:t>
      </w:r>
      <w:r w:rsidRPr="0066001B">
        <w:rPr>
          <w:rFonts w:ascii="Times New Roman" w:hAnsi="Times New Roman" w:cs="Times New Roman"/>
          <w:sz w:val="24"/>
          <w:szCs w:val="24"/>
        </w:rPr>
        <w:t>., 327 F.3d 876, 884-85 (9th Cir. 2003).</w:t>
      </w:r>
    </w:p>
    <w:p w14:paraId="6907F632"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717CC164"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This instruction should be modified when an employee was allegedly subjected to an</w:t>
      </w:r>
    </w:p>
    <w:p w14:paraId="5A14026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adverse employment action based on an employer’s erroneous belief that the employee engaged</w:t>
      </w:r>
    </w:p>
    <w:p w14:paraId="4CAC103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in protected speech.  In such cases, it is the employer’s motive for taking the adverse action that</w:t>
      </w:r>
    </w:p>
    <w:p w14:paraId="7FF5F02E"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 xml:space="preserve">triggers the employee’s right to bring an action.  </w:t>
      </w:r>
      <w:r w:rsidRPr="0066001B">
        <w:rPr>
          <w:rFonts w:ascii="Times New Roman" w:hAnsi="Times New Roman" w:cs="Times New Roman"/>
          <w:i/>
          <w:iCs/>
          <w:sz w:val="24"/>
          <w:szCs w:val="24"/>
        </w:rPr>
        <w:t>See Heffernan v. City of Paterson</w:t>
      </w:r>
      <w:r w:rsidRPr="0066001B">
        <w:rPr>
          <w:rFonts w:ascii="Times New Roman" w:hAnsi="Times New Roman" w:cs="Times New Roman"/>
          <w:sz w:val="24"/>
          <w:szCs w:val="24"/>
        </w:rPr>
        <w:t>, 136 S.</w:t>
      </w:r>
    </w:p>
    <w:p w14:paraId="190C0063"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Ct. 1412 (2016) (holding that police officer who was demoted could pursue claim against</w:t>
      </w:r>
    </w:p>
    <w:p w14:paraId="7C778A3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employer even though employer acted erroneously on belief that employee had participated in</w:t>
      </w:r>
    </w:p>
    <w:p w14:paraId="10FD446F"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political activity).</w:t>
      </w:r>
    </w:p>
    <w:p w14:paraId="5F370680"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5D0154D5"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66001B">
        <w:rPr>
          <w:rFonts w:ascii="Times New Roman" w:hAnsi="Times New Roman" w:cs="Times New Roman"/>
          <w:i/>
          <w:iCs/>
          <w:sz w:val="24"/>
          <w:szCs w:val="24"/>
        </w:rPr>
        <w:t>See Barone v. City of Springfield</w:t>
      </w:r>
      <w:r w:rsidRPr="0066001B">
        <w:rPr>
          <w:rFonts w:ascii="Times New Roman" w:hAnsi="Times New Roman" w:cs="Times New Roman"/>
          <w:sz w:val="24"/>
          <w:szCs w:val="24"/>
        </w:rPr>
        <w:t xml:space="preserve">, 902 F.3d 1091, 1101-06 (9th Cir. 2018).  </w:t>
      </w:r>
    </w:p>
    <w:p w14:paraId="172064A5"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50C1CBAE"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r w:rsidRPr="0066001B">
        <w:rPr>
          <w:rFonts w:ascii="Times New Roman" w:hAnsi="Times New Roman" w:cs="Times New Roman"/>
          <w:sz w:val="24"/>
          <w:szCs w:val="24"/>
        </w:rPr>
        <w:tab/>
        <w:t xml:space="preserve">After a plaintiff establishes the first three steps, he or she has made out a prima facie case, and at step four the burden shifts to the government “to show that ‘under the balancing test </w:t>
      </w:r>
      <w:r w:rsidRPr="0066001B">
        <w:rPr>
          <w:rFonts w:ascii="Times New Roman" w:hAnsi="Times New Roman" w:cs="Times New Roman"/>
          <w:sz w:val="24"/>
          <w:szCs w:val="24"/>
        </w:rPr>
        <w:lastRenderedPageBreak/>
        <w:t>established by</w:t>
      </w:r>
      <w:r w:rsidRPr="0066001B">
        <w:rPr>
          <w:rFonts w:ascii="Times New Roman" w:hAnsi="Times New Roman" w:cs="Times New Roman"/>
          <w:i/>
          <w:iCs/>
          <w:sz w:val="24"/>
          <w:szCs w:val="24"/>
        </w:rPr>
        <w:t xml:space="preserve"> Pickering</w:t>
      </w:r>
      <w:r w:rsidRPr="0066001B">
        <w:rPr>
          <w:rFonts w:ascii="Times New Roman" w:hAnsi="Times New Roman" w:cs="Times New Roman"/>
          <w:sz w:val="24"/>
          <w:szCs w:val="24"/>
        </w:rPr>
        <w:t xml:space="preserve">, [the government’s] legitimate administrative interests outweigh the employee’s First Amendment rights.’”  </w:t>
      </w:r>
      <w:r w:rsidRPr="0066001B">
        <w:rPr>
          <w:rFonts w:ascii="Times New Roman" w:hAnsi="Times New Roman" w:cs="Times New Roman"/>
          <w:i/>
          <w:iCs/>
          <w:sz w:val="24"/>
          <w:szCs w:val="24"/>
        </w:rPr>
        <w:t>Moser v. Las Vegas Metro. Police. Dept.</w:t>
      </w:r>
      <w:r w:rsidRPr="0066001B">
        <w:rPr>
          <w:rFonts w:ascii="Times New Roman" w:hAnsi="Times New Roman" w:cs="Times New Roman"/>
          <w:sz w:val="24"/>
          <w:szCs w:val="24"/>
        </w:rPr>
        <w:t xml:space="preserve">, 984 F.3d 900, 906 (9th Cir. 2021) (quoting </w:t>
      </w:r>
      <w:proofErr w:type="spellStart"/>
      <w:r w:rsidRPr="0066001B">
        <w:rPr>
          <w:rFonts w:ascii="Times New Roman" w:hAnsi="Times New Roman" w:cs="Times New Roman"/>
          <w:i/>
          <w:iCs/>
          <w:sz w:val="24"/>
          <w:szCs w:val="24"/>
        </w:rPr>
        <w:t>Eng</w:t>
      </w:r>
      <w:proofErr w:type="spellEnd"/>
      <w:r w:rsidRPr="0066001B">
        <w:rPr>
          <w:rFonts w:ascii="Times New Roman" w:hAnsi="Times New Roman" w:cs="Times New Roman"/>
          <w:sz w:val="24"/>
          <w:szCs w:val="24"/>
        </w:rPr>
        <w:t xml:space="preserve">, 552 F.3d at 1071) (holding the government failed to satisfy its step four burden because it did not produce any evidence indicating the speech at issue caused or would cause disruption).  “[T]he </w:t>
      </w:r>
      <w:r w:rsidRPr="0066001B">
        <w:rPr>
          <w:rFonts w:ascii="Times New Roman" w:hAnsi="Times New Roman" w:cs="Times New Roman"/>
          <w:i/>
          <w:iCs/>
          <w:sz w:val="24"/>
          <w:szCs w:val="24"/>
        </w:rPr>
        <w:t>Pickering</w:t>
      </w:r>
      <w:r w:rsidRPr="0066001B">
        <w:rPr>
          <w:rFonts w:ascii="Times New Roman" w:hAnsi="Times New Roman" w:cs="Times New Roman"/>
          <w:sz w:val="24"/>
          <w:szCs w:val="24"/>
        </w:rPr>
        <w:t xml:space="preserve"> balancing test is a legal question, but its resolution often entails underlying factual disputes that need to be resolved by a fact-finder.”  </w:t>
      </w:r>
      <w:r w:rsidRPr="0066001B">
        <w:rPr>
          <w:rFonts w:ascii="Times New Roman" w:hAnsi="Times New Roman" w:cs="Times New Roman"/>
          <w:i/>
          <w:iCs/>
          <w:sz w:val="24"/>
          <w:szCs w:val="24"/>
        </w:rPr>
        <w:t>Id</w:t>
      </w:r>
      <w:r w:rsidRPr="0066001B">
        <w:rPr>
          <w:rFonts w:ascii="Times New Roman" w:hAnsi="Times New Roman" w:cs="Times New Roman"/>
          <w:sz w:val="24"/>
          <w:szCs w:val="24"/>
        </w:rPr>
        <w:t xml:space="preserve">. at 911 (quoting </w:t>
      </w:r>
      <w:proofErr w:type="spellStart"/>
      <w:r w:rsidRPr="0066001B">
        <w:rPr>
          <w:rFonts w:ascii="Times New Roman" w:hAnsi="Times New Roman" w:cs="Times New Roman"/>
          <w:i/>
          <w:iCs/>
          <w:sz w:val="24"/>
          <w:szCs w:val="24"/>
        </w:rPr>
        <w:t>Eng</w:t>
      </w:r>
      <w:proofErr w:type="spellEnd"/>
      <w:r w:rsidRPr="0066001B">
        <w:rPr>
          <w:rFonts w:ascii="Times New Roman" w:hAnsi="Times New Roman" w:cs="Times New Roman"/>
          <w:sz w:val="24"/>
          <w:szCs w:val="24"/>
        </w:rPr>
        <w:t xml:space="preserve">, 552 F.3d at 1071).  For example, the weight of the employee’s First Amendment interest is a question of law, but it is in part determined by the objective meaning of the employee’s speech, which is a question of fact.  </w:t>
      </w:r>
      <w:r w:rsidRPr="0066001B">
        <w:rPr>
          <w:rFonts w:ascii="Times New Roman" w:hAnsi="Times New Roman" w:cs="Times New Roman"/>
          <w:i/>
          <w:iCs/>
          <w:sz w:val="24"/>
          <w:szCs w:val="24"/>
        </w:rPr>
        <w:t>Id</w:t>
      </w:r>
      <w:r w:rsidRPr="0066001B">
        <w:rPr>
          <w:rFonts w:ascii="Times New Roman" w:hAnsi="Times New Roman" w:cs="Times New Roman"/>
          <w:sz w:val="24"/>
          <w:szCs w:val="24"/>
        </w:rPr>
        <w:t>. at 906–08.</w:t>
      </w:r>
    </w:p>
    <w:p w14:paraId="35AFC5D4"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334513E8" w14:textId="77777777" w:rsidR="0066001B" w:rsidRPr="0066001B" w:rsidRDefault="0066001B" w:rsidP="0066001B">
      <w:pPr>
        <w:autoSpaceDE w:val="0"/>
        <w:autoSpaceDN w:val="0"/>
        <w:adjustRightInd w:val="0"/>
        <w:spacing w:after="0" w:line="240" w:lineRule="auto"/>
        <w:rPr>
          <w:rFonts w:ascii="Times New Roman" w:hAnsi="Times New Roman" w:cs="Times New Roman"/>
          <w:sz w:val="24"/>
          <w:szCs w:val="24"/>
        </w:rPr>
      </w:pPr>
    </w:p>
    <w:p w14:paraId="3F4DD472" w14:textId="2B133AB2" w:rsidR="00FE7F82" w:rsidRDefault="0066001B" w:rsidP="0066001B">
      <w:pPr>
        <w:jc w:val="right"/>
      </w:pPr>
      <w:r w:rsidRPr="0066001B">
        <w:rPr>
          <w:rFonts w:ascii="Times New Roman" w:hAnsi="Times New Roman" w:cs="Times New Roman"/>
          <w:i/>
          <w:iCs/>
          <w:sz w:val="24"/>
          <w:szCs w:val="24"/>
        </w:rPr>
        <w:t>Revised</w:t>
      </w:r>
      <w:r>
        <w:rPr>
          <w:rFonts w:ascii="Times New Roman" w:hAnsi="Times New Roman" w:cs="Times New Roman"/>
          <w:i/>
          <w:iCs/>
          <w:sz w:val="24"/>
          <w:szCs w:val="24"/>
        </w:rPr>
        <w:t xml:space="preserve"> Sept.</w:t>
      </w:r>
      <w:r w:rsidRPr="0066001B">
        <w:rPr>
          <w:rFonts w:ascii="Times New Roman" w:hAnsi="Times New Roman" w:cs="Times New Roman"/>
          <w:i/>
          <w:iCs/>
          <w:sz w:val="24"/>
          <w:szCs w:val="24"/>
        </w:rPr>
        <w:t xml:space="preserve"> 2021</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1B"/>
    <w:rsid w:val="0066001B"/>
    <w:rsid w:val="00887257"/>
    <w:rsid w:val="00BD3B4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D65"/>
  <w15:chartTrackingRefBased/>
  <w15:docId w15:val="{DADE6D6F-995D-4B36-837F-A7273003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1606</Words>
  <Characters>8547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2021-10-19T21:53:00Z</dcterms:created>
  <dcterms:modified xsi:type="dcterms:W3CDTF">2021-10-29T23:33:00Z</dcterms:modified>
</cp:coreProperties>
</file>