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737ECBB3"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35787178" w14:textId="77777777" w:rsidR="007476B8" w:rsidRDefault="006A4CD7" w:rsidP="0060759C">
      <w:pPr>
        <w:autoSpaceDE w:val="0"/>
        <w:autoSpaceDN w:val="0"/>
        <w:adjustRightInd w:val="0"/>
        <w:jc w:val="center"/>
        <w:rPr>
          <w:rFonts w:cs="Times New Roman"/>
          <w:i/>
          <w:iCs/>
          <w:sz w:val="32"/>
          <w:szCs w:val="32"/>
        </w:rPr>
        <w:sectPr w:rsidR="007476B8" w:rsidSect="007476B8">
          <w:footerReference w:type="default" r:id="rId8"/>
          <w:type w:val="continuous"/>
          <w:pgSz w:w="12240" w:h="15840"/>
          <w:pgMar w:top="1350" w:right="1530" w:bottom="1170" w:left="1440" w:header="1440" w:footer="1170" w:gutter="0"/>
          <w:cols w:space="720"/>
          <w:titlePg/>
          <w:docGrid w:linePitch="326"/>
        </w:sectPr>
      </w:pPr>
      <w:r w:rsidRPr="006A4CD7">
        <w:rPr>
          <w:rFonts w:cs="Times New Roman"/>
          <w:i/>
          <w:iCs/>
          <w:sz w:val="32"/>
          <w:szCs w:val="32"/>
        </w:rPr>
        <w:t xml:space="preserve">Last Updated </w:t>
      </w:r>
      <w:r w:rsidR="007C2CBF">
        <w:rPr>
          <w:rFonts w:cs="Times New Roman"/>
          <w:i/>
          <w:iCs/>
          <w:sz w:val="32"/>
          <w:szCs w:val="32"/>
        </w:rPr>
        <w:t>September</w:t>
      </w:r>
      <w:r w:rsidR="00A97643">
        <w:rPr>
          <w:rFonts w:cs="Times New Roman"/>
          <w:i/>
          <w:iCs/>
          <w:sz w:val="32"/>
          <w:szCs w:val="32"/>
        </w:rPr>
        <w:t xml:space="preserve"> 2022</w:t>
      </w:r>
    </w:p>
    <w:p w14:paraId="1D0564FE" w14:textId="34946AB1" w:rsidR="006A4CD7" w:rsidRPr="006A4CD7" w:rsidRDefault="006A4CD7" w:rsidP="00033B9C">
      <w:pPr>
        <w:pStyle w:val="Style1"/>
      </w:pPr>
      <w:r w:rsidRPr="006A4CD7">
        <w:lastRenderedPageBreak/>
        <w:t>NINTH CIRCUIT</w:t>
      </w:r>
    </w:p>
    <w:p w14:paraId="730012E0" w14:textId="77777777" w:rsidR="006A4CD7" w:rsidRPr="006A4CD7" w:rsidRDefault="006A4CD7" w:rsidP="00033B9C">
      <w:pPr>
        <w:pStyle w:val="Style1"/>
      </w:pPr>
      <w:r w:rsidRPr="006A4CD7">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14A8B54B" w14:textId="20575E40" w:rsidR="001426C9" w:rsidRPr="001426C9" w:rsidRDefault="001426C9" w:rsidP="001426C9">
      <w:pPr>
        <w:autoSpaceDE w:val="0"/>
        <w:autoSpaceDN w:val="0"/>
        <w:adjustRightInd w:val="0"/>
        <w:jc w:val="center"/>
        <w:rPr>
          <w:rFonts w:cs="Times New Roman"/>
          <w:szCs w:val="24"/>
        </w:rPr>
      </w:pPr>
      <w:r w:rsidRPr="001426C9">
        <w:rPr>
          <w:rFonts w:cs="Times New Roman"/>
          <w:szCs w:val="24"/>
          <w:lang w:val="en-CA"/>
        </w:rPr>
        <w:fldChar w:fldCharType="begin"/>
      </w:r>
      <w:r w:rsidRPr="001426C9">
        <w:rPr>
          <w:rFonts w:cs="Times New Roman"/>
          <w:szCs w:val="24"/>
          <w:lang w:val="en-CA"/>
        </w:rPr>
        <w:instrText xml:space="preserve"> SEQ CHAPTER \h \r 1</w:instrText>
      </w:r>
      <w:r w:rsidRPr="001426C9">
        <w:rPr>
          <w:rFonts w:cs="Times New Roman"/>
          <w:szCs w:val="24"/>
          <w:lang w:val="en-CA"/>
        </w:rPr>
        <w:fldChar w:fldCharType="end"/>
      </w:r>
      <w:r w:rsidRPr="001426C9">
        <w:rPr>
          <w:rFonts w:cs="Times New Roman"/>
          <w:szCs w:val="24"/>
        </w:rPr>
        <w:t>District Judge Michael H. Simon, Chair</w:t>
      </w:r>
    </w:p>
    <w:p w14:paraId="273FC953"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Circuit Judge Bridget S. Bade</w:t>
      </w:r>
    </w:p>
    <w:p w14:paraId="551B4F24"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André Birotte, Jr.</w:t>
      </w:r>
    </w:p>
    <w:p w14:paraId="13B7F7B1"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Magistrate Judge Carolyn K. Delaney</w:t>
      </w:r>
    </w:p>
    <w:p w14:paraId="13A5EC16"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Sharon L. Gleason</w:t>
      </w:r>
    </w:p>
    <w:p w14:paraId="5F5ED6F7" w14:textId="7B5425BB" w:rsidR="001426C9" w:rsidRDefault="001426C9" w:rsidP="001426C9">
      <w:pPr>
        <w:autoSpaceDE w:val="0"/>
        <w:autoSpaceDN w:val="0"/>
        <w:adjustRightInd w:val="0"/>
        <w:jc w:val="center"/>
        <w:rPr>
          <w:rFonts w:cs="Times New Roman"/>
          <w:szCs w:val="24"/>
        </w:rPr>
      </w:pPr>
      <w:r w:rsidRPr="001426C9">
        <w:rPr>
          <w:rFonts w:cs="Times New Roman"/>
          <w:szCs w:val="24"/>
        </w:rPr>
        <w:t>Senior District Judge Marilyn L. Huff</w:t>
      </w:r>
    </w:p>
    <w:p w14:paraId="66386932" w14:textId="391DC8A2" w:rsidR="00F133FB" w:rsidRPr="001426C9" w:rsidRDefault="00F133FB" w:rsidP="001426C9">
      <w:pPr>
        <w:autoSpaceDE w:val="0"/>
        <w:autoSpaceDN w:val="0"/>
        <w:adjustRightInd w:val="0"/>
        <w:jc w:val="center"/>
        <w:rPr>
          <w:rFonts w:cs="Times New Roman"/>
          <w:szCs w:val="24"/>
        </w:rPr>
      </w:pPr>
      <w:r>
        <w:rPr>
          <w:rFonts w:cs="Times New Roman"/>
          <w:szCs w:val="24"/>
        </w:rPr>
        <w:t>Circuit Judge Sandra S. Ikuta</w:t>
      </w:r>
    </w:p>
    <w:p w14:paraId="5469ACCD"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Leslie E. Kobayashi</w:t>
      </w:r>
    </w:p>
    <w:p w14:paraId="751723F7"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Rosemary M</w:t>
      </w:r>
      <w:r w:rsidRPr="001426C9">
        <w:rPr>
          <w:rFonts w:cs="Times New Roman"/>
          <w:sz w:val="28"/>
          <w:szCs w:val="28"/>
        </w:rPr>
        <w:t>á</w:t>
      </w:r>
      <w:r w:rsidRPr="001426C9">
        <w:rPr>
          <w:rFonts w:cs="Times New Roman"/>
          <w:szCs w:val="24"/>
        </w:rPr>
        <w:t>rquez</w:t>
      </w:r>
    </w:p>
    <w:p w14:paraId="1D31C36D" w14:textId="64B865D0" w:rsidR="006A4CD7" w:rsidRDefault="006A4CD7" w:rsidP="001426C9">
      <w:pPr>
        <w:autoSpaceDE w:val="0"/>
        <w:autoSpaceDN w:val="0"/>
        <w:adjustRightInd w:val="0"/>
        <w:jc w:val="center"/>
        <w:rPr>
          <w:rFonts w:cs="Times New Roman"/>
          <w:szCs w:val="24"/>
        </w:rPr>
      </w:pP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Reporter</w:t>
      </w:r>
      <w:r w:rsidRPr="006A4CD7">
        <w:rPr>
          <w:rFonts w:cs="Times New Roman"/>
          <w:szCs w:val="24"/>
          <w:u w:val="single"/>
        </w:rPr>
        <w:t>:</w:t>
      </w:r>
    </w:p>
    <w:p w14:paraId="7938C97B" w14:textId="77777777" w:rsidR="006A4CD7" w:rsidRPr="006A4CD7" w:rsidRDefault="006A4CD7" w:rsidP="0060759C">
      <w:pPr>
        <w:autoSpaceDE w:val="0"/>
        <w:autoSpaceDN w:val="0"/>
        <w:adjustRightInd w:val="0"/>
        <w:jc w:val="center"/>
        <w:rPr>
          <w:rFonts w:cs="Times New Roman"/>
          <w:szCs w:val="24"/>
          <w:u w:val="single"/>
        </w:rPr>
      </w:pPr>
    </w:p>
    <w:p w14:paraId="12965A30" w14:textId="594DF79D" w:rsidR="007476B8" w:rsidRDefault="006A4CD7" w:rsidP="0060759C">
      <w:pPr>
        <w:autoSpaceDE w:val="0"/>
        <w:autoSpaceDN w:val="0"/>
        <w:adjustRightInd w:val="0"/>
        <w:jc w:val="center"/>
        <w:rPr>
          <w:rFonts w:cs="Times New Roman"/>
          <w:szCs w:val="24"/>
        </w:rPr>
      </w:pPr>
      <w:r w:rsidRPr="006A4CD7">
        <w:rPr>
          <w:rFonts w:cs="Times New Roman"/>
          <w:szCs w:val="24"/>
        </w:rPr>
        <w:t>Debra Landis, Esq.</w:t>
      </w:r>
      <w:r w:rsidR="007476B8">
        <w:rPr>
          <w:rFonts w:cs="Times New Roman"/>
          <w:szCs w:val="24"/>
        </w:rPr>
        <w:br w:type="page"/>
      </w:r>
    </w:p>
    <w:p w14:paraId="2689409C" w14:textId="77777777" w:rsidR="006A4CD7" w:rsidRPr="006A4CD7" w:rsidRDefault="006A4CD7" w:rsidP="0060759C">
      <w:pPr>
        <w:autoSpaceDE w:val="0"/>
        <w:autoSpaceDN w:val="0"/>
        <w:adjustRightInd w:val="0"/>
        <w:rPr>
          <w:rFonts w:cs="Times New Roman"/>
          <w:szCs w:val="24"/>
        </w:rPr>
      </w:pPr>
    </w:p>
    <w:p w14:paraId="7A80617B" w14:textId="68A5D5B1" w:rsidR="006A4CD7" w:rsidRPr="00033B9C" w:rsidRDefault="006A4CD7" w:rsidP="00033B9C">
      <w:pPr>
        <w:jc w:val="center"/>
        <w:rPr>
          <w:b/>
          <w:bCs/>
        </w:rPr>
      </w:pPr>
      <w:bookmarkStart w:id="0" w:name="_Toc58245187"/>
      <w:bookmarkStart w:id="1" w:name="_Toc58475381"/>
      <w:bookmarkStart w:id="2" w:name="_Toc65157189"/>
      <w:bookmarkStart w:id="3" w:name="_Toc102734857"/>
      <w:bookmarkStart w:id="4" w:name="_Toc103098047"/>
      <w:r w:rsidRPr="00033B9C">
        <w:rPr>
          <w:b/>
          <w:bCs/>
        </w:rPr>
        <w:t>INTRODUCTION TO 2017 PRINT EDITION</w:t>
      </w:r>
      <w:bookmarkEnd w:id="0"/>
      <w:bookmarkEnd w:id="1"/>
      <w:bookmarkEnd w:id="2"/>
      <w:bookmarkEnd w:id="3"/>
      <w:bookmarkEnd w:id="4"/>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additions and deletions.  After careful assessment and research, the Committee updates and revises instructions from time to time as necessary.  Revisions are available online at the following website:  </w:t>
      </w:r>
      <w:hyperlink r:id="rId9"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10"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edition incorporates new and modified instructions.  However, the print publication of the Manual necessarily presents only a snap-shot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4A0095B7" w:rsidR="006A4CD7" w:rsidRPr="006A4CD7" w:rsidRDefault="006A4CD7" w:rsidP="005663FC">
      <w:pPr>
        <w:tabs>
          <w:tab w:val="left" w:pos="900"/>
          <w:tab w:val="left" w:pos="1620"/>
        </w:tabs>
        <w:autoSpaceDE w:val="0"/>
        <w:autoSpaceDN w:val="0"/>
        <w:adjustRightInd w:val="0"/>
        <w:rPr>
          <w:rFonts w:cs="Times New Roman"/>
          <w:szCs w:val="24"/>
        </w:rPr>
      </w:pPr>
      <w:r w:rsidRPr="006A4CD7">
        <w:rPr>
          <w:rFonts w:cs="Times New Roman"/>
          <w:szCs w:val="24"/>
        </w:rPr>
        <w:tab/>
        <w:t xml:space="preserve">The Committee thanks the various members of the federal bench, bar and legal academy, who reviewed and commented on various parts of the book.  The Committee also thanks Debra Landis, Esq., for her invaluable diligence, </w:t>
      </w:r>
      <w:r w:rsidR="00AA1CF0" w:rsidRPr="006A4CD7">
        <w:rPr>
          <w:rFonts w:cs="Times New Roman"/>
          <w:szCs w:val="24"/>
        </w:rPr>
        <w:t>grace,</w:t>
      </w:r>
      <w:r w:rsidRPr="006A4CD7">
        <w:rPr>
          <w:rFonts w:cs="Times New Roman"/>
          <w:szCs w:val="24"/>
        </w:rPr>
        <w:t xml:space="preserve"> and expertise, some of which she provided on a voluntary basis.  In addition, the Committee acknowledges with gratitude the contributions of Joseph </w:t>
      </w:r>
      <w:proofErr w:type="spellStart"/>
      <w:r w:rsidRPr="006A4CD7">
        <w:rPr>
          <w:rFonts w:cs="Times New Roman"/>
          <w:szCs w:val="24"/>
        </w:rPr>
        <w:t>Franaszek</w:t>
      </w:r>
      <w:proofErr w:type="spellEnd"/>
      <w:r w:rsidRPr="006A4CD7">
        <w:rPr>
          <w:rFonts w:cs="Times New Roman"/>
          <w:szCs w:val="24"/>
        </w:rPr>
        <w:t xml:space="preserve">, Esq.  For many years, Mr. </w:t>
      </w:r>
      <w:proofErr w:type="spellStart"/>
      <w:r w:rsidRPr="006A4CD7">
        <w:rPr>
          <w:rFonts w:cs="Times New Roman"/>
          <w:szCs w:val="24"/>
        </w:rPr>
        <w:t>Franaszek</w:t>
      </w:r>
      <w:proofErr w:type="spellEnd"/>
      <w:r w:rsidRPr="006A4CD7">
        <w:rPr>
          <w:rFonts w:cs="Times New Roman"/>
          <w:szCs w:val="24"/>
        </w:rPr>
        <w:t xml:space="preserve">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C7AFB"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C7AFB">
        <w:rPr>
          <w:rFonts w:cs="Times New Roman"/>
          <w:b/>
          <w:bCs/>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7395BC1A" w14:textId="77777777" w:rsidR="007476B8" w:rsidRDefault="007476B8" w:rsidP="0060759C">
      <w:pPr>
        <w:sectPr w:rsidR="007476B8" w:rsidSect="007476B8">
          <w:footerReference w:type="default" r:id="rId11"/>
          <w:pgSz w:w="12240" w:h="15840"/>
          <w:pgMar w:top="1350" w:right="1530" w:bottom="1170" w:left="1440" w:header="1440" w:footer="1170" w:gutter="0"/>
          <w:pgNumType w:fmt="lowerRoman" w:start="1"/>
          <w:cols w:space="720"/>
        </w:sectPr>
      </w:pPr>
    </w:p>
    <w:p w14:paraId="01465631" w14:textId="6274A05B" w:rsidR="006A4CD7" w:rsidRPr="00D1021C" w:rsidRDefault="006A4CD7" w:rsidP="0060759C">
      <w:pPr>
        <w:autoSpaceDE w:val="0"/>
        <w:autoSpaceDN w:val="0"/>
        <w:adjustRightInd w:val="0"/>
        <w:jc w:val="center"/>
        <w:rPr>
          <w:rFonts w:cs="Times New Roman"/>
          <w:b/>
          <w:bCs/>
          <w:sz w:val="28"/>
          <w:szCs w:val="28"/>
        </w:rPr>
      </w:pPr>
      <w:r w:rsidRPr="006A4CD7">
        <w:rPr>
          <w:rFonts w:cs="Times New Roman"/>
          <w:b/>
          <w:bCs/>
          <w:sz w:val="32"/>
          <w:szCs w:val="32"/>
        </w:rPr>
        <w:lastRenderedPageBreak/>
        <w:t>TABLE OF CONTENTS</w:t>
      </w:r>
      <w:r w:rsidR="00D1021C">
        <w:rPr>
          <w:rFonts w:cs="Times New Roman"/>
          <w:b/>
          <w:bCs/>
          <w:sz w:val="32"/>
          <w:szCs w:val="32"/>
        </w:rPr>
        <w:br/>
      </w:r>
      <w:r w:rsidR="00D1021C" w:rsidRPr="00D1021C">
        <w:rPr>
          <w:rFonts w:cs="Times New Roman"/>
          <w:b/>
          <w:bCs/>
          <w:sz w:val="28"/>
          <w:szCs w:val="28"/>
        </w:rPr>
        <w:t>CIVIL INSTRUCTIONS</w:t>
      </w:r>
    </w:p>
    <w:sdt>
      <w:sdtPr>
        <w:rPr>
          <w:rFonts w:ascii="Times New Roman" w:eastAsiaTheme="minorHAnsi" w:hAnsi="Times New Roman" w:cstheme="minorBidi"/>
          <w:color w:val="auto"/>
          <w:sz w:val="24"/>
          <w:szCs w:val="22"/>
        </w:rPr>
        <w:id w:val="980343171"/>
        <w:docPartObj>
          <w:docPartGallery w:val="Table of Contents"/>
          <w:docPartUnique/>
        </w:docPartObj>
      </w:sdtPr>
      <w:sdtEndPr>
        <w:rPr>
          <w:noProof/>
        </w:rPr>
      </w:sdtEndPr>
      <w:sdtContent>
        <w:p w14:paraId="2AE2DFB9" w14:textId="77777777" w:rsidR="008F5159" w:rsidRPr="009656C8" w:rsidRDefault="008F5159" w:rsidP="00BC4302">
          <w:pPr>
            <w:pStyle w:val="TOCHeading"/>
            <w:spacing w:before="40" w:afterLines="40" w:after="96"/>
            <w:rPr>
              <w:rFonts w:cs="Times New Roman"/>
              <w:szCs w:val="24"/>
            </w:rPr>
          </w:pPr>
        </w:p>
        <w:p w14:paraId="5CAD90F3" w14:textId="77777777" w:rsidR="008F5159" w:rsidRDefault="008F5159" w:rsidP="00BC4302">
          <w:pPr>
            <w:pStyle w:val="TOC2"/>
            <w:spacing w:before="40" w:afterLines="40" w:after="96"/>
            <w:ind w:left="720" w:hanging="720"/>
            <w:rPr>
              <w:rFonts w:asciiTheme="minorHAnsi" w:eastAsiaTheme="minorEastAsia" w:hAnsiTheme="minorHAnsi"/>
              <w:noProof/>
              <w:sz w:val="22"/>
            </w:rPr>
          </w:pPr>
          <w:r>
            <w:rPr>
              <w:rFonts w:cs="Times New Roman"/>
              <w:szCs w:val="24"/>
            </w:rPr>
            <w:fldChar w:fldCharType="begin"/>
          </w:r>
          <w:r>
            <w:instrText xml:space="preserve"> TOC \o "1-3" \h \z \u </w:instrText>
          </w:r>
          <w:r>
            <w:rPr>
              <w:rFonts w:cs="Times New Roman"/>
              <w:szCs w:val="24"/>
            </w:rPr>
            <w:fldChar w:fldCharType="separate"/>
          </w:r>
          <w:hyperlink w:anchor="_Toc117512307" w:history="1">
            <w:r w:rsidRPr="00F86CA9">
              <w:rPr>
                <w:rStyle w:val="Hyperlink"/>
                <w:noProof/>
              </w:rPr>
              <w:t>1.  INSTRUCTIONS ON THE TRIAL PROCESS</w:t>
            </w:r>
            <w:r>
              <w:rPr>
                <w:noProof/>
                <w:webHidden/>
              </w:rPr>
              <w:tab/>
            </w:r>
            <w:r>
              <w:rPr>
                <w:noProof/>
                <w:webHidden/>
              </w:rPr>
              <w:fldChar w:fldCharType="begin"/>
            </w:r>
            <w:r>
              <w:rPr>
                <w:noProof/>
                <w:webHidden/>
              </w:rPr>
              <w:instrText xml:space="preserve"> PAGEREF _Toc117512307 \h </w:instrText>
            </w:r>
            <w:r>
              <w:rPr>
                <w:noProof/>
                <w:webHidden/>
              </w:rPr>
            </w:r>
            <w:r>
              <w:rPr>
                <w:noProof/>
                <w:webHidden/>
              </w:rPr>
              <w:fldChar w:fldCharType="separate"/>
            </w:r>
            <w:r>
              <w:rPr>
                <w:noProof/>
                <w:webHidden/>
              </w:rPr>
              <w:t>1</w:t>
            </w:r>
            <w:r>
              <w:rPr>
                <w:noProof/>
                <w:webHidden/>
              </w:rPr>
              <w:fldChar w:fldCharType="end"/>
            </w:r>
          </w:hyperlink>
          <w:r>
            <w:rPr>
              <w:rStyle w:val="Hyperlink"/>
              <w:noProof/>
            </w:rPr>
            <w:br/>
          </w:r>
          <w:hyperlink w:anchor="_Toc117512308" w:history="1">
            <w:r w:rsidRPr="00F86CA9">
              <w:rPr>
                <w:rStyle w:val="Hyperlink"/>
                <w:noProof/>
              </w:rPr>
              <w:t>Introductory Comment</w:t>
            </w:r>
            <w:r>
              <w:rPr>
                <w:noProof/>
                <w:webHidden/>
              </w:rPr>
              <w:tab/>
            </w:r>
            <w:r>
              <w:rPr>
                <w:noProof/>
                <w:webHidden/>
              </w:rPr>
              <w:fldChar w:fldCharType="begin"/>
            </w:r>
            <w:r>
              <w:rPr>
                <w:noProof/>
                <w:webHidden/>
              </w:rPr>
              <w:instrText xml:space="preserve"> PAGEREF _Toc117512308 \h </w:instrText>
            </w:r>
            <w:r>
              <w:rPr>
                <w:noProof/>
                <w:webHidden/>
              </w:rPr>
            </w:r>
            <w:r>
              <w:rPr>
                <w:noProof/>
                <w:webHidden/>
              </w:rPr>
              <w:fldChar w:fldCharType="separate"/>
            </w:r>
            <w:r>
              <w:rPr>
                <w:noProof/>
                <w:webHidden/>
              </w:rPr>
              <w:t>2</w:t>
            </w:r>
            <w:r>
              <w:rPr>
                <w:noProof/>
                <w:webHidden/>
              </w:rPr>
              <w:fldChar w:fldCharType="end"/>
            </w:r>
          </w:hyperlink>
        </w:p>
        <w:p w14:paraId="099EA4D4" w14:textId="77777777" w:rsidR="008F5159" w:rsidRDefault="00703520" w:rsidP="00BC4302">
          <w:pPr>
            <w:pStyle w:val="TOC2"/>
            <w:spacing w:before="40" w:afterLines="40" w:after="96"/>
            <w:rPr>
              <w:rFonts w:asciiTheme="minorHAnsi" w:eastAsiaTheme="minorEastAsia" w:hAnsiTheme="minorHAnsi"/>
              <w:noProof/>
              <w:sz w:val="22"/>
            </w:rPr>
          </w:pPr>
          <w:hyperlink w:anchor="_Toc117512309" w:history="1">
            <w:r w:rsidR="008F5159" w:rsidRPr="00F86CA9">
              <w:rPr>
                <w:rStyle w:val="Hyperlink"/>
                <w:noProof/>
              </w:rPr>
              <w:t>1.1 Cover Sheet</w:t>
            </w:r>
            <w:r w:rsidR="008F5159">
              <w:rPr>
                <w:noProof/>
                <w:webHidden/>
              </w:rPr>
              <w:tab/>
            </w:r>
            <w:r w:rsidR="008F5159">
              <w:rPr>
                <w:noProof/>
                <w:webHidden/>
              </w:rPr>
              <w:fldChar w:fldCharType="begin"/>
            </w:r>
            <w:r w:rsidR="008F5159">
              <w:rPr>
                <w:noProof/>
                <w:webHidden/>
              </w:rPr>
              <w:instrText xml:space="preserve"> PAGEREF _Toc117512309 \h </w:instrText>
            </w:r>
            <w:r w:rsidR="008F5159">
              <w:rPr>
                <w:noProof/>
                <w:webHidden/>
              </w:rPr>
            </w:r>
            <w:r w:rsidR="008F5159">
              <w:rPr>
                <w:noProof/>
                <w:webHidden/>
              </w:rPr>
              <w:fldChar w:fldCharType="separate"/>
            </w:r>
            <w:r w:rsidR="008F5159">
              <w:rPr>
                <w:noProof/>
                <w:webHidden/>
              </w:rPr>
              <w:t>3</w:t>
            </w:r>
            <w:r w:rsidR="008F5159">
              <w:rPr>
                <w:noProof/>
                <w:webHidden/>
              </w:rPr>
              <w:fldChar w:fldCharType="end"/>
            </w:r>
          </w:hyperlink>
        </w:p>
        <w:p w14:paraId="262617BC"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0" w:history="1">
            <w:r w:rsidR="008F5159" w:rsidRPr="00F86CA9">
              <w:rPr>
                <w:rStyle w:val="Hyperlink"/>
                <w:noProof/>
              </w:rPr>
              <w:t>1.2 Duty of Jury (Court Reads and Provides Written Set of Instructions at the Beginning of Trial)</w:t>
            </w:r>
            <w:r w:rsidR="008F5159">
              <w:rPr>
                <w:noProof/>
                <w:webHidden/>
              </w:rPr>
              <w:tab/>
            </w:r>
            <w:r w:rsidR="008F5159">
              <w:rPr>
                <w:noProof/>
                <w:webHidden/>
              </w:rPr>
              <w:fldChar w:fldCharType="begin"/>
            </w:r>
            <w:r w:rsidR="008F5159">
              <w:rPr>
                <w:noProof/>
                <w:webHidden/>
              </w:rPr>
              <w:instrText xml:space="preserve"> PAGEREF _Toc117512310 \h </w:instrText>
            </w:r>
            <w:r w:rsidR="008F5159">
              <w:rPr>
                <w:noProof/>
                <w:webHidden/>
              </w:rPr>
            </w:r>
            <w:r w:rsidR="008F5159">
              <w:rPr>
                <w:noProof/>
                <w:webHidden/>
              </w:rPr>
              <w:fldChar w:fldCharType="separate"/>
            </w:r>
            <w:r w:rsidR="008F5159">
              <w:rPr>
                <w:noProof/>
                <w:webHidden/>
              </w:rPr>
              <w:t>4</w:t>
            </w:r>
            <w:r w:rsidR="008F5159">
              <w:rPr>
                <w:noProof/>
                <w:webHidden/>
              </w:rPr>
              <w:fldChar w:fldCharType="end"/>
            </w:r>
          </w:hyperlink>
        </w:p>
        <w:p w14:paraId="1E693C0C"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1" w:history="1">
            <w:r w:rsidR="008F5159" w:rsidRPr="00F86CA9">
              <w:rPr>
                <w:rStyle w:val="Hyperlink"/>
                <w:noProof/>
              </w:rPr>
              <w:t>1.3 Duty of Jury (Court Reads Instructions at the Beginning of Trial but Does Not Provide Written Copies)</w:t>
            </w:r>
            <w:r w:rsidR="008F5159">
              <w:rPr>
                <w:noProof/>
                <w:webHidden/>
              </w:rPr>
              <w:tab/>
            </w:r>
            <w:r w:rsidR="008F5159">
              <w:rPr>
                <w:noProof/>
                <w:webHidden/>
              </w:rPr>
              <w:fldChar w:fldCharType="begin"/>
            </w:r>
            <w:r w:rsidR="008F5159">
              <w:rPr>
                <w:noProof/>
                <w:webHidden/>
              </w:rPr>
              <w:instrText xml:space="preserve"> PAGEREF _Toc117512311 \h </w:instrText>
            </w:r>
            <w:r w:rsidR="008F5159">
              <w:rPr>
                <w:noProof/>
                <w:webHidden/>
              </w:rPr>
            </w:r>
            <w:r w:rsidR="008F5159">
              <w:rPr>
                <w:noProof/>
                <w:webHidden/>
              </w:rPr>
              <w:fldChar w:fldCharType="separate"/>
            </w:r>
            <w:r w:rsidR="008F5159">
              <w:rPr>
                <w:noProof/>
                <w:webHidden/>
              </w:rPr>
              <w:t>5</w:t>
            </w:r>
            <w:r w:rsidR="008F5159">
              <w:rPr>
                <w:noProof/>
                <w:webHidden/>
              </w:rPr>
              <w:fldChar w:fldCharType="end"/>
            </w:r>
          </w:hyperlink>
        </w:p>
        <w:p w14:paraId="46316D67"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2" w:history="1">
            <w:r w:rsidR="008F5159" w:rsidRPr="00F86CA9">
              <w:rPr>
                <w:rStyle w:val="Hyperlink"/>
                <w:noProof/>
              </w:rPr>
              <w:t>1.4 Duty of Jury (Court Reads and Provides Written Instructions at End of Case)</w:t>
            </w:r>
            <w:r w:rsidR="008F5159">
              <w:rPr>
                <w:noProof/>
                <w:webHidden/>
              </w:rPr>
              <w:tab/>
            </w:r>
            <w:r w:rsidR="008F5159">
              <w:rPr>
                <w:noProof/>
                <w:webHidden/>
              </w:rPr>
              <w:fldChar w:fldCharType="begin"/>
            </w:r>
            <w:r w:rsidR="008F5159">
              <w:rPr>
                <w:noProof/>
                <w:webHidden/>
              </w:rPr>
              <w:instrText xml:space="preserve"> PAGEREF _Toc117512312 \h </w:instrText>
            </w:r>
            <w:r w:rsidR="008F5159">
              <w:rPr>
                <w:noProof/>
                <w:webHidden/>
              </w:rPr>
            </w:r>
            <w:r w:rsidR="008F5159">
              <w:rPr>
                <w:noProof/>
                <w:webHidden/>
              </w:rPr>
              <w:fldChar w:fldCharType="separate"/>
            </w:r>
            <w:r w:rsidR="008F5159">
              <w:rPr>
                <w:noProof/>
                <w:webHidden/>
              </w:rPr>
              <w:t>6</w:t>
            </w:r>
            <w:r w:rsidR="008F5159">
              <w:rPr>
                <w:noProof/>
                <w:webHidden/>
              </w:rPr>
              <w:fldChar w:fldCharType="end"/>
            </w:r>
          </w:hyperlink>
        </w:p>
        <w:p w14:paraId="713EE879"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3" w:history="1">
            <w:r w:rsidR="008F5159" w:rsidRPr="00F86CA9">
              <w:rPr>
                <w:rStyle w:val="Hyperlink"/>
                <w:noProof/>
              </w:rPr>
              <w:t>1.5 Claims and Defenses</w:t>
            </w:r>
            <w:r w:rsidR="008F5159">
              <w:rPr>
                <w:noProof/>
                <w:webHidden/>
              </w:rPr>
              <w:tab/>
            </w:r>
            <w:r w:rsidR="008F5159">
              <w:rPr>
                <w:noProof/>
                <w:webHidden/>
              </w:rPr>
              <w:fldChar w:fldCharType="begin"/>
            </w:r>
            <w:r w:rsidR="008F5159">
              <w:rPr>
                <w:noProof/>
                <w:webHidden/>
              </w:rPr>
              <w:instrText xml:space="preserve"> PAGEREF _Toc117512313 \h </w:instrText>
            </w:r>
            <w:r w:rsidR="008F5159">
              <w:rPr>
                <w:noProof/>
                <w:webHidden/>
              </w:rPr>
            </w:r>
            <w:r w:rsidR="008F5159">
              <w:rPr>
                <w:noProof/>
                <w:webHidden/>
              </w:rPr>
              <w:fldChar w:fldCharType="separate"/>
            </w:r>
            <w:r w:rsidR="008F5159">
              <w:rPr>
                <w:noProof/>
                <w:webHidden/>
              </w:rPr>
              <w:t>7</w:t>
            </w:r>
            <w:r w:rsidR="008F5159">
              <w:rPr>
                <w:noProof/>
                <w:webHidden/>
              </w:rPr>
              <w:fldChar w:fldCharType="end"/>
            </w:r>
          </w:hyperlink>
        </w:p>
        <w:p w14:paraId="156964EB"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4" w:history="1">
            <w:r w:rsidR="008F5159" w:rsidRPr="00F86CA9">
              <w:rPr>
                <w:rStyle w:val="Hyperlink"/>
                <w:noProof/>
              </w:rPr>
              <w:t>1.6 Burden of Proof—Preponderance of the Evidence</w:t>
            </w:r>
            <w:r w:rsidR="008F5159">
              <w:rPr>
                <w:noProof/>
                <w:webHidden/>
              </w:rPr>
              <w:tab/>
            </w:r>
            <w:r w:rsidR="008F5159">
              <w:rPr>
                <w:noProof/>
                <w:webHidden/>
              </w:rPr>
              <w:fldChar w:fldCharType="begin"/>
            </w:r>
            <w:r w:rsidR="008F5159">
              <w:rPr>
                <w:noProof/>
                <w:webHidden/>
              </w:rPr>
              <w:instrText xml:space="preserve"> PAGEREF _Toc117512314 \h </w:instrText>
            </w:r>
            <w:r w:rsidR="008F5159">
              <w:rPr>
                <w:noProof/>
                <w:webHidden/>
              </w:rPr>
            </w:r>
            <w:r w:rsidR="008F5159">
              <w:rPr>
                <w:noProof/>
                <w:webHidden/>
              </w:rPr>
              <w:fldChar w:fldCharType="separate"/>
            </w:r>
            <w:r w:rsidR="008F5159">
              <w:rPr>
                <w:noProof/>
                <w:webHidden/>
              </w:rPr>
              <w:t>8</w:t>
            </w:r>
            <w:r w:rsidR="008F5159">
              <w:rPr>
                <w:noProof/>
                <w:webHidden/>
              </w:rPr>
              <w:fldChar w:fldCharType="end"/>
            </w:r>
          </w:hyperlink>
        </w:p>
        <w:p w14:paraId="075141B3"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5" w:history="1">
            <w:r w:rsidR="008F5159" w:rsidRPr="00F86CA9">
              <w:rPr>
                <w:rStyle w:val="Hyperlink"/>
                <w:noProof/>
              </w:rPr>
              <w:t>1.7 Burden of Proof— Clear and Convincing Evidence</w:t>
            </w:r>
            <w:r w:rsidR="008F5159">
              <w:rPr>
                <w:noProof/>
                <w:webHidden/>
              </w:rPr>
              <w:tab/>
            </w:r>
            <w:r w:rsidR="008F5159">
              <w:rPr>
                <w:noProof/>
                <w:webHidden/>
              </w:rPr>
              <w:fldChar w:fldCharType="begin"/>
            </w:r>
            <w:r w:rsidR="008F5159">
              <w:rPr>
                <w:noProof/>
                <w:webHidden/>
              </w:rPr>
              <w:instrText xml:space="preserve"> PAGEREF _Toc117512315 \h </w:instrText>
            </w:r>
            <w:r w:rsidR="008F5159">
              <w:rPr>
                <w:noProof/>
                <w:webHidden/>
              </w:rPr>
            </w:r>
            <w:r w:rsidR="008F5159">
              <w:rPr>
                <w:noProof/>
                <w:webHidden/>
              </w:rPr>
              <w:fldChar w:fldCharType="separate"/>
            </w:r>
            <w:r w:rsidR="008F5159">
              <w:rPr>
                <w:noProof/>
                <w:webHidden/>
              </w:rPr>
              <w:t>9</w:t>
            </w:r>
            <w:r w:rsidR="008F5159">
              <w:rPr>
                <w:noProof/>
                <w:webHidden/>
              </w:rPr>
              <w:fldChar w:fldCharType="end"/>
            </w:r>
          </w:hyperlink>
        </w:p>
        <w:p w14:paraId="53521797"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6" w:history="1">
            <w:r w:rsidR="008F5159" w:rsidRPr="00F86CA9">
              <w:rPr>
                <w:rStyle w:val="Hyperlink"/>
                <w:noProof/>
              </w:rPr>
              <w:t>1.8 Two or More Parties—Different Legal Rights</w:t>
            </w:r>
            <w:r w:rsidR="008F5159">
              <w:rPr>
                <w:noProof/>
                <w:webHidden/>
              </w:rPr>
              <w:tab/>
            </w:r>
            <w:r w:rsidR="008F5159">
              <w:rPr>
                <w:noProof/>
                <w:webHidden/>
              </w:rPr>
              <w:fldChar w:fldCharType="begin"/>
            </w:r>
            <w:r w:rsidR="008F5159">
              <w:rPr>
                <w:noProof/>
                <w:webHidden/>
              </w:rPr>
              <w:instrText xml:space="preserve"> PAGEREF _Toc117512316 \h </w:instrText>
            </w:r>
            <w:r w:rsidR="008F5159">
              <w:rPr>
                <w:noProof/>
                <w:webHidden/>
              </w:rPr>
            </w:r>
            <w:r w:rsidR="008F5159">
              <w:rPr>
                <w:noProof/>
                <w:webHidden/>
              </w:rPr>
              <w:fldChar w:fldCharType="separate"/>
            </w:r>
            <w:r w:rsidR="008F5159">
              <w:rPr>
                <w:noProof/>
                <w:webHidden/>
              </w:rPr>
              <w:t>10</w:t>
            </w:r>
            <w:r w:rsidR="008F5159">
              <w:rPr>
                <w:noProof/>
                <w:webHidden/>
              </w:rPr>
              <w:fldChar w:fldCharType="end"/>
            </w:r>
          </w:hyperlink>
        </w:p>
        <w:p w14:paraId="0F5FD21A"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7" w:history="1">
            <w:r w:rsidR="008F5159" w:rsidRPr="00F86CA9">
              <w:rPr>
                <w:rStyle w:val="Hyperlink"/>
                <w:noProof/>
              </w:rPr>
              <w:t>1.9 What is Evidence</w:t>
            </w:r>
            <w:r w:rsidR="008F5159">
              <w:rPr>
                <w:noProof/>
                <w:webHidden/>
              </w:rPr>
              <w:tab/>
            </w:r>
            <w:r w:rsidR="008F5159">
              <w:rPr>
                <w:noProof/>
                <w:webHidden/>
              </w:rPr>
              <w:fldChar w:fldCharType="begin"/>
            </w:r>
            <w:r w:rsidR="008F5159">
              <w:rPr>
                <w:noProof/>
                <w:webHidden/>
              </w:rPr>
              <w:instrText xml:space="preserve"> PAGEREF _Toc117512317 \h </w:instrText>
            </w:r>
            <w:r w:rsidR="008F5159">
              <w:rPr>
                <w:noProof/>
                <w:webHidden/>
              </w:rPr>
            </w:r>
            <w:r w:rsidR="008F5159">
              <w:rPr>
                <w:noProof/>
                <w:webHidden/>
              </w:rPr>
              <w:fldChar w:fldCharType="separate"/>
            </w:r>
            <w:r w:rsidR="008F5159">
              <w:rPr>
                <w:noProof/>
                <w:webHidden/>
              </w:rPr>
              <w:t>11</w:t>
            </w:r>
            <w:r w:rsidR="008F5159">
              <w:rPr>
                <w:noProof/>
                <w:webHidden/>
              </w:rPr>
              <w:fldChar w:fldCharType="end"/>
            </w:r>
          </w:hyperlink>
        </w:p>
        <w:p w14:paraId="6A0BE58B"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8" w:history="1">
            <w:r w:rsidR="008F5159" w:rsidRPr="00F86CA9">
              <w:rPr>
                <w:rStyle w:val="Hyperlink"/>
                <w:noProof/>
              </w:rPr>
              <w:t>1.10 What is Not Evidence</w:t>
            </w:r>
            <w:r w:rsidR="008F5159">
              <w:rPr>
                <w:noProof/>
                <w:webHidden/>
              </w:rPr>
              <w:tab/>
            </w:r>
            <w:r w:rsidR="008F5159">
              <w:rPr>
                <w:noProof/>
                <w:webHidden/>
              </w:rPr>
              <w:fldChar w:fldCharType="begin"/>
            </w:r>
            <w:r w:rsidR="008F5159">
              <w:rPr>
                <w:noProof/>
                <w:webHidden/>
              </w:rPr>
              <w:instrText xml:space="preserve"> PAGEREF _Toc117512318 \h </w:instrText>
            </w:r>
            <w:r w:rsidR="008F5159">
              <w:rPr>
                <w:noProof/>
                <w:webHidden/>
              </w:rPr>
            </w:r>
            <w:r w:rsidR="008F5159">
              <w:rPr>
                <w:noProof/>
                <w:webHidden/>
              </w:rPr>
              <w:fldChar w:fldCharType="separate"/>
            </w:r>
            <w:r w:rsidR="008F5159">
              <w:rPr>
                <w:noProof/>
                <w:webHidden/>
              </w:rPr>
              <w:t>12</w:t>
            </w:r>
            <w:r w:rsidR="008F5159">
              <w:rPr>
                <w:noProof/>
                <w:webHidden/>
              </w:rPr>
              <w:fldChar w:fldCharType="end"/>
            </w:r>
          </w:hyperlink>
        </w:p>
        <w:p w14:paraId="6571E4E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19" w:history="1">
            <w:r w:rsidR="008F5159" w:rsidRPr="00F86CA9">
              <w:rPr>
                <w:rStyle w:val="Hyperlink"/>
                <w:noProof/>
              </w:rPr>
              <w:t>1.11 Evidence for Limited Purpose</w:t>
            </w:r>
            <w:r w:rsidR="008F5159">
              <w:rPr>
                <w:noProof/>
                <w:webHidden/>
              </w:rPr>
              <w:tab/>
            </w:r>
            <w:r w:rsidR="008F5159">
              <w:rPr>
                <w:noProof/>
                <w:webHidden/>
              </w:rPr>
              <w:fldChar w:fldCharType="begin"/>
            </w:r>
            <w:r w:rsidR="008F5159">
              <w:rPr>
                <w:noProof/>
                <w:webHidden/>
              </w:rPr>
              <w:instrText xml:space="preserve"> PAGEREF _Toc117512319 \h </w:instrText>
            </w:r>
            <w:r w:rsidR="008F5159">
              <w:rPr>
                <w:noProof/>
                <w:webHidden/>
              </w:rPr>
            </w:r>
            <w:r w:rsidR="008F5159">
              <w:rPr>
                <w:noProof/>
                <w:webHidden/>
              </w:rPr>
              <w:fldChar w:fldCharType="separate"/>
            </w:r>
            <w:r w:rsidR="008F5159">
              <w:rPr>
                <w:noProof/>
                <w:webHidden/>
              </w:rPr>
              <w:t>13</w:t>
            </w:r>
            <w:r w:rsidR="008F5159">
              <w:rPr>
                <w:noProof/>
                <w:webHidden/>
              </w:rPr>
              <w:fldChar w:fldCharType="end"/>
            </w:r>
          </w:hyperlink>
        </w:p>
        <w:p w14:paraId="5D666E58"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0" w:history="1">
            <w:r w:rsidR="008F5159" w:rsidRPr="00F86CA9">
              <w:rPr>
                <w:rStyle w:val="Hyperlink"/>
                <w:noProof/>
              </w:rPr>
              <w:t>1.12 Direct and Circumstantial Evidence</w:t>
            </w:r>
            <w:r w:rsidR="008F5159">
              <w:rPr>
                <w:noProof/>
                <w:webHidden/>
              </w:rPr>
              <w:tab/>
            </w:r>
            <w:r w:rsidR="008F5159">
              <w:rPr>
                <w:noProof/>
                <w:webHidden/>
              </w:rPr>
              <w:fldChar w:fldCharType="begin"/>
            </w:r>
            <w:r w:rsidR="008F5159">
              <w:rPr>
                <w:noProof/>
                <w:webHidden/>
              </w:rPr>
              <w:instrText xml:space="preserve"> PAGEREF _Toc117512320 \h </w:instrText>
            </w:r>
            <w:r w:rsidR="008F5159">
              <w:rPr>
                <w:noProof/>
                <w:webHidden/>
              </w:rPr>
            </w:r>
            <w:r w:rsidR="008F5159">
              <w:rPr>
                <w:noProof/>
                <w:webHidden/>
              </w:rPr>
              <w:fldChar w:fldCharType="separate"/>
            </w:r>
            <w:r w:rsidR="008F5159">
              <w:rPr>
                <w:noProof/>
                <w:webHidden/>
              </w:rPr>
              <w:t>14</w:t>
            </w:r>
            <w:r w:rsidR="008F5159">
              <w:rPr>
                <w:noProof/>
                <w:webHidden/>
              </w:rPr>
              <w:fldChar w:fldCharType="end"/>
            </w:r>
          </w:hyperlink>
        </w:p>
        <w:p w14:paraId="3DA4014F"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1" w:history="1">
            <w:r w:rsidR="008F5159" w:rsidRPr="00F86CA9">
              <w:rPr>
                <w:rStyle w:val="Hyperlink"/>
                <w:noProof/>
              </w:rPr>
              <w:t>1.13 Ruling on Objections</w:t>
            </w:r>
            <w:r w:rsidR="008F5159">
              <w:rPr>
                <w:noProof/>
                <w:webHidden/>
              </w:rPr>
              <w:tab/>
            </w:r>
            <w:r w:rsidR="008F5159">
              <w:rPr>
                <w:noProof/>
                <w:webHidden/>
              </w:rPr>
              <w:fldChar w:fldCharType="begin"/>
            </w:r>
            <w:r w:rsidR="008F5159">
              <w:rPr>
                <w:noProof/>
                <w:webHidden/>
              </w:rPr>
              <w:instrText xml:space="preserve"> PAGEREF _Toc117512321 \h </w:instrText>
            </w:r>
            <w:r w:rsidR="008F5159">
              <w:rPr>
                <w:noProof/>
                <w:webHidden/>
              </w:rPr>
            </w:r>
            <w:r w:rsidR="008F5159">
              <w:rPr>
                <w:noProof/>
                <w:webHidden/>
              </w:rPr>
              <w:fldChar w:fldCharType="separate"/>
            </w:r>
            <w:r w:rsidR="008F5159">
              <w:rPr>
                <w:noProof/>
                <w:webHidden/>
              </w:rPr>
              <w:t>15</w:t>
            </w:r>
            <w:r w:rsidR="008F5159">
              <w:rPr>
                <w:noProof/>
                <w:webHidden/>
              </w:rPr>
              <w:fldChar w:fldCharType="end"/>
            </w:r>
          </w:hyperlink>
        </w:p>
        <w:p w14:paraId="57D2F749"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2" w:history="1">
            <w:r w:rsidR="008F5159" w:rsidRPr="00F86CA9">
              <w:rPr>
                <w:rStyle w:val="Hyperlink"/>
                <w:noProof/>
              </w:rPr>
              <w:t>1.14 Credibility of Witnesses</w:t>
            </w:r>
            <w:r w:rsidR="008F5159">
              <w:rPr>
                <w:noProof/>
                <w:webHidden/>
              </w:rPr>
              <w:tab/>
            </w:r>
            <w:r w:rsidR="008F5159">
              <w:rPr>
                <w:noProof/>
                <w:webHidden/>
              </w:rPr>
              <w:fldChar w:fldCharType="begin"/>
            </w:r>
            <w:r w:rsidR="008F5159">
              <w:rPr>
                <w:noProof/>
                <w:webHidden/>
              </w:rPr>
              <w:instrText xml:space="preserve"> PAGEREF _Toc117512322 \h </w:instrText>
            </w:r>
            <w:r w:rsidR="008F5159">
              <w:rPr>
                <w:noProof/>
                <w:webHidden/>
              </w:rPr>
            </w:r>
            <w:r w:rsidR="008F5159">
              <w:rPr>
                <w:noProof/>
                <w:webHidden/>
              </w:rPr>
              <w:fldChar w:fldCharType="separate"/>
            </w:r>
            <w:r w:rsidR="008F5159">
              <w:rPr>
                <w:noProof/>
                <w:webHidden/>
              </w:rPr>
              <w:t>16</w:t>
            </w:r>
            <w:r w:rsidR="008F5159">
              <w:rPr>
                <w:noProof/>
                <w:webHidden/>
              </w:rPr>
              <w:fldChar w:fldCharType="end"/>
            </w:r>
          </w:hyperlink>
        </w:p>
        <w:p w14:paraId="53657F37"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3" w:history="1">
            <w:r w:rsidR="008F5159" w:rsidRPr="00F86CA9">
              <w:rPr>
                <w:rStyle w:val="Hyperlink"/>
                <w:noProof/>
              </w:rPr>
              <w:t>1.15 Conduct of the Jury</w:t>
            </w:r>
            <w:r w:rsidR="008F5159">
              <w:rPr>
                <w:noProof/>
                <w:webHidden/>
              </w:rPr>
              <w:tab/>
            </w:r>
            <w:r w:rsidR="008F5159">
              <w:rPr>
                <w:noProof/>
                <w:webHidden/>
              </w:rPr>
              <w:fldChar w:fldCharType="begin"/>
            </w:r>
            <w:r w:rsidR="008F5159">
              <w:rPr>
                <w:noProof/>
                <w:webHidden/>
              </w:rPr>
              <w:instrText xml:space="preserve"> PAGEREF _Toc117512323 \h </w:instrText>
            </w:r>
            <w:r w:rsidR="008F5159">
              <w:rPr>
                <w:noProof/>
                <w:webHidden/>
              </w:rPr>
            </w:r>
            <w:r w:rsidR="008F5159">
              <w:rPr>
                <w:noProof/>
                <w:webHidden/>
              </w:rPr>
              <w:fldChar w:fldCharType="separate"/>
            </w:r>
            <w:r w:rsidR="008F5159">
              <w:rPr>
                <w:noProof/>
                <w:webHidden/>
              </w:rPr>
              <w:t>17</w:t>
            </w:r>
            <w:r w:rsidR="008F5159">
              <w:rPr>
                <w:noProof/>
                <w:webHidden/>
              </w:rPr>
              <w:fldChar w:fldCharType="end"/>
            </w:r>
          </w:hyperlink>
        </w:p>
        <w:p w14:paraId="77CE36B2"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4" w:history="1">
            <w:r w:rsidR="008F5159" w:rsidRPr="00F86CA9">
              <w:rPr>
                <w:rStyle w:val="Hyperlink"/>
                <w:noProof/>
              </w:rPr>
              <w:t>1.16 Publicity During Trial</w:t>
            </w:r>
            <w:r w:rsidR="008F5159">
              <w:rPr>
                <w:noProof/>
                <w:webHidden/>
              </w:rPr>
              <w:tab/>
            </w:r>
            <w:r w:rsidR="008F5159">
              <w:rPr>
                <w:noProof/>
                <w:webHidden/>
              </w:rPr>
              <w:fldChar w:fldCharType="begin"/>
            </w:r>
            <w:r w:rsidR="008F5159">
              <w:rPr>
                <w:noProof/>
                <w:webHidden/>
              </w:rPr>
              <w:instrText xml:space="preserve"> PAGEREF _Toc117512324 \h </w:instrText>
            </w:r>
            <w:r w:rsidR="008F5159">
              <w:rPr>
                <w:noProof/>
                <w:webHidden/>
              </w:rPr>
            </w:r>
            <w:r w:rsidR="008F5159">
              <w:rPr>
                <w:noProof/>
                <w:webHidden/>
              </w:rPr>
              <w:fldChar w:fldCharType="separate"/>
            </w:r>
            <w:r w:rsidR="008F5159">
              <w:rPr>
                <w:noProof/>
                <w:webHidden/>
              </w:rPr>
              <w:t>19</w:t>
            </w:r>
            <w:r w:rsidR="008F5159">
              <w:rPr>
                <w:noProof/>
                <w:webHidden/>
              </w:rPr>
              <w:fldChar w:fldCharType="end"/>
            </w:r>
          </w:hyperlink>
        </w:p>
        <w:p w14:paraId="3D154313"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5" w:history="1">
            <w:r w:rsidR="008F5159" w:rsidRPr="00F86CA9">
              <w:rPr>
                <w:rStyle w:val="Hyperlink"/>
                <w:noProof/>
              </w:rPr>
              <w:t>1.17 No Transcript Available to Jury</w:t>
            </w:r>
            <w:r w:rsidR="008F5159">
              <w:rPr>
                <w:noProof/>
                <w:webHidden/>
              </w:rPr>
              <w:tab/>
            </w:r>
            <w:r w:rsidR="008F5159">
              <w:rPr>
                <w:noProof/>
                <w:webHidden/>
              </w:rPr>
              <w:fldChar w:fldCharType="begin"/>
            </w:r>
            <w:r w:rsidR="008F5159">
              <w:rPr>
                <w:noProof/>
                <w:webHidden/>
              </w:rPr>
              <w:instrText xml:space="preserve"> PAGEREF _Toc117512325 \h </w:instrText>
            </w:r>
            <w:r w:rsidR="008F5159">
              <w:rPr>
                <w:noProof/>
                <w:webHidden/>
              </w:rPr>
            </w:r>
            <w:r w:rsidR="008F5159">
              <w:rPr>
                <w:noProof/>
                <w:webHidden/>
              </w:rPr>
              <w:fldChar w:fldCharType="separate"/>
            </w:r>
            <w:r w:rsidR="008F5159">
              <w:rPr>
                <w:noProof/>
                <w:webHidden/>
              </w:rPr>
              <w:t>20</w:t>
            </w:r>
            <w:r w:rsidR="008F5159">
              <w:rPr>
                <w:noProof/>
                <w:webHidden/>
              </w:rPr>
              <w:fldChar w:fldCharType="end"/>
            </w:r>
          </w:hyperlink>
        </w:p>
        <w:p w14:paraId="73BB05D8"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6" w:history="1">
            <w:r w:rsidR="008F5159" w:rsidRPr="00F86CA9">
              <w:rPr>
                <w:rStyle w:val="Hyperlink"/>
                <w:noProof/>
              </w:rPr>
              <w:t>1.18 Taking Notes</w:t>
            </w:r>
            <w:r w:rsidR="008F5159">
              <w:rPr>
                <w:noProof/>
                <w:webHidden/>
              </w:rPr>
              <w:tab/>
            </w:r>
            <w:r w:rsidR="008F5159">
              <w:rPr>
                <w:noProof/>
                <w:webHidden/>
              </w:rPr>
              <w:fldChar w:fldCharType="begin"/>
            </w:r>
            <w:r w:rsidR="008F5159">
              <w:rPr>
                <w:noProof/>
                <w:webHidden/>
              </w:rPr>
              <w:instrText xml:space="preserve"> PAGEREF _Toc117512326 \h </w:instrText>
            </w:r>
            <w:r w:rsidR="008F5159">
              <w:rPr>
                <w:noProof/>
                <w:webHidden/>
              </w:rPr>
            </w:r>
            <w:r w:rsidR="008F5159">
              <w:rPr>
                <w:noProof/>
                <w:webHidden/>
              </w:rPr>
              <w:fldChar w:fldCharType="separate"/>
            </w:r>
            <w:r w:rsidR="008F5159">
              <w:rPr>
                <w:noProof/>
                <w:webHidden/>
              </w:rPr>
              <w:t>21</w:t>
            </w:r>
            <w:r w:rsidR="008F5159">
              <w:rPr>
                <w:noProof/>
                <w:webHidden/>
              </w:rPr>
              <w:fldChar w:fldCharType="end"/>
            </w:r>
          </w:hyperlink>
        </w:p>
        <w:p w14:paraId="68DC166B"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7" w:history="1">
            <w:r w:rsidR="008F5159" w:rsidRPr="00F86CA9">
              <w:rPr>
                <w:rStyle w:val="Hyperlink"/>
                <w:noProof/>
              </w:rPr>
              <w:t>1.19 Questions to Witnesses by Jurors During Trial</w:t>
            </w:r>
            <w:r w:rsidR="008F5159">
              <w:rPr>
                <w:noProof/>
                <w:webHidden/>
              </w:rPr>
              <w:tab/>
            </w:r>
            <w:r w:rsidR="008F5159">
              <w:rPr>
                <w:noProof/>
                <w:webHidden/>
              </w:rPr>
              <w:fldChar w:fldCharType="begin"/>
            </w:r>
            <w:r w:rsidR="008F5159">
              <w:rPr>
                <w:noProof/>
                <w:webHidden/>
              </w:rPr>
              <w:instrText xml:space="preserve"> PAGEREF _Toc117512327 \h </w:instrText>
            </w:r>
            <w:r w:rsidR="008F5159">
              <w:rPr>
                <w:noProof/>
                <w:webHidden/>
              </w:rPr>
            </w:r>
            <w:r w:rsidR="008F5159">
              <w:rPr>
                <w:noProof/>
                <w:webHidden/>
              </w:rPr>
              <w:fldChar w:fldCharType="separate"/>
            </w:r>
            <w:r w:rsidR="008F5159">
              <w:rPr>
                <w:noProof/>
                <w:webHidden/>
              </w:rPr>
              <w:t>22</w:t>
            </w:r>
            <w:r w:rsidR="008F5159">
              <w:rPr>
                <w:noProof/>
                <w:webHidden/>
              </w:rPr>
              <w:fldChar w:fldCharType="end"/>
            </w:r>
          </w:hyperlink>
        </w:p>
        <w:p w14:paraId="5E54F6E3"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8" w:history="1">
            <w:r w:rsidR="008F5159" w:rsidRPr="00F86CA9">
              <w:rPr>
                <w:rStyle w:val="Hyperlink"/>
                <w:noProof/>
              </w:rPr>
              <w:t>1.20 Bench Conferences and Recesses</w:t>
            </w:r>
            <w:r w:rsidR="008F5159">
              <w:rPr>
                <w:noProof/>
                <w:webHidden/>
              </w:rPr>
              <w:tab/>
            </w:r>
            <w:r w:rsidR="008F5159">
              <w:rPr>
                <w:noProof/>
                <w:webHidden/>
              </w:rPr>
              <w:fldChar w:fldCharType="begin"/>
            </w:r>
            <w:r w:rsidR="008F5159">
              <w:rPr>
                <w:noProof/>
                <w:webHidden/>
              </w:rPr>
              <w:instrText xml:space="preserve"> PAGEREF _Toc117512328 \h </w:instrText>
            </w:r>
            <w:r w:rsidR="008F5159">
              <w:rPr>
                <w:noProof/>
                <w:webHidden/>
              </w:rPr>
            </w:r>
            <w:r w:rsidR="008F5159">
              <w:rPr>
                <w:noProof/>
                <w:webHidden/>
              </w:rPr>
              <w:fldChar w:fldCharType="separate"/>
            </w:r>
            <w:r w:rsidR="008F5159">
              <w:rPr>
                <w:noProof/>
                <w:webHidden/>
              </w:rPr>
              <w:t>23</w:t>
            </w:r>
            <w:r w:rsidR="008F5159">
              <w:rPr>
                <w:noProof/>
                <w:webHidden/>
              </w:rPr>
              <w:fldChar w:fldCharType="end"/>
            </w:r>
          </w:hyperlink>
        </w:p>
        <w:p w14:paraId="7C90518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29" w:history="1">
            <w:r w:rsidR="008F5159" w:rsidRPr="00F86CA9">
              <w:rPr>
                <w:rStyle w:val="Hyperlink"/>
                <w:noProof/>
              </w:rPr>
              <w:t>1.21 Outline of Trial</w:t>
            </w:r>
            <w:r w:rsidR="008F5159">
              <w:rPr>
                <w:noProof/>
                <w:webHidden/>
              </w:rPr>
              <w:tab/>
            </w:r>
            <w:r w:rsidR="008F5159">
              <w:rPr>
                <w:noProof/>
                <w:webHidden/>
              </w:rPr>
              <w:fldChar w:fldCharType="begin"/>
            </w:r>
            <w:r w:rsidR="008F5159">
              <w:rPr>
                <w:noProof/>
                <w:webHidden/>
              </w:rPr>
              <w:instrText xml:space="preserve"> PAGEREF _Toc117512329 \h </w:instrText>
            </w:r>
            <w:r w:rsidR="008F5159">
              <w:rPr>
                <w:noProof/>
                <w:webHidden/>
              </w:rPr>
            </w:r>
            <w:r w:rsidR="008F5159">
              <w:rPr>
                <w:noProof/>
                <w:webHidden/>
              </w:rPr>
              <w:fldChar w:fldCharType="separate"/>
            </w:r>
            <w:r w:rsidR="008F5159">
              <w:rPr>
                <w:noProof/>
                <w:webHidden/>
              </w:rPr>
              <w:t>24</w:t>
            </w:r>
            <w:r w:rsidR="008F5159">
              <w:rPr>
                <w:noProof/>
                <w:webHidden/>
              </w:rPr>
              <w:fldChar w:fldCharType="end"/>
            </w:r>
          </w:hyperlink>
        </w:p>
        <w:p w14:paraId="4793C969"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0" w:history="1">
            <w:r w:rsidR="008F5159" w:rsidRPr="00F86CA9">
              <w:rPr>
                <w:rStyle w:val="Hyperlink"/>
                <w:noProof/>
              </w:rPr>
              <w:t>1.22 Self-Represented Party</w:t>
            </w:r>
            <w:r w:rsidR="008F5159">
              <w:rPr>
                <w:noProof/>
                <w:webHidden/>
              </w:rPr>
              <w:tab/>
            </w:r>
            <w:r w:rsidR="008F5159">
              <w:rPr>
                <w:noProof/>
                <w:webHidden/>
              </w:rPr>
              <w:fldChar w:fldCharType="begin"/>
            </w:r>
            <w:r w:rsidR="008F5159">
              <w:rPr>
                <w:noProof/>
                <w:webHidden/>
              </w:rPr>
              <w:instrText xml:space="preserve"> PAGEREF _Toc117512330 \h </w:instrText>
            </w:r>
            <w:r w:rsidR="008F5159">
              <w:rPr>
                <w:noProof/>
                <w:webHidden/>
              </w:rPr>
            </w:r>
            <w:r w:rsidR="008F5159">
              <w:rPr>
                <w:noProof/>
                <w:webHidden/>
              </w:rPr>
              <w:fldChar w:fldCharType="separate"/>
            </w:r>
            <w:r w:rsidR="008F5159">
              <w:rPr>
                <w:noProof/>
                <w:webHidden/>
              </w:rPr>
              <w:t>25</w:t>
            </w:r>
            <w:r w:rsidR="008F5159">
              <w:rPr>
                <w:noProof/>
                <w:webHidden/>
              </w:rPr>
              <w:fldChar w:fldCharType="end"/>
            </w:r>
          </w:hyperlink>
        </w:p>
        <w:p w14:paraId="0BA28B41" w14:textId="77777777" w:rsidR="008F5159" w:rsidRDefault="00703520" w:rsidP="00340019">
          <w:pPr>
            <w:pStyle w:val="TOC1"/>
            <w:rPr>
              <w:rStyle w:val="Hyperlink"/>
              <w:noProof/>
            </w:rPr>
          </w:pPr>
          <w:hyperlink w:anchor="_Toc117512331" w:history="1">
            <w:r w:rsidR="008F5159" w:rsidRPr="00F86CA9">
              <w:rPr>
                <w:rStyle w:val="Hyperlink"/>
                <w:noProof/>
              </w:rPr>
              <w:t>2.  INSTRUCTIONS ON TYPES OF EVIDENCE</w:t>
            </w:r>
            <w:r w:rsidR="008F5159">
              <w:rPr>
                <w:noProof/>
                <w:webHidden/>
              </w:rPr>
              <w:tab/>
            </w:r>
            <w:r w:rsidR="008F5159">
              <w:rPr>
                <w:noProof/>
                <w:webHidden/>
              </w:rPr>
              <w:fldChar w:fldCharType="begin"/>
            </w:r>
            <w:r w:rsidR="008F5159">
              <w:rPr>
                <w:noProof/>
                <w:webHidden/>
              </w:rPr>
              <w:instrText xml:space="preserve"> PAGEREF _Toc117512331 \h </w:instrText>
            </w:r>
            <w:r w:rsidR="008F5159">
              <w:rPr>
                <w:noProof/>
                <w:webHidden/>
              </w:rPr>
            </w:r>
            <w:r w:rsidR="008F5159">
              <w:rPr>
                <w:noProof/>
                <w:webHidden/>
              </w:rPr>
              <w:fldChar w:fldCharType="separate"/>
            </w:r>
            <w:r w:rsidR="008F5159">
              <w:rPr>
                <w:noProof/>
                <w:webHidden/>
              </w:rPr>
              <w:t>26</w:t>
            </w:r>
            <w:r w:rsidR="008F5159">
              <w:rPr>
                <w:noProof/>
                <w:webHidden/>
              </w:rPr>
              <w:fldChar w:fldCharType="end"/>
            </w:r>
          </w:hyperlink>
        </w:p>
        <w:p w14:paraId="75C4E26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2" w:history="1">
            <w:r w:rsidR="008F5159" w:rsidRPr="00F86CA9">
              <w:rPr>
                <w:rStyle w:val="Hyperlink"/>
                <w:noProof/>
              </w:rPr>
              <w:t>2.0 Cautionary Instructions</w:t>
            </w:r>
            <w:r w:rsidR="008F5159">
              <w:rPr>
                <w:noProof/>
                <w:webHidden/>
              </w:rPr>
              <w:tab/>
            </w:r>
            <w:r w:rsidR="008F5159">
              <w:rPr>
                <w:noProof/>
                <w:webHidden/>
              </w:rPr>
              <w:fldChar w:fldCharType="begin"/>
            </w:r>
            <w:r w:rsidR="008F5159">
              <w:rPr>
                <w:noProof/>
                <w:webHidden/>
              </w:rPr>
              <w:instrText xml:space="preserve"> PAGEREF _Toc117512332 \h </w:instrText>
            </w:r>
            <w:r w:rsidR="008F5159">
              <w:rPr>
                <w:noProof/>
                <w:webHidden/>
              </w:rPr>
            </w:r>
            <w:r w:rsidR="008F5159">
              <w:rPr>
                <w:noProof/>
                <w:webHidden/>
              </w:rPr>
              <w:fldChar w:fldCharType="separate"/>
            </w:r>
            <w:r w:rsidR="008F5159">
              <w:rPr>
                <w:noProof/>
                <w:webHidden/>
              </w:rPr>
              <w:t>27</w:t>
            </w:r>
            <w:r w:rsidR="008F5159">
              <w:rPr>
                <w:noProof/>
                <w:webHidden/>
              </w:rPr>
              <w:fldChar w:fldCharType="end"/>
            </w:r>
          </w:hyperlink>
        </w:p>
        <w:p w14:paraId="1D2D6BB2"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3" w:history="1">
            <w:r w:rsidR="008F5159" w:rsidRPr="00F86CA9">
              <w:rPr>
                <w:rStyle w:val="Hyperlink"/>
                <w:noProof/>
              </w:rPr>
              <w:t>2.1 Stipulated Testimony</w:t>
            </w:r>
            <w:r w:rsidR="008F5159">
              <w:rPr>
                <w:noProof/>
                <w:webHidden/>
              </w:rPr>
              <w:tab/>
            </w:r>
            <w:r w:rsidR="008F5159">
              <w:rPr>
                <w:noProof/>
                <w:webHidden/>
              </w:rPr>
              <w:fldChar w:fldCharType="begin"/>
            </w:r>
            <w:r w:rsidR="008F5159">
              <w:rPr>
                <w:noProof/>
                <w:webHidden/>
              </w:rPr>
              <w:instrText xml:space="preserve"> PAGEREF _Toc117512333 \h </w:instrText>
            </w:r>
            <w:r w:rsidR="008F5159">
              <w:rPr>
                <w:noProof/>
                <w:webHidden/>
              </w:rPr>
            </w:r>
            <w:r w:rsidR="008F5159">
              <w:rPr>
                <w:noProof/>
                <w:webHidden/>
              </w:rPr>
              <w:fldChar w:fldCharType="separate"/>
            </w:r>
            <w:r w:rsidR="008F5159">
              <w:rPr>
                <w:noProof/>
                <w:webHidden/>
              </w:rPr>
              <w:t>28</w:t>
            </w:r>
            <w:r w:rsidR="008F5159">
              <w:rPr>
                <w:noProof/>
                <w:webHidden/>
              </w:rPr>
              <w:fldChar w:fldCharType="end"/>
            </w:r>
          </w:hyperlink>
        </w:p>
        <w:p w14:paraId="72895803"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4" w:history="1">
            <w:r w:rsidR="008F5159" w:rsidRPr="00F86CA9">
              <w:rPr>
                <w:rStyle w:val="Hyperlink"/>
                <w:noProof/>
              </w:rPr>
              <w:t>2.2 Stipulations of Fact</w:t>
            </w:r>
            <w:r w:rsidR="008F5159">
              <w:rPr>
                <w:noProof/>
                <w:webHidden/>
              </w:rPr>
              <w:tab/>
            </w:r>
            <w:r w:rsidR="008F5159">
              <w:rPr>
                <w:noProof/>
                <w:webHidden/>
              </w:rPr>
              <w:fldChar w:fldCharType="begin"/>
            </w:r>
            <w:r w:rsidR="008F5159">
              <w:rPr>
                <w:noProof/>
                <w:webHidden/>
              </w:rPr>
              <w:instrText xml:space="preserve"> PAGEREF _Toc117512334 \h </w:instrText>
            </w:r>
            <w:r w:rsidR="008F5159">
              <w:rPr>
                <w:noProof/>
                <w:webHidden/>
              </w:rPr>
            </w:r>
            <w:r w:rsidR="008F5159">
              <w:rPr>
                <w:noProof/>
                <w:webHidden/>
              </w:rPr>
              <w:fldChar w:fldCharType="separate"/>
            </w:r>
            <w:r w:rsidR="008F5159">
              <w:rPr>
                <w:noProof/>
                <w:webHidden/>
              </w:rPr>
              <w:t>29</w:t>
            </w:r>
            <w:r w:rsidR="008F5159">
              <w:rPr>
                <w:noProof/>
                <w:webHidden/>
              </w:rPr>
              <w:fldChar w:fldCharType="end"/>
            </w:r>
          </w:hyperlink>
        </w:p>
        <w:p w14:paraId="1A026ED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5" w:history="1">
            <w:r w:rsidR="008F5159" w:rsidRPr="00F86CA9">
              <w:rPr>
                <w:rStyle w:val="Hyperlink"/>
                <w:noProof/>
              </w:rPr>
              <w:t>2.3 Judicial Notice</w:t>
            </w:r>
            <w:r w:rsidR="008F5159">
              <w:rPr>
                <w:noProof/>
                <w:webHidden/>
              </w:rPr>
              <w:tab/>
            </w:r>
            <w:r w:rsidR="008F5159">
              <w:rPr>
                <w:noProof/>
                <w:webHidden/>
              </w:rPr>
              <w:fldChar w:fldCharType="begin"/>
            </w:r>
            <w:r w:rsidR="008F5159">
              <w:rPr>
                <w:noProof/>
                <w:webHidden/>
              </w:rPr>
              <w:instrText xml:space="preserve"> PAGEREF _Toc117512335 \h </w:instrText>
            </w:r>
            <w:r w:rsidR="008F5159">
              <w:rPr>
                <w:noProof/>
                <w:webHidden/>
              </w:rPr>
            </w:r>
            <w:r w:rsidR="008F5159">
              <w:rPr>
                <w:noProof/>
                <w:webHidden/>
              </w:rPr>
              <w:fldChar w:fldCharType="separate"/>
            </w:r>
            <w:r w:rsidR="008F5159">
              <w:rPr>
                <w:noProof/>
                <w:webHidden/>
              </w:rPr>
              <w:t>30</w:t>
            </w:r>
            <w:r w:rsidR="008F5159">
              <w:rPr>
                <w:noProof/>
                <w:webHidden/>
              </w:rPr>
              <w:fldChar w:fldCharType="end"/>
            </w:r>
          </w:hyperlink>
        </w:p>
        <w:p w14:paraId="6A6207FD"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6" w:history="1">
            <w:r w:rsidR="008F5159" w:rsidRPr="00F86CA9">
              <w:rPr>
                <w:rStyle w:val="Hyperlink"/>
                <w:noProof/>
              </w:rPr>
              <w:t>2.4 Deposition in Lieu of Live Testimony</w:t>
            </w:r>
            <w:r w:rsidR="008F5159">
              <w:rPr>
                <w:noProof/>
                <w:webHidden/>
              </w:rPr>
              <w:tab/>
            </w:r>
            <w:r w:rsidR="008F5159">
              <w:rPr>
                <w:noProof/>
                <w:webHidden/>
              </w:rPr>
              <w:fldChar w:fldCharType="begin"/>
            </w:r>
            <w:r w:rsidR="008F5159">
              <w:rPr>
                <w:noProof/>
                <w:webHidden/>
              </w:rPr>
              <w:instrText xml:space="preserve"> PAGEREF _Toc117512336 \h </w:instrText>
            </w:r>
            <w:r w:rsidR="008F5159">
              <w:rPr>
                <w:noProof/>
                <w:webHidden/>
              </w:rPr>
            </w:r>
            <w:r w:rsidR="008F5159">
              <w:rPr>
                <w:noProof/>
                <w:webHidden/>
              </w:rPr>
              <w:fldChar w:fldCharType="separate"/>
            </w:r>
            <w:r w:rsidR="008F5159">
              <w:rPr>
                <w:noProof/>
                <w:webHidden/>
              </w:rPr>
              <w:t>31</w:t>
            </w:r>
            <w:r w:rsidR="008F5159">
              <w:rPr>
                <w:noProof/>
                <w:webHidden/>
              </w:rPr>
              <w:fldChar w:fldCharType="end"/>
            </w:r>
          </w:hyperlink>
        </w:p>
        <w:p w14:paraId="4DD95A5D"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7" w:history="1">
            <w:r w:rsidR="008F5159" w:rsidRPr="00F86CA9">
              <w:rPr>
                <w:rStyle w:val="Hyperlink"/>
                <w:noProof/>
              </w:rPr>
              <w:t>2.5 Transcript of Recording in English</w:t>
            </w:r>
            <w:r w:rsidR="008F5159">
              <w:rPr>
                <w:noProof/>
                <w:webHidden/>
              </w:rPr>
              <w:tab/>
            </w:r>
            <w:r w:rsidR="008F5159">
              <w:rPr>
                <w:noProof/>
                <w:webHidden/>
              </w:rPr>
              <w:fldChar w:fldCharType="begin"/>
            </w:r>
            <w:r w:rsidR="008F5159">
              <w:rPr>
                <w:noProof/>
                <w:webHidden/>
              </w:rPr>
              <w:instrText xml:space="preserve"> PAGEREF _Toc117512337 \h </w:instrText>
            </w:r>
            <w:r w:rsidR="008F5159">
              <w:rPr>
                <w:noProof/>
                <w:webHidden/>
              </w:rPr>
            </w:r>
            <w:r w:rsidR="008F5159">
              <w:rPr>
                <w:noProof/>
                <w:webHidden/>
              </w:rPr>
              <w:fldChar w:fldCharType="separate"/>
            </w:r>
            <w:r w:rsidR="008F5159">
              <w:rPr>
                <w:noProof/>
                <w:webHidden/>
              </w:rPr>
              <w:t>32</w:t>
            </w:r>
            <w:r w:rsidR="008F5159">
              <w:rPr>
                <w:noProof/>
                <w:webHidden/>
              </w:rPr>
              <w:fldChar w:fldCharType="end"/>
            </w:r>
          </w:hyperlink>
        </w:p>
        <w:p w14:paraId="266C796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8" w:history="1">
            <w:r w:rsidR="008F5159" w:rsidRPr="00F86CA9">
              <w:rPr>
                <w:rStyle w:val="Hyperlink"/>
                <w:noProof/>
              </w:rPr>
              <w:t>2.6 Transcript of Recording in Foreign Language</w:t>
            </w:r>
            <w:r w:rsidR="008F5159">
              <w:rPr>
                <w:noProof/>
                <w:webHidden/>
              </w:rPr>
              <w:tab/>
            </w:r>
            <w:r w:rsidR="008F5159">
              <w:rPr>
                <w:noProof/>
                <w:webHidden/>
              </w:rPr>
              <w:fldChar w:fldCharType="begin"/>
            </w:r>
            <w:r w:rsidR="008F5159">
              <w:rPr>
                <w:noProof/>
                <w:webHidden/>
              </w:rPr>
              <w:instrText xml:space="preserve"> PAGEREF _Toc117512338 \h </w:instrText>
            </w:r>
            <w:r w:rsidR="008F5159">
              <w:rPr>
                <w:noProof/>
                <w:webHidden/>
              </w:rPr>
            </w:r>
            <w:r w:rsidR="008F5159">
              <w:rPr>
                <w:noProof/>
                <w:webHidden/>
              </w:rPr>
              <w:fldChar w:fldCharType="separate"/>
            </w:r>
            <w:r w:rsidR="008F5159">
              <w:rPr>
                <w:noProof/>
                <w:webHidden/>
              </w:rPr>
              <w:t>33</w:t>
            </w:r>
            <w:r w:rsidR="008F5159">
              <w:rPr>
                <w:noProof/>
                <w:webHidden/>
              </w:rPr>
              <w:fldChar w:fldCharType="end"/>
            </w:r>
          </w:hyperlink>
        </w:p>
        <w:p w14:paraId="2A793EAE" w14:textId="77777777" w:rsidR="008F5159" w:rsidRDefault="00703520" w:rsidP="00BC4302">
          <w:pPr>
            <w:pStyle w:val="TOC2"/>
            <w:spacing w:before="40" w:afterLines="40" w:after="96"/>
            <w:rPr>
              <w:rFonts w:asciiTheme="minorHAnsi" w:eastAsiaTheme="minorEastAsia" w:hAnsiTheme="minorHAnsi"/>
              <w:noProof/>
              <w:sz w:val="22"/>
            </w:rPr>
          </w:pPr>
          <w:hyperlink w:anchor="_Toc117512339" w:history="1">
            <w:r w:rsidR="008F5159" w:rsidRPr="00F86CA9">
              <w:rPr>
                <w:rStyle w:val="Hyperlink"/>
                <w:noProof/>
              </w:rPr>
              <w:t>2.7 Disputed Transcript of Recording in Foreign Language</w:t>
            </w:r>
            <w:r w:rsidR="008F5159">
              <w:rPr>
                <w:noProof/>
                <w:webHidden/>
              </w:rPr>
              <w:tab/>
            </w:r>
            <w:r w:rsidR="008F5159">
              <w:rPr>
                <w:noProof/>
                <w:webHidden/>
              </w:rPr>
              <w:fldChar w:fldCharType="begin"/>
            </w:r>
            <w:r w:rsidR="008F5159">
              <w:rPr>
                <w:noProof/>
                <w:webHidden/>
              </w:rPr>
              <w:instrText xml:space="preserve"> PAGEREF _Toc117512339 \h </w:instrText>
            </w:r>
            <w:r w:rsidR="008F5159">
              <w:rPr>
                <w:noProof/>
                <w:webHidden/>
              </w:rPr>
            </w:r>
            <w:r w:rsidR="008F5159">
              <w:rPr>
                <w:noProof/>
                <w:webHidden/>
              </w:rPr>
              <w:fldChar w:fldCharType="separate"/>
            </w:r>
            <w:r w:rsidR="008F5159">
              <w:rPr>
                <w:noProof/>
                <w:webHidden/>
              </w:rPr>
              <w:t>34</w:t>
            </w:r>
            <w:r w:rsidR="008F5159">
              <w:rPr>
                <w:noProof/>
                <w:webHidden/>
              </w:rPr>
              <w:fldChar w:fldCharType="end"/>
            </w:r>
          </w:hyperlink>
        </w:p>
        <w:p w14:paraId="086654C8"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0" w:history="1">
            <w:r w:rsidR="008F5159" w:rsidRPr="00F86CA9">
              <w:rPr>
                <w:rStyle w:val="Hyperlink"/>
                <w:noProof/>
              </w:rPr>
              <w:t>2.8 Foreign Language Testimony</w:t>
            </w:r>
            <w:r w:rsidR="008F5159">
              <w:rPr>
                <w:noProof/>
                <w:webHidden/>
              </w:rPr>
              <w:tab/>
            </w:r>
            <w:r w:rsidR="008F5159">
              <w:rPr>
                <w:noProof/>
                <w:webHidden/>
              </w:rPr>
              <w:fldChar w:fldCharType="begin"/>
            </w:r>
            <w:r w:rsidR="008F5159">
              <w:rPr>
                <w:noProof/>
                <w:webHidden/>
              </w:rPr>
              <w:instrText xml:space="preserve"> PAGEREF _Toc117512340 \h </w:instrText>
            </w:r>
            <w:r w:rsidR="008F5159">
              <w:rPr>
                <w:noProof/>
                <w:webHidden/>
              </w:rPr>
            </w:r>
            <w:r w:rsidR="008F5159">
              <w:rPr>
                <w:noProof/>
                <w:webHidden/>
              </w:rPr>
              <w:fldChar w:fldCharType="separate"/>
            </w:r>
            <w:r w:rsidR="008F5159">
              <w:rPr>
                <w:noProof/>
                <w:webHidden/>
              </w:rPr>
              <w:t>35</w:t>
            </w:r>
            <w:r w:rsidR="008F5159">
              <w:rPr>
                <w:noProof/>
                <w:webHidden/>
              </w:rPr>
              <w:fldChar w:fldCharType="end"/>
            </w:r>
          </w:hyperlink>
        </w:p>
        <w:p w14:paraId="58CF3FA4"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1" w:history="1">
            <w:r w:rsidR="008F5159" w:rsidRPr="00F86CA9">
              <w:rPr>
                <w:rStyle w:val="Hyperlink"/>
                <w:noProof/>
              </w:rPr>
              <w:t>2.9 Impeachment Evidence—Witness</w:t>
            </w:r>
            <w:r w:rsidR="008F5159">
              <w:rPr>
                <w:noProof/>
                <w:webHidden/>
              </w:rPr>
              <w:tab/>
            </w:r>
            <w:r w:rsidR="008F5159">
              <w:rPr>
                <w:noProof/>
                <w:webHidden/>
              </w:rPr>
              <w:fldChar w:fldCharType="begin"/>
            </w:r>
            <w:r w:rsidR="008F5159">
              <w:rPr>
                <w:noProof/>
                <w:webHidden/>
              </w:rPr>
              <w:instrText xml:space="preserve"> PAGEREF _Toc117512341 \h </w:instrText>
            </w:r>
            <w:r w:rsidR="008F5159">
              <w:rPr>
                <w:noProof/>
                <w:webHidden/>
              </w:rPr>
            </w:r>
            <w:r w:rsidR="008F5159">
              <w:rPr>
                <w:noProof/>
                <w:webHidden/>
              </w:rPr>
              <w:fldChar w:fldCharType="separate"/>
            </w:r>
            <w:r w:rsidR="008F5159">
              <w:rPr>
                <w:noProof/>
                <w:webHidden/>
              </w:rPr>
              <w:t>36</w:t>
            </w:r>
            <w:r w:rsidR="008F5159">
              <w:rPr>
                <w:noProof/>
                <w:webHidden/>
              </w:rPr>
              <w:fldChar w:fldCharType="end"/>
            </w:r>
          </w:hyperlink>
        </w:p>
        <w:p w14:paraId="21C95F4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2" w:history="1">
            <w:r w:rsidR="008F5159" w:rsidRPr="00F86CA9">
              <w:rPr>
                <w:rStyle w:val="Hyperlink"/>
                <w:noProof/>
              </w:rPr>
              <w:t>2.10 Tests and Experiments</w:t>
            </w:r>
            <w:r w:rsidR="008F5159">
              <w:rPr>
                <w:noProof/>
                <w:webHidden/>
              </w:rPr>
              <w:tab/>
            </w:r>
            <w:r w:rsidR="008F5159">
              <w:rPr>
                <w:noProof/>
                <w:webHidden/>
              </w:rPr>
              <w:fldChar w:fldCharType="begin"/>
            </w:r>
            <w:r w:rsidR="008F5159">
              <w:rPr>
                <w:noProof/>
                <w:webHidden/>
              </w:rPr>
              <w:instrText xml:space="preserve"> PAGEREF _Toc117512342 \h </w:instrText>
            </w:r>
            <w:r w:rsidR="008F5159">
              <w:rPr>
                <w:noProof/>
                <w:webHidden/>
              </w:rPr>
            </w:r>
            <w:r w:rsidR="008F5159">
              <w:rPr>
                <w:noProof/>
                <w:webHidden/>
              </w:rPr>
              <w:fldChar w:fldCharType="separate"/>
            </w:r>
            <w:r w:rsidR="008F5159">
              <w:rPr>
                <w:noProof/>
                <w:webHidden/>
              </w:rPr>
              <w:t>37</w:t>
            </w:r>
            <w:r w:rsidR="008F5159">
              <w:rPr>
                <w:noProof/>
                <w:webHidden/>
              </w:rPr>
              <w:fldChar w:fldCharType="end"/>
            </w:r>
          </w:hyperlink>
        </w:p>
        <w:p w14:paraId="455810F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3" w:history="1">
            <w:r w:rsidR="008F5159" w:rsidRPr="00F86CA9">
              <w:rPr>
                <w:rStyle w:val="Hyperlink"/>
                <w:noProof/>
              </w:rPr>
              <w:t>2.11 Use of Interrogatories</w:t>
            </w:r>
            <w:r w:rsidR="008F5159">
              <w:rPr>
                <w:noProof/>
                <w:webHidden/>
              </w:rPr>
              <w:tab/>
            </w:r>
            <w:r w:rsidR="008F5159">
              <w:rPr>
                <w:noProof/>
                <w:webHidden/>
              </w:rPr>
              <w:fldChar w:fldCharType="begin"/>
            </w:r>
            <w:r w:rsidR="008F5159">
              <w:rPr>
                <w:noProof/>
                <w:webHidden/>
              </w:rPr>
              <w:instrText xml:space="preserve"> PAGEREF _Toc117512343 \h </w:instrText>
            </w:r>
            <w:r w:rsidR="008F5159">
              <w:rPr>
                <w:noProof/>
                <w:webHidden/>
              </w:rPr>
            </w:r>
            <w:r w:rsidR="008F5159">
              <w:rPr>
                <w:noProof/>
                <w:webHidden/>
              </w:rPr>
              <w:fldChar w:fldCharType="separate"/>
            </w:r>
            <w:r w:rsidR="008F5159">
              <w:rPr>
                <w:noProof/>
                <w:webHidden/>
              </w:rPr>
              <w:t>38</w:t>
            </w:r>
            <w:r w:rsidR="008F5159">
              <w:rPr>
                <w:noProof/>
                <w:webHidden/>
              </w:rPr>
              <w:fldChar w:fldCharType="end"/>
            </w:r>
          </w:hyperlink>
        </w:p>
        <w:p w14:paraId="5E8E963C"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4" w:history="1">
            <w:r w:rsidR="008F5159" w:rsidRPr="00F86CA9">
              <w:rPr>
                <w:rStyle w:val="Hyperlink"/>
                <w:noProof/>
              </w:rPr>
              <w:t>2.12 Use of Requests for Admission</w:t>
            </w:r>
            <w:r w:rsidR="008F5159">
              <w:rPr>
                <w:noProof/>
                <w:webHidden/>
              </w:rPr>
              <w:tab/>
            </w:r>
            <w:r w:rsidR="008F5159">
              <w:rPr>
                <w:noProof/>
                <w:webHidden/>
              </w:rPr>
              <w:fldChar w:fldCharType="begin"/>
            </w:r>
            <w:r w:rsidR="008F5159">
              <w:rPr>
                <w:noProof/>
                <w:webHidden/>
              </w:rPr>
              <w:instrText xml:space="preserve"> PAGEREF _Toc117512344 \h </w:instrText>
            </w:r>
            <w:r w:rsidR="008F5159">
              <w:rPr>
                <w:noProof/>
                <w:webHidden/>
              </w:rPr>
            </w:r>
            <w:r w:rsidR="008F5159">
              <w:rPr>
                <w:noProof/>
                <w:webHidden/>
              </w:rPr>
              <w:fldChar w:fldCharType="separate"/>
            </w:r>
            <w:r w:rsidR="008F5159">
              <w:rPr>
                <w:noProof/>
                <w:webHidden/>
              </w:rPr>
              <w:t>39</w:t>
            </w:r>
            <w:r w:rsidR="008F5159">
              <w:rPr>
                <w:noProof/>
                <w:webHidden/>
              </w:rPr>
              <w:fldChar w:fldCharType="end"/>
            </w:r>
          </w:hyperlink>
        </w:p>
        <w:p w14:paraId="1F266DD7"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5" w:history="1">
            <w:r w:rsidR="008F5159" w:rsidRPr="00F86CA9">
              <w:rPr>
                <w:rStyle w:val="Hyperlink"/>
                <w:noProof/>
              </w:rPr>
              <w:t>2.13 Expert Opinion</w:t>
            </w:r>
            <w:r w:rsidR="008F5159">
              <w:rPr>
                <w:noProof/>
                <w:webHidden/>
              </w:rPr>
              <w:tab/>
            </w:r>
            <w:r w:rsidR="008F5159">
              <w:rPr>
                <w:noProof/>
                <w:webHidden/>
              </w:rPr>
              <w:fldChar w:fldCharType="begin"/>
            </w:r>
            <w:r w:rsidR="008F5159">
              <w:rPr>
                <w:noProof/>
                <w:webHidden/>
              </w:rPr>
              <w:instrText xml:space="preserve"> PAGEREF _Toc117512345 \h </w:instrText>
            </w:r>
            <w:r w:rsidR="008F5159">
              <w:rPr>
                <w:noProof/>
                <w:webHidden/>
              </w:rPr>
            </w:r>
            <w:r w:rsidR="008F5159">
              <w:rPr>
                <w:noProof/>
                <w:webHidden/>
              </w:rPr>
              <w:fldChar w:fldCharType="separate"/>
            </w:r>
            <w:r w:rsidR="008F5159">
              <w:rPr>
                <w:noProof/>
                <w:webHidden/>
              </w:rPr>
              <w:t>40</w:t>
            </w:r>
            <w:r w:rsidR="008F5159">
              <w:rPr>
                <w:noProof/>
                <w:webHidden/>
              </w:rPr>
              <w:fldChar w:fldCharType="end"/>
            </w:r>
          </w:hyperlink>
        </w:p>
        <w:p w14:paraId="2050961E"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6" w:history="1">
            <w:r w:rsidR="008F5159" w:rsidRPr="00F86CA9">
              <w:rPr>
                <w:rStyle w:val="Hyperlink"/>
                <w:noProof/>
              </w:rPr>
              <w:t>2.14 Charts and Summaries Not Received in Evidence</w:t>
            </w:r>
            <w:r w:rsidR="008F5159">
              <w:rPr>
                <w:noProof/>
                <w:webHidden/>
              </w:rPr>
              <w:tab/>
            </w:r>
            <w:r w:rsidR="008F5159">
              <w:rPr>
                <w:noProof/>
                <w:webHidden/>
              </w:rPr>
              <w:fldChar w:fldCharType="begin"/>
            </w:r>
            <w:r w:rsidR="008F5159">
              <w:rPr>
                <w:noProof/>
                <w:webHidden/>
              </w:rPr>
              <w:instrText xml:space="preserve"> PAGEREF _Toc117512346 \h </w:instrText>
            </w:r>
            <w:r w:rsidR="008F5159">
              <w:rPr>
                <w:noProof/>
                <w:webHidden/>
              </w:rPr>
            </w:r>
            <w:r w:rsidR="008F5159">
              <w:rPr>
                <w:noProof/>
                <w:webHidden/>
              </w:rPr>
              <w:fldChar w:fldCharType="separate"/>
            </w:r>
            <w:r w:rsidR="008F5159">
              <w:rPr>
                <w:noProof/>
                <w:webHidden/>
              </w:rPr>
              <w:t>41</w:t>
            </w:r>
            <w:r w:rsidR="008F5159">
              <w:rPr>
                <w:noProof/>
                <w:webHidden/>
              </w:rPr>
              <w:fldChar w:fldCharType="end"/>
            </w:r>
          </w:hyperlink>
        </w:p>
        <w:p w14:paraId="4E9BBB8A"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7" w:history="1">
            <w:r w:rsidR="008F5159" w:rsidRPr="00F86CA9">
              <w:rPr>
                <w:rStyle w:val="Hyperlink"/>
                <w:noProof/>
              </w:rPr>
              <w:t>2.15 Charts and Summaries Received in Evidence</w:t>
            </w:r>
            <w:r w:rsidR="008F5159">
              <w:rPr>
                <w:noProof/>
                <w:webHidden/>
              </w:rPr>
              <w:tab/>
            </w:r>
            <w:r w:rsidR="008F5159">
              <w:rPr>
                <w:noProof/>
                <w:webHidden/>
              </w:rPr>
              <w:fldChar w:fldCharType="begin"/>
            </w:r>
            <w:r w:rsidR="008F5159">
              <w:rPr>
                <w:noProof/>
                <w:webHidden/>
              </w:rPr>
              <w:instrText xml:space="preserve"> PAGEREF _Toc117512347 \h </w:instrText>
            </w:r>
            <w:r w:rsidR="008F5159">
              <w:rPr>
                <w:noProof/>
                <w:webHidden/>
              </w:rPr>
            </w:r>
            <w:r w:rsidR="008F5159">
              <w:rPr>
                <w:noProof/>
                <w:webHidden/>
              </w:rPr>
              <w:fldChar w:fldCharType="separate"/>
            </w:r>
            <w:r w:rsidR="008F5159">
              <w:rPr>
                <w:noProof/>
                <w:webHidden/>
              </w:rPr>
              <w:t>42</w:t>
            </w:r>
            <w:r w:rsidR="008F5159">
              <w:rPr>
                <w:noProof/>
                <w:webHidden/>
              </w:rPr>
              <w:fldChar w:fldCharType="end"/>
            </w:r>
          </w:hyperlink>
        </w:p>
        <w:p w14:paraId="47767147" w14:textId="77777777" w:rsidR="008F5159" w:rsidRDefault="00703520" w:rsidP="00BC4302">
          <w:pPr>
            <w:pStyle w:val="TOC2"/>
            <w:spacing w:before="40" w:afterLines="40" w:after="96"/>
            <w:rPr>
              <w:rFonts w:asciiTheme="minorHAnsi" w:eastAsiaTheme="minorEastAsia" w:hAnsiTheme="minorHAnsi"/>
              <w:noProof/>
              <w:sz w:val="22"/>
            </w:rPr>
          </w:pPr>
          <w:hyperlink w:anchor="_Toc117512348" w:history="1">
            <w:r w:rsidR="008F5159" w:rsidRPr="00F86CA9">
              <w:rPr>
                <w:rStyle w:val="Hyperlink"/>
                <w:noProof/>
              </w:rPr>
              <w:t>2.16 Evidence in Electronic Format</w:t>
            </w:r>
            <w:r w:rsidR="008F5159">
              <w:rPr>
                <w:noProof/>
                <w:webHidden/>
              </w:rPr>
              <w:tab/>
            </w:r>
            <w:r w:rsidR="008F5159">
              <w:rPr>
                <w:noProof/>
                <w:webHidden/>
              </w:rPr>
              <w:fldChar w:fldCharType="begin"/>
            </w:r>
            <w:r w:rsidR="008F5159">
              <w:rPr>
                <w:noProof/>
                <w:webHidden/>
              </w:rPr>
              <w:instrText xml:space="preserve"> PAGEREF _Toc117512348 \h </w:instrText>
            </w:r>
            <w:r w:rsidR="008F5159">
              <w:rPr>
                <w:noProof/>
                <w:webHidden/>
              </w:rPr>
            </w:r>
            <w:r w:rsidR="008F5159">
              <w:rPr>
                <w:noProof/>
                <w:webHidden/>
              </w:rPr>
              <w:fldChar w:fldCharType="separate"/>
            </w:r>
            <w:r w:rsidR="008F5159">
              <w:rPr>
                <w:noProof/>
                <w:webHidden/>
              </w:rPr>
              <w:t>43</w:t>
            </w:r>
            <w:r w:rsidR="008F5159">
              <w:rPr>
                <w:noProof/>
                <w:webHidden/>
              </w:rPr>
              <w:fldChar w:fldCharType="end"/>
            </w:r>
          </w:hyperlink>
        </w:p>
        <w:p w14:paraId="25E489F6" w14:textId="77777777" w:rsidR="008F5159" w:rsidRDefault="00703520" w:rsidP="00340019">
          <w:pPr>
            <w:pStyle w:val="TOC1"/>
            <w:rPr>
              <w:rFonts w:asciiTheme="minorHAnsi" w:eastAsiaTheme="minorEastAsia" w:hAnsiTheme="minorHAnsi"/>
              <w:noProof/>
              <w:sz w:val="22"/>
            </w:rPr>
          </w:pPr>
          <w:hyperlink w:anchor="_Toc117512349" w:history="1">
            <w:r w:rsidR="008F5159" w:rsidRPr="00F86CA9">
              <w:rPr>
                <w:rStyle w:val="Hyperlink"/>
                <w:noProof/>
              </w:rPr>
              <w:t>3.  INSTRUCTIONS CONCERNING DELIBERATIONS</w:t>
            </w:r>
            <w:r w:rsidR="008F5159">
              <w:rPr>
                <w:noProof/>
                <w:webHidden/>
              </w:rPr>
              <w:tab/>
            </w:r>
            <w:r w:rsidR="008F5159">
              <w:rPr>
                <w:noProof/>
                <w:webHidden/>
              </w:rPr>
              <w:fldChar w:fldCharType="begin"/>
            </w:r>
            <w:r w:rsidR="008F5159">
              <w:rPr>
                <w:noProof/>
                <w:webHidden/>
              </w:rPr>
              <w:instrText xml:space="preserve"> PAGEREF _Toc117512349 \h </w:instrText>
            </w:r>
            <w:r w:rsidR="008F5159">
              <w:rPr>
                <w:noProof/>
                <w:webHidden/>
              </w:rPr>
            </w:r>
            <w:r w:rsidR="008F5159">
              <w:rPr>
                <w:noProof/>
                <w:webHidden/>
              </w:rPr>
              <w:fldChar w:fldCharType="separate"/>
            </w:r>
            <w:r w:rsidR="008F5159">
              <w:rPr>
                <w:noProof/>
                <w:webHidden/>
              </w:rPr>
              <w:t>46</w:t>
            </w:r>
            <w:r w:rsidR="008F5159">
              <w:rPr>
                <w:noProof/>
                <w:webHidden/>
              </w:rPr>
              <w:fldChar w:fldCharType="end"/>
            </w:r>
          </w:hyperlink>
        </w:p>
        <w:p w14:paraId="4B8D5BB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0" w:history="1">
            <w:r w:rsidR="008F5159" w:rsidRPr="00F86CA9">
              <w:rPr>
                <w:rStyle w:val="Hyperlink"/>
                <w:noProof/>
              </w:rPr>
              <w:t>3.1 Duty to Deliberate</w:t>
            </w:r>
            <w:r w:rsidR="008F5159">
              <w:rPr>
                <w:noProof/>
                <w:webHidden/>
              </w:rPr>
              <w:tab/>
            </w:r>
            <w:r w:rsidR="008F5159">
              <w:rPr>
                <w:noProof/>
                <w:webHidden/>
              </w:rPr>
              <w:fldChar w:fldCharType="begin"/>
            </w:r>
            <w:r w:rsidR="008F5159">
              <w:rPr>
                <w:noProof/>
                <w:webHidden/>
              </w:rPr>
              <w:instrText xml:space="preserve"> PAGEREF _Toc117512350 \h </w:instrText>
            </w:r>
            <w:r w:rsidR="008F5159">
              <w:rPr>
                <w:noProof/>
                <w:webHidden/>
              </w:rPr>
            </w:r>
            <w:r w:rsidR="008F5159">
              <w:rPr>
                <w:noProof/>
                <w:webHidden/>
              </w:rPr>
              <w:fldChar w:fldCharType="separate"/>
            </w:r>
            <w:r w:rsidR="008F5159">
              <w:rPr>
                <w:noProof/>
                <w:webHidden/>
              </w:rPr>
              <w:t>47</w:t>
            </w:r>
            <w:r w:rsidR="008F5159">
              <w:rPr>
                <w:noProof/>
                <w:webHidden/>
              </w:rPr>
              <w:fldChar w:fldCharType="end"/>
            </w:r>
          </w:hyperlink>
        </w:p>
        <w:p w14:paraId="0903470F"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1" w:history="1">
            <w:r w:rsidR="008F5159" w:rsidRPr="00F86CA9">
              <w:rPr>
                <w:rStyle w:val="Hyperlink"/>
                <w:noProof/>
              </w:rPr>
              <w:t>3.2 Consideration of Evidence—Conduct of the Jury</w:t>
            </w:r>
            <w:r w:rsidR="008F5159">
              <w:rPr>
                <w:noProof/>
                <w:webHidden/>
              </w:rPr>
              <w:tab/>
            </w:r>
            <w:r w:rsidR="008F5159">
              <w:rPr>
                <w:noProof/>
                <w:webHidden/>
              </w:rPr>
              <w:fldChar w:fldCharType="begin"/>
            </w:r>
            <w:r w:rsidR="008F5159">
              <w:rPr>
                <w:noProof/>
                <w:webHidden/>
              </w:rPr>
              <w:instrText xml:space="preserve"> PAGEREF _Toc117512351 \h </w:instrText>
            </w:r>
            <w:r w:rsidR="008F5159">
              <w:rPr>
                <w:noProof/>
                <w:webHidden/>
              </w:rPr>
            </w:r>
            <w:r w:rsidR="008F5159">
              <w:rPr>
                <w:noProof/>
                <w:webHidden/>
              </w:rPr>
              <w:fldChar w:fldCharType="separate"/>
            </w:r>
            <w:r w:rsidR="008F5159">
              <w:rPr>
                <w:noProof/>
                <w:webHidden/>
              </w:rPr>
              <w:t>48</w:t>
            </w:r>
            <w:r w:rsidR="008F5159">
              <w:rPr>
                <w:noProof/>
                <w:webHidden/>
              </w:rPr>
              <w:fldChar w:fldCharType="end"/>
            </w:r>
          </w:hyperlink>
        </w:p>
        <w:p w14:paraId="5DC9AEF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2" w:history="1">
            <w:r w:rsidR="008F5159" w:rsidRPr="00F86CA9">
              <w:rPr>
                <w:rStyle w:val="Hyperlink"/>
                <w:noProof/>
              </w:rPr>
              <w:t>3.3 Communication with Court</w:t>
            </w:r>
            <w:r w:rsidR="008F5159">
              <w:rPr>
                <w:noProof/>
                <w:webHidden/>
              </w:rPr>
              <w:tab/>
            </w:r>
            <w:r w:rsidR="008F5159">
              <w:rPr>
                <w:noProof/>
                <w:webHidden/>
              </w:rPr>
              <w:fldChar w:fldCharType="begin"/>
            </w:r>
            <w:r w:rsidR="008F5159">
              <w:rPr>
                <w:noProof/>
                <w:webHidden/>
              </w:rPr>
              <w:instrText xml:space="preserve"> PAGEREF _Toc117512352 \h </w:instrText>
            </w:r>
            <w:r w:rsidR="008F5159">
              <w:rPr>
                <w:noProof/>
                <w:webHidden/>
              </w:rPr>
            </w:r>
            <w:r w:rsidR="008F5159">
              <w:rPr>
                <w:noProof/>
                <w:webHidden/>
              </w:rPr>
              <w:fldChar w:fldCharType="separate"/>
            </w:r>
            <w:r w:rsidR="008F5159">
              <w:rPr>
                <w:noProof/>
                <w:webHidden/>
              </w:rPr>
              <w:t>49</w:t>
            </w:r>
            <w:r w:rsidR="008F5159">
              <w:rPr>
                <w:noProof/>
                <w:webHidden/>
              </w:rPr>
              <w:fldChar w:fldCharType="end"/>
            </w:r>
          </w:hyperlink>
        </w:p>
        <w:p w14:paraId="1D4918A3"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3" w:history="1">
            <w:r w:rsidR="008F5159" w:rsidRPr="00F86CA9">
              <w:rPr>
                <w:rStyle w:val="Hyperlink"/>
                <w:noProof/>
              </w:rPr>
              <w:t>3.4 Readback or Playback</w:t>
            </w:r>
            <w:r w:rsidR="008F5159">
              <w:rPr>
                <w:noProof/>
                <w:webHidden/>
              </w:rPr>
              <w:tab/>
            </w:r>
            <w:r w:rsidR="008F5159">
              <w:rPr>
                <w:noProof/>
                <w:webHidden/>
              </w:rPr>
              <w:fldChar w:fldCharType="begin"/>
            </w:r>
            <w:r w:rsidR="008F5159">
              <w:rPr>
                <w:noProof/>
                <w:webHidden/>
              </w:rPr>
              <w:instrText xml:space="preserve"> PAGEREF _Toc117512353 \h </w:instrText>
            </w:r>
            <w:r w:rsidR="008F5159">
              <w:rPr>
                <w:noProof/>
                <w:webHidden/>
              </w:rPr>
            </w:r>
            <w:r w:rsidR="008F5159">
              <w:rPr>
                <w:noProof/>
                <w:webHidden/>
              </w:rPr>
              <w:fldChar w:fldCharType="separate"/>
            </w:r>
            <w:r w:rsidR="008F5159">
              <w:rPr>
                <w:noProof/>
                <w:webHidden/>
              </w:rPr>
              <w:t>50</w:t>
            </w:r>
            <w:r w:rsidR="008F5159">
              <w:rPr>
                <w:noProof/>
                <w:webHidden/>
              </w:rPr>
              <w:fldChar w:fldCharType="end"/>
            </w:r>
          </w:hyperlink>
        </w:p>
        <w:p w14:paraId="1842EAD3"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4" w:history="1">
            <w:r w:rsidR="008F5159" w:rsidRPr="00F86CA9">
              <w:rPr>
                <w:rStyle w:val="Hyperlink"/>
                <w:noProof/>
              </w:rPr>
              <w:t>3.5 Return of Verdict</w:t>
            </w:r>
            <w:r w:rsidR="008F5159">
              <w:rPr>
                <w:noProof/>
                <w:webHidden/>
              </w:rPr>
              <w:tab/>
            </w:r>
            <w:r w:rsidR="008F5159">
              <w:rPr>
                <w:noProof/>
                <w:webHidden/>
              </w:rPr>
              <w:fldChar w:fldCharType="begin"/>
            </w:r>
            <w:r w:rsidR="008F5159">
              <w:rPr>
                <w:noProof/>
                <w:webHidden/>
              </w:rPr>
              <w:instrText xml:space="preserve"> PAGEREF _Toc117512354 \h </w:instrText>
            </w:r>
            <w:r w:rsidR="008F5159">
              <w:rPr>
                <w:noProof/>
                <w:webHidden/>
              </w:rPr>
            </w:r>
            <w:r w:rsidR="008F5159">
              <w:rPr>
                <w:noProof/>
                <w:webHidden/>
              </w:rPr>
              <w:fldChar w:fldCharType="separate"/>
            </w:r>
            <w:r w:rsidR="008F5159">
              <w:rPr>
                <w:noProof/>
                <w:webHidden/>
              </w:rPr>
              <w:t>51</w:t>
            </w:r>
            <w:r w:rsidR="008F5159">
              <w:rPr>
                <w:noProof/>
                <w:webHidden/>
              </w:rPr>
              <w:fldChar w:fldCharType="end"/>
            </w:r>
          </w:hyperlink>
        </w:p>
        <w:p w14:paraId="5A3770AD"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5" w:history="1">
            <w:r w:rsidR="008F5159" w:rsidRPr="00F86CA9">
              <w:rPr>
                <w:rStyle w:val="Hyperlink"/>
                <w:noProof/>
              </w:rPr>
              <w:t>3.6 Additional Instructions of Law</w:t>
            </w:r>
            <w:r w:rsidR="008F5159">
              <w:rPr>
                <w:noProof/>
                <w:webHidden/>
              </w:rPr>
              <w:tab/>
            </w:r>
            <w:r w:rsidR="008F5159">
              <w:rPr>
                <w:noProof/>
                <w:webHidden/>
              </w:rPr>
              <w:fldChar w:fldCharType="begin"/>
            </w:r>
            <w:r w:rsidR="008F5159">
              <w:rPr>
                <w:noProof/>
                <w:webHidden/>
              </w:rPr>
              <w:instrText xml:space="preserve"> PAGEREF _Toc117512355 \h </w:instrText>
            </w:r>
            <w:r w:rsidR="008F5159">
              <w:rPr>
                <w:noProof/>
                <w:webHidden/>
              </w:rPr>
            </w:r>
            <w:r w:rsidR="008F5159">
              <w:rPr>
                <w:noProof/>
                <w:webHidden/>
              </w:rPr>
              <w:fldChar w:fldCharType="separate"/>
            </w:r>
            <w:r w:rsidR="008F5159">
              <w:rPr>
                <w:noProof/>
                <w:webHidden/>
              </w:rPr>
              <w:t>52</w:t>
            </w:r>
            <w:r w:rsidR="008F5159">
              <w:rPr>
                <w:noProof/>
                <w:webHidden/>
              </w:rPr>
              <w:fldChar w:fldCharType="end"/>
            </w:r>
          </w:hyperlink>
        </w:p>
        <w:p w14:paraId="1BEA7664"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6" w:history="1">
            <w:r w:rsidR="008F5159" w:rsidRPr="00F86CA9">
              <w:rPr>
                <w:rStyle w:val="Hyperlink"/>
                <w:noProof/>
              </w:rPr>
              <w:t>3.7 Deadlocked Jury</w:t>
            </w:r>
            <w:r w:rsidR="008F5159">
              <w:rPr>
                <w:noProof/>
                <w:webHidden/>
              </w:rPr>
              <w:tab/>
            </w:r>
            <w:r w:rsidR="008F5159">
              <w:rPr>
                <w:noProof/>
                <w:webHidden/>
              </w:rPr>
              <w:fldChar w:fldCharType="begin"/>
            </w:r>
            <w:r w:rsidR="008F5159">
              <w:rPr>
                <w:noProof/>
                <w:webHidden/>
              </w:rPr>
              <w:instrText xml:space="preserve"> PAGEREF _Toc117512356 \h </w:instrText>
            </w:r>
            <w:r w:rsidR="008F5159">
              <w:rPr>
                <w:noProof/>
                <w:webHidden/>
              </w:rPr>
            </w:r>
            <w:r w:rsidR="008F5159">
              <w:rPr>
                <w:noProof/>
                <w:webHidden/>
              </w:rPr>
              <w:fldChar w:fldCharType="separate"/>
            </w:r>
            <w:r w:rsidR="008F5159">
              <w:rPr>
                <w:noProof/>
                <w:webHidden/>
              </w:rPr>
              <w:t>53</w:t>
            </w:r>
            <w:r w:rsidR="008F5159">
              <w:rPr>
                <w:noProof/>
                <w:webHidden/>
              </w:rPr>
              <w:fldChar w:fldCharType="end"/>
            </w:r>
          </w:hyperlink>
        </w:p>
        <w:p w14:paraId="0CCC902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7" w:history="1">
            <w:r w:rsidR="008F5159" w:rsidRPr="00F86CA9">
              <w:rPr>
                <w:rStyle w:val="Hyperlink"/>
                <w:noProof/>
              </w:rPr>
              <w:t>3.8 Continuing Deliberations After Juror is Discharged</w:t>
            </w:r>
            <w:r w:rsidR="008F5159">
              <w:rPr>
                <w:noProof/>
                <w:webHidden/>
              </w:rPr>
              <w:tab/>
            </w:r>
            <w:r w:rsidR="008F5159">
              <w:rPr>
                <w:noProof/>
                <w:webHidden/>
              </w:rPr>
              <w:fldChar w:fldCharType="begin"/>
            </w:r>
            <w:r w:rsidR="008F5159">
              <w:rPr>
                <w:noProof/>
                <w:webHidden/>
              </w:rPr>
              <w:instrText xml:space="preserve"> PAGEREF _Toc117512357 \h </w:instrText>
            </w:r>
            <w:r w:rsidR="008F5159">
              <w:rPr>
                <w:noProof/>
                <w:webHidden/>
              </w:rPr>
            </w:r>
            <w:r w:rsidR="008F5159">
              <w:rPr>
                <w:noProof/>
                <w:webHidden/>
              </w:rPr>
              <w:fldChar w:fldCharType="separate"/>
            </w:r>
            <w:r w:rsidR="008F5159">
              <w:rPr>
                <w:noProof/>
                <w:webHidden/>
              </w:rPr>
              <w:t>54</w:t>
            </w:r>
            <w:r w:rsidR="008F5159">
              <w:rPr>
                <w:noProof/>
                <w:webHidden/>
              </w:rPr>
              <w:fldChar w:fldCharType="end"/>
            </w:r>
          </w:hyperlink>
        </w:p>
        <w:p w14:paraId="1EC2058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58" w:history="1">
            <w:r w:rsidR="008F5159" w:rsidRPr="00F86CA9">
              <w:rPr>
                <w:rStyle w:val="Hyperlink"/>
                <w:noProof/>
              </w:rPr>
              <w:t>3.9 Post-Discharge Instruction</w:t>
            </w:r>
            <w:r w:rsidR="008F5159">
              <w:rPr>
                <w:noProof/>
                <w:webHidden/>
              </w:rPr>
              <w:tab/>
            </w:r>
            <w:r w:rsidR="008F5159">
              <w:rPr>
                <w:noProof/>
                <w:webHidden/>
              </w:rPr>
              <w:fldChar w:fldCharType="begin"/>
            </w:r>
            <w:r w:rsidR="008F5159">
              <w:rPr>
                <w:noProof/>
                <w:webHidden/>
              </w:rPr>
              <w:instrText xml:space="preserve"> PAGEREF _Toc117512358 \h </w:instrText>
            </w:r>
            <w:r w:rsidR="008F5159">
              <w:rPr>
                <w:noProof/>
                <w:webHidden/>
              </w:rPr>
            </w:r>
            <w:r w:rsidR="008F5159">
              <w:rPr>
                <w:noProof/>
                <w:webHidden/>
              </w:rPr>
              <w:fldChar w:fldCharType="separate"/>
            </w:r>
            <w:r w:rsidR="008F5159">
              <w:rPr>
                <w:noProof/>
                <w:webHidden/>
              </w:rPr>
              <w:t>55</w:t>
            </w:r>
            <w:r w:rsidR="008F5159">
              <w:rPr>
                <w:noProof/>
                <w:webHidden/>
              </w:rPr>
              <w:fldChar w:fldCharType="end"/>
            </w:r>
          </w:hyperlink>
        </w:p>
        <w:p w14:paraId="1459CC3B" w14:textId="77777777" w:rsidR="008F5159" w:rsidRDefault="00703520" w:rsidP="00340019">
          <w:pPr>
            <w:pStyle w:val="TOC1"/>
            <w:rPr>
              <w:rFonts w:asciiTheme="minorHAnsi" w:eastAsiaTheme="minorEastAsia" w:hAnsiTheme="minorHAnsi"/>
              <w:noProof/>
              <w:sz w:val="22"/>
            </w:rPr>
          </w:pPr>
          <w:hyperlink w:anchor="_Toc117512359" w:history="1">
            <w:r w:rsidR="008F5159" w:rsidRPr="00F86CA9">
              <w:rPr>
                <w:rStyle w:val="Hyperlink"/>
                <w:noProof/>
              </w:rPr>
              <w:t>4.  AGENCY</w:t>
            </w:r>
            <w:r w:rsidR="008F5159">
              <w:rPr>
                <w:noProof/>
                <w:webHidden/>
              </w:rPr>
              <w:tab/>
            </w:r>
            <w:r w:rsidR="008F5159">
              <w:rPr>
                <w:noProof/>
                <w:webHidden/>
              </w:rPr>
              <w:fldChar w:fldCharType="begin"/>
            </w:r>
            <w:r w:rsidR="008F5159">
              <w:rPr>
                <w:noProof/>
                <w:webHidden/>
              </w:rPr>
              <w:instrText xml:space="preserve"> PAGEREF _Toc117512359 \h </w:instrText>
            </w:r>
            <w:r w:rsidR="008F5159">
              <w:rPr>
                <w:noProof/>
                <w:webHidden/>
              </w:rPr>
            </w:r>
            <w:r w:rsidR="008F5159">
              <w:rPr>
                <w:noProof/>
                <w:webHidden/>
              </w:rPr>
              <w:fldChar w:fldCharType="separate"/>
            </w:r>
            <w:r w:rsidR="008F5159">
              <w:rPr>
                <w:noProof/>
                <w:webHidden/>
              </w:rPr>
              <w:t>56</w:t>
            </w:r>
            <w:r w:rsidR="008F5159">
              <w:rPr>
                <w:noProof/>
                <w:webHidden/>
              </w:rPr>
              <w:fldChar w:fldCharType="end"/>
            </w:r>
          </w:hyperlink>
          <w:r w:rsidR="008F5159">
            <w:rPr>
              <w:rFonts w:asciiTheme="minorHAnsi" w:eastAsiaTheme="minorEastAsia" w:hAnsiTheme="minorHAnsi"/>
              <w:noProof/>
              <w:sz w:val="22"/>
            </w:rPr>
            <w:br/>
          </w:r>
          <w:hyperlink w:anchor="_Toc117512360"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_Toc117512360 \h </w:instrText>
            </w:r>
            <w:r w:rsidR="008F5159">
              <w:rPr>
                <w:noProof/>
                <w:webHidden/>
              </w:rPr>
            </w:r>
            <w:r w:rsidR="008F5159">
              <w:rPr>
                <w:noProof/>
                <w:webHidden/>
              </w:rPr>
              <w:fldChar w:fldCharType="separate"/>
            </w:r>
            <w:r w:rsidR="008F5159">
              <w:rPr>
                <w:noProof/>
                <w:webHidden/>
              </w:rPr>
              <w:t>56</w:t>
            </w:r>
            <w:r w:rsidR="008F5159">
              <w:rPr>
                <w:noProof/>
                <w:webHidden/>
              </w:rPr>
              <w:fldChar w:fldCharType="end"/>
            </w:r>
          </w:hyperlink>
        </w:p>
        <w:p w14:paraId="53FCA6E9"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1" w:history="1">
            <w:r w:rsidR="008F5159" w:rsidRPr="00F86CA9">
              <w:rPr>
                <w:rStyle w:val="Hyperlink"/>
                <w:noProof/>
              </w:rPr>
              <w:t>4.1 Corporations and Partnerships—Fair Treatment</w:t>
            </w:r>
            <w:r w:rsidR="008F5159">
              <w:rPr>
                <w:noProof/>
                <w:webHidden/>
              </w:rPr>
              <w:tab/>
            </w:r>
            <w:r w:rsidR="008F5159">
              <w:rPr>
                <w:noProof/>
                <w:webHidden/>
              </w:rPr>
              <w:fldChar w:fldCharType="begin"/>
            </w:r>
            <w:r w:rsidR="008F5159">
              <w:rPr>
                <w:noProof/>
                <w:webHidden/>
              </w:rPr>
              <w:instrText xml:space="preserve"> PAGEREF _Toc117512361 \h </w:instrText>
            </w:r>
            <w:r w:rsidR="008F5159">
              <w:rPr>
                <w:noProof/>
                <w:webHidden/>
              </w:rPr>
            </w:r>
            <w:r w:rsidR="008F5159">
              <w:rPr>
                <w:noProof/>
                <w:webHidden/>
              </w:rPr>
              <w:fldChar w:fldCharType="separate"/>
            </w:r>
            <w:r w:rsidR="008F5159">
              <w:rPr>
                <w:noProof/>
                <w:webHidden/>
              </w:rPr>
              <w:t>57</w:t>
            </w:r>
            <w:r w:rsidR="008F5159">
              <w:rPr>
                <w:noProof/>
                <w:webHidden/>
              </w:rPr>
              <w:fldChar w:fldCharType="end"/>
            </w:r>
          </w:hyperlink>
        </w:p>
        <w:p w14:paraId="1E9C0A52"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2" w:history="1">
            <w:r w:rsidR="008F5159" w:rsidRPr="00F86CA9">
              <w:rPr>
                <w:rStyle w:val="Hyperlink"/>
                <w:noProof/>
              </w:rPr>
              <w:t>4.2 Liability of Corporations—Scope of Authority Not in Issue</w:t>
            </w:r>
            <w:r w:rsidR="008F5159">
              <w:rPr>
                <w:noProof/>
                <w:webHidden/>
              </w:rPr>
              <w:tab/>
            </w:r>
            <w:r w:rsidR="008F5159">
              <w:rPr>
                <w:noProof/>
                <w:webHidden/>
              </w:rPr>
              <w:fldChar w:fldCharType="begin"/>
            </w:r>
            <w:r w:rsidR="008F5159">
              <w:rPr>
                <w:noProof/>
                <w:webHidden/>
              </w:rPr>
              <w:instrText xml:space="preserve"> PAGEREF _Toc117512362 \h </w:instrText>
            </w:r>
            <w:r w:rsidR="008F5159">
              <w:rPr>
                <w:noProof/>
                <w:webHidden/>
              </w:rPr>
            </w:r>
            <w:r w:rsidR="008F5159">
              <w:rPr>
                <w:noProof/>
                <w:webHidden/>
              </w:rPr>
              <w:fldChar w:fldCharType="separate"/>
            </w:r>
            <w:r w:rsidR="008F5159">
              <w:rPr>
                <w:noProof/>
                <w:webHidden/>
              </w:rPr>
              <w:t>58</w:t>
            </w:r>
            <w:r w:rsidR="008F5159">
              <w:rPr>
                <w:noProof/>
                <w:webHidden/>
              </w:rPr>
              <w:fldChar w:fldCharType="end"/>
            </w:r>
          </w:hyperlink>
        </w:p>
        <w:p w14:paraId="63449ED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3" w:history="1">
            <w:r w:rsidR="008F5159" w:rsidRPr="00F86CA9">
              <w:rPr>
                <w:rStyle w:val="Hyperlink"/>
                <w:noProof/>
              </w:rPr>
              <w:t>4.3 Liability of Partnerships—Scope of Authority Not in Issue</w:t>
            </w:r>
            <w:r w:rsidR="008F5159">
              <w:rPr>
                <w:noProof/>
                <w:webHidden/>
              </w:rPr>
              <w:tab/>
            </w:r>
            <w:r w:rsidR="008F5159">
              <w:rPr>
                <w:noProof/>
                <w:webHidden/>
              </w:rPr>
              <w:fldChar w:fldCharType="begin"/>
            </w:r>
            <w:r w:rsidR="008F5159">
              <w:rPr>
                <w:noProof/>
                <w:webHidden/>
              </w:rPr>
              <w:instrText xml:space="preserve"> PAGEREF _Toc117512363 \h </w:instrText>
            </w:r>
            <w:r w:rsidR="008F5159">
              <w:rPr>
                <w:noProof/>
                <w:webHidden/>
              </w:rPr>
            </w:r>
            <w:r w:rsidR="008F5159">
              <w:rPr>
                <w:noProof/>
                <w:webHidden/>
              </w:rPr>
              <w:fldChar w:fldCharType="separate"/>
            </w:r>
            <w:r w:rsidR="008F5159">
              <w:rPr>
                <w:noProof/>
                <w:webHidden/>
              </w:rPr>
              <w:t>59</w:t>
            </w:r>
            <w:r w:rsidR="008F5159">
              <w:rPr>
                <w:noProof/>
                <w:webHidden/>
              </w:rPr>
              <w:fldChar w:fldCharType="end"/>
            </w:r>
          </w:hyperlink>
        </w:p>
        <w:p w14:paraId="5A8D8626"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4" w:history="1">
            <w:r w:rsidR="008F5159" w:rsidRPr="00F86CA9">
              <w:rPr>
                <w:rStyle w:val="Hyperlink"/>
                <w:noProof/>
              </w:rPr>
              <w:t>4.4 Agent and Principal—Definition</w:t>
            </w:r>
            <w:r w:rsidR="008F5159">
              <w:rPr>
                <w:noProof/>
                <w:webHidden/>
              </w:rPr>
              <w:tab/>
            </w:r>
            <w:r w:rsidR="008F5159">
              <w:rPr>
                <w:noProof/>
                <w:webHidden/>
              </w:rPr>
              <w:fldChar w:fldCharType="begin"/>
            </w:r>
            <w:r w:rsidR="008F5159">
              <w:rPr>
                <w:noProof/>
                <w:webHidden/>
              </w:rPr>
              <w:instrText xml:space="preserve"> PAGEREF _Toc117512364 \h </w:instrText>
            </w:r>
            <w:r w:rsidR="008F5159">
              <w:rPr>
                <w:noProof/>
                <w:webHidden/>
              </w:rPr>
            </w:r>
            <w:r w:rsidR="008F5159">
              <w:rPr>
                <w:noProof/>
                <w:webHidden/>
              </w:rPr>
              <w:fldChar w:fldCharType="separate"/>
            </w:r>
            <w:r w:rsidR="008F5159">
              <w:rPr>
                <w:noProof/>
                <w:webHidden/>
              </w:rPr>
              <w:t>60</w:t>
            </w:r>
            <w:r w:rsidR="008F5159">
              <w:rPr>
                <w:noProof/>
                <w:webHidden/>
              </w:rPr>
              <w:fldChar w:fldCharType="end"/>
            </w:r>
          </w:hyperlink>
        </w:p>
        <w:p w14:paraId="026051ED"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5" w:history="1">
            <w:r w:rsidR="008F5159" w:rsidRPr="00F86CA9">
              <w:rPr>
                <w:rStyle w:val="Hyperlink"/>
                <w:noProof/>
              </w:rPr>
              <w:t>4.5 Agent—Scope of Authority Defined</w:t>
            </w:r>
            <w:r w:rsidR="008F5159">
              <w:rPr>
                <w:noProof/>
                <w:webHidden/>
              </w:rPr>
              <w:tab/>
            </w:r>
            <w:r w:rsidR="008F5159">
              <w:rPr>
                <w:noProof/>
                <w:webHidden/>
              </w:rPr>
              <w:fldChar w:fldCharType="begin"/>
            </w:r>
            <w:r w:rsidR="008F5159">
              <w:rPr>
                <w:noProof/>
                <w:webHidden/>
              </w:rPr>
              <w:instrText xml:space="preserve"> PAGEREF _Toc117512365 \h </w:instrText>
            </w:r>
            <w:r w:rsidR="008F5159">
              <w:rPr>
                <w:noProof/>
                <w:webHidden/>
              </w:rPr>
            </w:r>
            <w:r w:rsidR="008F5159">
              <w:rPr>
                <w:noProof/>
                <w:webHidden/>
              </w:rPr>
              <w:fldChar w:fldCharType="separate"/>
            </w:r>
            <w:r w:rsidR="008F5159">
              <w:rPr>
                <w:noProof/>
                <w:webHidden/>
              </w:rPr>
              <w:t>61</w:t>
            </w:r>
            <w:r w:rsidR="008F5159">
              <w:rPr>
                <w:noProof/>
                <w:webHidden/>
              </w:rPr>
              <w:fldChar w:fldCharType="end"/>
            </w:r>
          </w:hyperlink>
        </w:p>
        <w:p w14:paraId="443396B6"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6" w:history="1">
            <w:r w:rsidR="008F5159" w:rsidRPr="00F86CA9">
              <w:rPr>
                <w:rStyle w:val="Hyperlink"/>
                <w:noProof/>
              </w:rPr>
              <w:t>4.6 Apparent Agency</w:t>
            </w:r>
            <w:r w:rsidR="008F5159">
              <w:rPr>
                <w:noProof/>
                <w:webHidden/>
              </w:rPr>
              <w:tab/>
            </w:r>
            <w:r w:rsidR="008F5159">
              <w:rPr>
                <w:noProof/>
                <w:webHidden/>
              </w:rPr>
              <w:fldChar w:fldCharType="begin"/>
            </w:r>
            <w:r w:rsidR="008F5159">
              <w:rPr>
                <w:noProof/>
                <w:webHidden/>
              </w:rPr>
              <w:instrText xml:space="preserve"> PAGEREF _Toc117512366 \h </w:instrText>
            </w:r>
            <w:r w:rsidR="008F5159">
              <w:rPr>
                <w:noProof/>
                <w:webHidden/>
              </w:rPr>
            </w:r>
            <w:r w:rsidR="008F5159">
              <w:rPr>
                <w:noProof/>
                <w:webHidden/>
              </w:rPr>
              <w:fldChar w:fldCharType="separate"/>
            </w:r>
            <w:r w:rsidR="008F5159">
              <w:rPr>
                <w:noProof/>
                <w:webHidden/>
              </w:rPr>
              <w:t>62</w:t>
            </w:r>
            <w:r w:rsidR="008F5159">
              <w:rPr>
                <w:noProof/>
                <w:webHidden/>
              </w:rPr>
              <w:fldChar w:fldCharType="end"/>
            </w:r>
          </w:hyperlink>
        </w:p>
        <w:p w14:paraId="0A29A50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7" w:history="1">
            <w:r w:rsidR="008F5159" w:rsidRPr="00F86CA9">
              <w:rPr>
                <w:rStyle w:val="Hyperlink"/>
                <w:noProof/>
              </w:rPr>
              <w:t>4.7 Ratification</w:t>
            </w:r>
            <w:r w:rsidR="008F5159">
              <w:rPr>
                <w:noProof/>
                <w:webHidden/>
              </w:rPr>
              <w:tab/>
            </w:r>
            <w:r w:rsidR="008F5159">
              <w:rPr>
                <w:noProof/>
                <w:webHidden/>
              </w:rPr>
              <w:fldChar w:fldCharType="begin"/>
            </w:r>
            <w:r w:rsidR="008F5159">
              <w:rPr>
                <w:noProof/>
                <w:webHidden/>
              </w:rPr>
              <w:instrText xml:space="preserve"> PAGEREF _Toc117512367 \h </w:instrText>
            </w:r>
            <w:r w:rsidR="008F5159">
              <w:rPr>
                <w:noProof/>
                <w:webHidden/>
              </w:rPr>
            </w:r>
            <w:r w:rsidR="008F5159">
              <w:rPr>
                <w:noProof/>
                <w:webHidden/>
              </w:rPr>
              <w:fldChar w:fldCharType="separate"/>
            </w:r>
            <w:r w:rsidR="008F5159">
              <w:rPr>
                <w:noProof/>
                <w:webHidden/>
              </w:rPr>
              <w:t>63</w:t>
            </w:r>
            <w:r w:rsidR="008F5159">
              <w:rPr>
                <w:noProof/>
                <w:webHidden/>
              </w:rPr>
              <w:fldChar w:fldCharType="end"/>
            </w:r>
          </w:hyperlink>
        </w:p>
        <w:p w14:paraId="7AABDC85"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8" w:history="1">
            <w:r w:rsidR="008F5159" w:rsidRPr="00F86CA9">
              <w:rPr>
                <w:rStyle w:val="Hyperlink"/>
                <w:noProof/>
              </w:rPr>
              <w:t>4.8 Act of Agent is Act of Principal—Scope of Authority Not in Issue</w:t>
            </w:r>
            <w:r w:rsidR="008F5159">
              <w:rPr>
                <w:noProof/>
                <w:webHidden/>
              </w:rPr>
              <w:tab/>
            </w:r>
            <w:r w:rsidR="008F5159">
              <w:rPr>
                <w:noProof/>
                <w:webHidden/>
              </w:rPr>
              <w:fldChar w:fldCharType="begin"/>
            </w:r>
            <w:r w:rsidR="008F5159">
              <w:rPr>
                <w:noProof/>
                <w:webHidden/>
              </w:rPr>
              <w:instrText xml:space="preserve"> PAGEREF _Toc117512368 \h </w:instrText>
            </w:r>
            <w:r w:rsidR="008F5159">
              <w:rPr>
                <w:noProof/>
                <w:webHidden/>
              </w:rPr>
            </w:r>
            <w:r w:rsidR="008F5159">
              <w:rPr>
                <w:noProof/>
                <w:webHidden/>
              </w:rPr>
              <w:fldChar w:fldCharType="separate"/>
            </w:r>
            <w:r w:rsidR="008F5159">
              <w:rPr>
                <w:noProof/>
                <w:webHidden/>
              </w:rPr>
              <w:t>64</w:t>
            </w:r>
            <w:r w:rsidR="008F5159">
              <w:rPr>
                <w:noProof/>
                <w:webHidden/>
              </w:rPr>
              <w:fldChar w:fldCharType="end"/>
            </w:r>
          </w:hyperlink>
        </w:p>
        <w:p w14:paraId="2E37CD42" w14:textId="77777777" w:rsidR="008F5159" w:rsidRDefault="00703520" w:rsidP="00BC4302">
          <w:pPr>
            <w:pStyle w:val="TOC2"/>
            <w:spacing w:before="40" w:afterLines="40" w:after="96"/>
            <w:rPr>
              <w:rFonts w:asciiTheme="minorHAnsi" w:eastAsiaTheme="minorEastAsia" w:hAnsiTheme="minorHAnsi"/>
              <w:noProof/>
              <w:sz w:val="22"/>
            </w:rPr>
          </w:pPr>
          <w:hyperlink w:anchor="_Toc117512369" w:history="1">
            <w:r w:rsidR="008F5159" w:rsidRPr="00F86CA9">
              <w:rPr>
                <w:rStyle w:val="Hyperlink"/>
                <w:noProof/>
              </w:rPr>
              <w:t>4.9 Both Principal and Agent Sued—No Issue as to Agency or Authority</w:t>
            </w:r>
            <w:r w:rsidR="008F5159">
              <w:rPr>
                <w:noProof/>
                <w:webHidden/>
              </w:rPr>
              <w:tab/>
            </w:r>
            <w:r w:rsidR="008F5159">
              <w:rPr>
                <w:noProof/>
                <w:webHidden/>
              </w:rPr>
              <w:fldChar w:fldCharType="begin"/>
            </w:r>
            <w:r w:rsidR="008F5159">
              <w:rPr>
                <w:noProof/>
                <w:webHidden/>
              </w:rPr>
              <w:instrText xml:space="preserve"> PAGEREF _Toc117512369 \h </w:instrText>
            </w:r>
            <w:r w:rsidR="008F5159">
              <w:rPr>
                <w:noProof/>
                <w:webHidden/>
              </w:rPr>
            </w:r>
            <w:r w:rsidR="008F5159">
              <w:rPr>
                <w:noProof/>
                <w:webHidden/>
              </w:rPr>
              <w:fldChar w:fldCharType="separate"/>
            </w:r>
            <w:r w:rsidR="008F5159">
              <w:rPr>
                <w:noProof/>
                <w:webHidden/>
              </w:rPr>
              <w:t>65</w:t>
            </w:r>
            <w:r w:rsidR="008F5159">
              <w:rPr>
                <w:noProof/>
                <w:webHidden/>
              </w:rPr>
              <w:fldChar w:fldCharType="end"/>
            </w:r>
          </w:hyperlink>
        </w:p>
        <w:p w14:paraId="2DCA2908"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0" w:history="1">
            <w:r w:rsidR="008F5159" w:rsidRPr="00F86CA9">
              <w:rPr>
                <w:rStyle w:val="Hyperlink"/>
                <w:noProof/>
              </w:rPr>
              <w:t>4.10 Principal Sued but Not Agent—No Issue as to Agency or Authority</w:t>
            </w:r>
            <w:r w:rsidR="008F5159">
              <w:rPr>
                <w:noProof/>
                <w:webHidden/>
              </w:rPr>
              <w:tab/>
            </w:r>
            <w:r w:rsidR="008F5159">
              <w:rPr>
                <w:noProof/>
                <w:webHidden/>
              </w:rPr>
              <w:fldChar w:fldCharType="begin"/>
            </w:r>
            <w:r w:rsidR="008F5159">
              <w:rPr>
                <w:noProof/>
                <w:webHidden/>
              </w:rPr>
              <w:instrText xml:space="preserve"> PAGEREF _Toc117512370 \h </w:instrText>
            </w:r>
            <w:r w:rsidR="008F5159">
              <w:rPr>
                <w:noProof/>
                <w:webHidden/>
              </w:rPr>
            </w:r>
            <w:r w:rsidR="008F5159">
              <w:rPr>
                <w:noProof/>
                <w:webHidden/>
              </w:rPr>
              <w:fldChar w:fldCharType="separate"/>
            </w:r>
            <w:r w:rsidR="008F5159">
              <w:rPr>
                <w:noProof/>
                <w:webHidden/>
              </w:rPr>
              <w:t>66</w:t>
            </w:r>
            <w:r w:rsidR="008F5159">
              <w:rPr>
                <w:noProof/>
                <w:webHidden/>
              </w:rPr>
              <w:fldChar w:fldCharType="end"/>
            </w:r>
          </w:hyperlink>
        </w:p>
        <w:p w14:paraId="3F94D965"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1" w:history="1">
            <w:r w:rsidR="008F5159" w:rsidRPr="00F86CA9">
              <w:rPr>
                <w:rStyle w:val="Hyperlink"/>
                <w:noProof/>
              </w:rPr>
              <w:t>4.11 Both Principal and Agent Sued—Agency or Authority Denied</w:t>
            </w:r>
            <w:r w:rsidR="008F5159">
              <w:rPr>
                <w:noProof/>
                <w:webHidden/>
              </w:rPr>
              <w:tab/>
            </w:r>
            <w:r w:rsidR="008F5159">
              <w:rPr>
                <w:noProof/>
                <w:webHidden/>
              </w:rPr>
              <w:fldChar w:fldCharType="begin"/>
            </w:r>
            <w:r w:rsidR="008F5159">
              <w:rPr>
                <w:noProof/>
                <w:webHidden/>
              </w:rPr>
              <w:instrText xml:space="preserve"> PAGEREF _Toc117512371 \h </w:instrText>
            </w:r>
            <w:r w:rsidR="008F5159">
              <w:rPr>
                <w:noProof/>
                <w:webHidden/>
              </w:rPr>
            </w:r>
            <w:r w:rsidR="008F5159">
              <w:rPr>
                <w:noProof/>
                <w:webHidden/>
              </w:rPr>
              <w:fldChar w:fldCharType="separate"/>
            </w:r>
            <w:r w:rsidR="008F5159">
              <w:rPr>
                <w:noProof/>
                <w:webHidden/>
              </w:rPr>
              <w:t>67</w:t>
            </w:r>
            <w:r w:rsidR="008F5159">
              <w:rPr>
                <w:noProof/>
                <w:webHidden/>
              </w:rPr>
              <w:fldChar w:fldCharType="end"/>
            </w:r>
          </w:hyperlink>
        </w:p>
        <w:p w14:paraId="4C64C817"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2" w:history="1">
            <w:r w:rsidR="008F5159" w:rsidRPr="00F86CA9">
              <w:rPr>
                <w:rStyle w:val="Hyperlink"/>
                <w:noProof/>
              </w:rPr>
              <w:t>4.12 Principal Sued but Not Agent—Agency or Authority Denied</w:t>
            </w:r>
            <w:r w:rsidR="008F5159">
              <w:rPr>
                <w:noProof/>
                <w:webHidden/>
              </w:rPr>
              <w:tab/>
            </w:r>
            <w:r w:rsidR="008F5159">
              <w:rPr>
                <w:noProof/>
                <w:webHidden/>
              </w:rPr>
              <w:fldChar w:fldCharType="begin"/>
            </w:r>
            <w:r w:rsidR="008F5159">
              <w:rPr>
                <w:noProof/>
                <w:webHidden/>
              </w:rPr>
              <w:instrText xml:space="preserve"> PAGEREF _Toc117512372 \h </w:instrText>
            </w:r>
            <w:r w:rsidR="008F5159">
              <w:rPr>
                <w:noProof/>
                <w:webHidden/>
              </w:rPr>
            </w:r>
            <w:r w:rsidR="008F5159">
              <w:rPr>
                <w:noProof/>
                <w:webHidden/>
              </w:rPr>
              <w:fldChar w:fldCharType="separate"/>
            </w:r>
            <w:r w:rsidR="008F5159">
              <w:rPr>
                <w:noProof/>
                <w:webHidden/>
              </w:rPr>
              <w:t>68</w:t>
            </w:r>
            <w:r w:rsidR="008F5159">
              <w:rPr>
                <w:noProof/>
                <w:webHidden/>
              </w:rPr>
              <w:fldChar w:fldCharType="end"/>
            </w:r>
          </w:hyperlink>
        </w:p>
        <w:p w14:paraId="515CF05F"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3" w:history="1">
            <w:r w:rsidR="008F5159" w:rsidRPr="00F86CA9">
              <w:rPr>
                <w:rStyle w:val="Hyperlink"/>
                <w:noProof/>
              </w:rPr>
              <w:t>4.13 Adverse Interest Exception</w:t>
            </w:r>
            <w:r w:rsidR="008F5159">
              <w:rPr>
                <w:noProof/>
                <w:webHidden/>
              </w:rPr>
              <w:tab/>
            </w:r>
            <w:r w:rsidR="008F5159">
              <w:rPr>
                <w:noProof/>
                <w:webHidden/>
              </w:rPr>
              <w:fldChar w:fldCharType="begin"/>
            </w:r>
            <w:r w:rsidR="008F5159">
              <w:rPr>
                <w:noProof/>
                <w:webHidden/>
              </w:rPr>
              <w:instrText xml:space="preserve"> PAGEREF _Toc117512373 \h </w:instrText>
            </w:r>
            <w:r w:rsidR="008F5159">
              <w:rPr>
                <w:noProof/>
                <w:webHidden/>
              </w:rPr>
            </w:r>
            <w:r w:rsidR="008F5159">
              <w:rPr>
                <w:noProof/>
                <w:webHidden/>
              </w:rPr>
              <w:fldChar w:fldCharType="separate"/>
            </w:r>
            <w:r w:rsidR="008F5159">
              <w:rPr>
                <w:noProof/>
                <w:webHidden/>
              </w:rPr>
              <w:t>69</w:t>
            </w:r>
            <w:r w:rsidR="008F5159">
              <w:rPr>
                <w:noProof/>
                <w:webHidden/>
              </w:rPr>
              <w:fldChar w:fldCharType="end"/>
            </w:r>
          </w:hyperlink>
        </w:p>
        <w:p w14:paraId="757E5A6E"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4" w:history="1">
            <w:r w:rsidR="008F5159" w:rsidRPr="00F86CA9">
              <w:rPr>
                <w:rStyle w:val="Hyperlink"/>
                <w:noProof/>
              </w:rPr>
              <w:t>4.14 Independent Contractor—Definition</w:t>
            </w:r>
            <w:r w:rsidR="008F5159">
              <w:rPr>
                <w:noProof/>
                <w:webHidden/>
              </w:rPr>
              <w:tab/>
            </w:r>
            <w:r w:rsidR="008F5159">
              <w:rPr>
                <w:noProof/>
                <w:webHidden/>
              </w:rPr>
              <w:fldChar w:fldCharType="begin"/>
            </w:r>
            <w:r w:rsidR="008F5159">
              <w:rPr>
                <w:noProof/>
                <w:webHidden/>
              </w:rPr>
              <w:instrText xml:space="preserve"> PAGEREF _Toc117512374 \h </w:instrText>
            </w:r>
            <w:r w:rsidR="008F5159">
              <w:rPr>
                <w:noProof/>
                <w:webHidden/>
              </w:rPr>
            </w:r>
            <w:r w:rsidR="008F5159">
              <w:rPr>
                <w:noProof/>
                <w:webHidden/>
              </w:rPr>
              <w:fldChar w:fldCharType="separate"/>
            </w:r>
            <w:r w:rsidR="008F5159">
              <w:rPr>
                <w:noProof/>
                <w:webHidden/>
              </w:rPr>
              <w:t>70</w:t>
            </w:r>
            <w:r w:rsidR="008F5159">
              <w:rPr>
                <w:noProof/>
                <w:webHidden/>
              </w:rPr>
              <w:fldChar w:fldCharType="end"/>
            </w:r>
          </w:hyperlink>
        </w:p>
        <w:p w14:paraId="0B6019B6"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5" w:history="1">
            <w:r w:rsidR="008F5159" w:rsidRPr="00F86CA9">
              <w:rPr>
                <w:rStyle w:val="Hyperlink"/>
                <w:noProof/>
              </w:rPr>
              <w:t>4.15 General Partnership—Definition</w:t>
            </w:r>
            <w:r w:rsidR="008F5159">
              <w:rPr>
                <w:noProof/>
                <w:webHidden/>
              </w:rPr>
              <w:tab/>
            </w:r>
            <w:r w:rsidR="008F5159">
              <w:rPr>
                <w:noProof/>
                <w:webHidden/>
              </w:rPr>
              <w:fldChar w:fldCharType="begin"/>
            </w:r>
            <w:r w:rsidR="008F5159">
              <w:rPr>
                <w:noProof/>
                <w:webHidden/>
              </w:rPr>
              <w:instrText xml:space="preserve"> PAGEREF _Toc117512375 \h </w:instrText>
            </w:r>
            <w:r w:rsidR="008F5159">
              <w:rPr>
                <w:noProof/>
                <w:webHidden/>
              </w:rPr>
            </w:r>
            <w:r w:rsidR="008F5159">
              <w:rPr>
                <w:noProof/>
                <w:webHidden/>
              </w:rPr>
              <w:fldChar w:fldCharType="separate"/>
            </w:r>
            <w:r w:rsidR="008F5159">
              <w:rPr>
                <w:noProof/>
                <w:webHidden/>
              </w:rPr>
              <w:t>71</w:t>
            </w:r>
            <w:r w:rsidR="008F5159">
              <w:rPr>
                <w:noProof/>
                <w:webHidden/>
              </w:rPr>
              <w:fldChar w:fldCharType="end"/>
            </w:r>
          </w:hyperlink>
        </w:p>
        <w:p w14:paraId="00C71664"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6" w:history="1">
            <w:r w:rsidR="008F5159" w:rsidRPr="00F86CA9">
              <w:rPr>
                <w:rStyle w:val="Hyperlink"/>
                <w:noProof/>
              </w:rPr>
              <w:t>4.16 General Partnership—Scope of Partnership Business Defined</w:t>
            </w:r>
            <w:r w:rsidR="008F5159">
              <w:rPr>
                <w:noProof/>
                <w:webHidden/>
              </w:rPr>
              <w:tab/>
            </w:r>
            <w:r w:rsidR="008F5159">
              <w:rPr>
                <w:noProof/>
                <w:webHidden/>
              </w:rPr>
              <w:fldChar w:fldCharType="begin"/>
            </w:r>
            <w:r w:rsidR="008F5159">
              <w:rPr>
                <w:noProof/>
                <w:webHidden/>
              </w:rPr>
              <w:instrText xml:space="preserve"> PAGEREF _Toc117512376 \h </w:instrText>
            </w:r>
            <w:r w:rsidR="008F5159">
              <w:rPr>
                <w:noProof/>
                <w:webHidden/>
              </w:rPr>
            </w:r>
            <w:r w:rsidR="008F5159">
              <w:rPr>
                <w:noProof/>
                <w:webHidden/>
              </w:rPr>
              <w:fldChar w:fldCharType="separate"/>
            </w:r>
            <w:r w:rsidR="008F5159">
              <w:rPr>
                <w:noProof/>
                <w:webHidden/>
              </w:rPr>
              <w:t>72</w:t>
            </w:r>
            <w:r w:rsidR="008F5159">
              <w:rPr>
                <w:noProof/>
                <w:webHidden/>
              </w:rPr>
              <w:fldChar w:fldCharType="end"/>
            </w:r>
          </w:hyperlink>
        </w:p>
        <w:p w14:paraId="70B2A17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7" w:history="1">
            <w:r w:rsidR="008F5159" w:rsidRPr="00F86CA9">
              <w:rPr>
                <w:rStyle w:val="Hyperlink"/>
                <w:noProof/>
              </w:rPr>
              <w:t>4.17 General Partnership—Act of Partner is Act of All Partners</w:t>
            </w:r>
            <w:r w:rsidR="008F5159">
              <w:rPr>
                <w:noProof/>
                <w:webHidden/>
              </w:rPr>
              <w:tab/>
            </w:r>
            <w:r w:rsidR="008F5159">
              <w:rPr>
                <w:noProof/>
                <w:webHidden/>
              </w:rPr>
              <w:fldChar w:fldCharType="begin"/>
            </w:r>
            <w:r w:rsidR="008F5159">
              <w:rPr>
                <w:noProof/>
                <w:webHidden/>
              </w:rPr>
              <w:instrText xml:space="preserve"> PAGEREF _Toc117512377 \h </w:instrText>
            </w:r>
            <w:r w:rsidR="008F5159">
              <w:rPr>
                <w:noProof/>
                <w:webHidden/>
              </w:rPr>
            </w:r>
            <w:r w:rsidR="008F5159">
              <w:rPr>
                <w:noProof/>
                <w:webHidden/>
              </w:rPr>
              <w:fldChar w:fldCharType="separate"/>
            </w:r>
            <w:r w:rsidR="008F5159">
              <w:rPr>
                <w:noProof/>
                <w:webHidden/>
              </w:rPr>
              <w:t>73</w:t>
            </w:r>
            <w:r w:rsidR="008F5159">
              <w:rPr>
                <w:noProof/>
                <w:webHidden/>
              </w:rPr>
              <w:fldChar w:fldCharType="end"/>
            </w:r>
          </w:hyperlink>
        </w:p>
        <w:p w14:paraId="0FE83EDA"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8" w:history="1">
            <w:r w:rsidR="008F5159" w:rsidRPr="00F86CA9">
              <w:rPr>
                <w:rStyle w:val="Hyperlink"/>
                <w:noProof/>
              </w:rPr>
              <w:t>4.18 General Partnership—Liability of Partner—No Issue as to Partnership, Agency, or Scope of Authority</w:t>
            </w:r>
            <w:r w:rsidR="008F5159">
              <w:rPr>
                <w:noProof/>
                <w:webHidden/>
              </w:rPr>
              <w:tab/>
            </w:r>
            <w:r w:rsidR="008F5159">
              <w:rPr>
                <w:noProof/>
                <w:webHidden/>
              </w:rPr>
              <w:fldChar w:fldCharType="begin"/>
            </w:r>
            <w:r w:rsidR="008F5159">
              <w:rPr>
                <w:noProof/>
                <w:webHidden/>
              </w:rPr>
              <w:instrText xml:space="preserve"> PAGEREF _Toc117512378 \h </w:instrText>
            </w:r>
            <w:r w:rsidR="008F5159">
              <w:rPr>
                <w:noProof/>
                <w:webHidden/>
              </w:rPr>
            </w:r>
            <w:r w:rsidR="008F5159">
              <w:rPr>
                <w:noProof/>
                <w:webHidden/>
              </w:rPr>
              <w:fldChar w:fldCharType="separate"/>
            </w:r>
            <w:r w:rsidR="008F5159">
              <w:rPr>
                <w:noProof/>
                <w:webHidden/>
              </w:rPr>
              <w:t>74</w:t>
            </w:r>
            <w:r w:rsidR="008F5159">
              <w:rPr>
                <w:noProof/>
                <w:webHidden/>
              </w:rPr>
              <w:fldChar w:fldCharType="end"/>
            </w:r>
          </w:hyperlink>
        </w:p>
        <w:p w14:paraId="5BBFE545" w14:textId="77777777" w:rsidR="008F5159" w:rsidRDefault="00703520" w:rsidP="00BC4302">
          <w:pPr>
            <w:pStyle w:val="TOC2"/>
            <w:spacing w:before="40" w:afterLines="40" w:after="96"/>
            <w:rPr>
              <w:rFonts w:asciiTheme="minorHAnsi" w:eastAsiaTheme="minorEastAsia" w:hAnsiTheme="minorHAnsi"/>
              <w:noProof/>
              <w:sz w:val="22"/>
            </w:rPr>
          </w:pPr>
          <w:hyperlink w:anchor="_Toc117512379" w:history="1">
            <w:r w:rsidR="008F5159" w:rsidRPr="00F86CA9">
              <w:rPr>
                <w:rStyle w:val="Hyperlink"/>
                <w:noProof/>
              </w:rPr>
              <w:t>4.19 Partnership—Existence Admitted—Scope of Partnership Business in Issue—Effect</w:t>
            </w:r>
            <w:r w:rsidR="008F5159">
              <w:rPr>
                <w:noProof/>
                <w:webHidden/>
              </w:rPr>
              <w:tab/>
            </w:r>
            <w:r w:rsidR="008F5159">
              <w:rPr>
                <w:noProof/>
                <w:webHidden/>
              </w:rPr>
              <w:fldChar w:fldCharType="begin"/>
            </w:r>
            <w:r w:rsidR="008F5159">
              <w:rPr>
                <w:noProof/>
                <w:webHidden/>
              </w:rPr>
              <w:instrText xml:space="preserve"> PAGEREF _Toc117512379 \h </w:instrText>
            </w:r>
            <w:r w:rsidR="008F5159">
              <w:rPr>
                <w:noProof/>
                <w:webHidden/>
              </w:rPr>
            </w:r>
            <w:r w:rsidR="008F5159">
              <w:rPr>
                <w:noProof/>
                <w:webHidden/>
              </w:rPr>
              <w:fldChar w:fldCharType="separate"/>
            </w:r>
            <w:r w:rsidR="008F5159">
              <w:rPr>
                <w:noProof/>
                <w:webHidden/>
              </w:rPr>
              <w:t>75</w:t>
            </w:r>
            <w:r w:rsidR="008F5159">
              <w:rPr>
                <w:noProof/>
                <w:webHidden/>
              </w:rPr>
              <w:fldChar w:fldCharType="end"/>
            </w:r>
          </w:hyperlink>
        </w:p>
        <w:p w14:paraId="6BCB6B1F"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0" w:history="1">
            <w:r w:rsidR="008F5159" w:rsidRPr="00F86CA9">
              <w:rPr>
                <w:rStyle w:val="Hyperlink"/>
                <w:noProof/>
              </w:rPr>
              <w:t>4.20 Partnership—Existence of Partnership in Issue—Effect</w:t>
            </w:r>
            <w:r w:rsidR="008F5159">
              <w:rPr>
                <w:noProof/>
                <w:webHidden/>
              </w:rPr>
              <w:tab/>
            </w:r>
            <w:r w:rsidR="008F5159">
              <w:rPr>
                <w:noProof/>
                <w:webHidden/>
              </w:rPr>
              <w:fldChar w:fldCharType="begin"/>
            </w:r>
            <w:r w:rsidR="008F5159">
              <w:rPr>
                <w:noProof/>
                <w:webHidden/>
              </w:rPr>
              <w:instrText xml:space="preserve"> PAGEREF _Toc117512380 \h </w:instrText>
            </w:r>
            <w:r w:rsidR="008F5159">
              <w:rPr>
                <w:noProof/>
                <w:webHidden/>
              </w:rPr>
            </w:r>
            <w:r w:rsidR="008F5159">
              <w:rPr>
                <w:noProof/>
                <w:webHidden/>
              </w:rPr>
              <w:fldChar w:fldCharType="separate"/>
            </w:r>
            <w:r w:rsidR="008F5159">
              <w:rPr>
                <w:noProof/>
                <w:webHidden/>
              </w:rPr>
              <w:t>76</w:t>
            </w:r>
            <w:r w:rsidR="008F5159">
              <w:rPr>
                <w:noProof/>
                <w:webHidden/>
              </w:rPr>
              <w:fldChar w:fldCharType="end"/>
            </w:r>
          </w:hyperlink>
        </w:p>
        <w:p w14:paraId="75D9630B" w14:textId="77777777" w:rsidR="008F5159" w:rsidRDefault="00703520" w:rsidP="00340019">
          <w:pPr>
            <w:pStyle w:val="TOC1"/>
            <w:rPr>
              <w:rFonts w:asciiTheme="minorHAnsi" w:eastAsiaTheme="minorEastAsia" w:hAnsiTheme="minorHAnsi"/>
              <w:noProof/>
              <w:sz w:val="22"/>
            </w:rPr>
          </w:pPr>
          <w:hyperlink w:anchor="_Toc117512381" w:history="1">
            <w:r w:rsidR="008F5159" w:rsidRPr="00F86CA9">
              <w:rPr>
                <w:rStyle w:val="Hyperlink"/>
                <w:noProof/>
              </w:rPr>
              <w:t>5.  DAMAGES</w:t>
            </w:r>
            <w:r w:rsidR="008F5159">
              <w:rPr>
                <w:noProof/>
                <w:webHidden/>
              </w:rPr>
              <w:tab/>
            </w:r>
            <w:r w:rsidR="008F5159">
              <w:rPr>
                <w:noProof/>
                <w:webHidden/>
              </w:rPr>
              <w:fldChar w:fldCharType="begin"/>
            </w:r>
            <w:r w:rsidR="008F5159">
              <w:rPr>
                <w:noProof/>
                <w:webHidden/>
              </w:rPr>
              <w:instrText xml:space="preserve"> PAGEREF _Toc117512381 \h </w:instrText>
            </w:r>
            <w:r w:rsidR="008F5159">
              <w:rPr>
                <w:noProof/>
                <w:webHidden/>
              </w:rPr>
            </w:r>
            <w:r w:rsidR="008F5159">
              <w:rPr>
                <w:noProof/>
                <w:webHidden/>
              </w:rPr>
              <w:fldChar w:fldCharType="separate"/>
            </w:r>
            <w:r w:rsidR="008F5159">
              <w:rPr>
                <w:noProof/>
                <w:webHidden/>
              </w:rPr>
              <w:t>77</w:t>
            </w:r>
            <w:r w:rsidR="008F5159">
              <w:rPr>
                <w:noProof/>
                <w:webHidden/>
              </w:rPr>
              <w:fldChar w:fldCharType="end"/>
            </w:r>
          </w:hyperlink>
        </w:p>
        <w:p w14:paraId="2FB994A8"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2" w:history="1">
            <w:r w:rsidR="008F5159" w:rsidRPr="00F86CA9">
              <w:rPr>
                <w:rStyle w:val="Hyperlink"/>
                <w:noProof/>
              </w:rPr>
              <w:t>5.1 Damages—Proof</w:t>
            </w:r>
            <w:r w:rsidR="008F5159">
              <w:rPr>
                <w:noProof/>
                <w:webHidden/>
              </w:rPr>
              <w:tab/>
            </w:r>
            <w:r w:rsidR="008F5159">
              <w:rPr>
                <w:noProof/>
                <w:webHidden/>
              </w:rPr>
              <w:fldChar w:fldCharType="begin"/>
            </w:r>
            <w:r w:rsidR="008F5159">
              <w:rPr>
                <w:noProof/>
                <w:webHidden/>
              </w:rPr>
              <w:instrText xml:space="preserve"> PAGEREF _Toc117512382 \h </w:instrText>
            </w:r>
            <w:r w:rsidR="008F5159">
              <w:rPr>
                <w:noProof/>
                <w:webHidden/>
              </w:rPr>
            </w:r>
            <w:r w:rsidR="008F5159">
              <w:rPr>
                <w:noProof/>
                <w:webHidden/>
              </w:rPr>
              <w:fldChar w:fldCharType="separate"/>
            </w:r>
            <w:r w:rsidR="008F5159">
              <w:rPr>
                <w:noProof/>
                <w:webHidden/>
              </w:rPr>
              <w:t>78</w:t>
            </w:r>
            <w:r w:rsidR="008F5159">
              <w:rPr>
                <w:noProof/>
                <w:webHidden/>
              </w:rPr>
              <w:fldChar w:fldCharType="end"/>
            </w:r>
          </w:hyperlink>
        </w:p>
        <w:p w14:paraId="7D88CE04"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3" w:history="1">
            <w:r w:rsidR="008F5159" w:rsidRPr="00F86CA9">
              <w:rPr>
                <w:rStyle w:val="Hyperlink"/>
                <w:noProof/>
              </w:rPr>
              <w:t>5.2 Measures of Types of Damages</w:t>
            </w:r>
            <w:r w:rsidR="008F5159">
              <w:rPr>
                <w:noProof/>
                <w:webHidden/>
              </w:rPr>
              <w:tab/>
            </w:r>
            <w:r w:rsidR="008F5159">
              <w:rPr>
                <w:noProof/>
                <w:webHidden/>
              </w:rPr>
              <w:fldChar w:fldCharType="begin"/>
            </w:r>
            <w:r w:rsidR="008F5159">
              <w:rPr>
                <w:noProof/>
                <w:webHidden/>
              </w:rPr>
              <w:instrText xml:space="preserve"> PAGEREF _Toc117512383 \h </w:instrText>
            </w:r>
            <w:r w:rsidR="008F5159">
              <w:rPr>
                <w:noProof/>
                <w:webHidden/>
              </w:rPr>
            </w:r>
            <w:r w:rsidR="008F5159">
              <w:rPr>
                <w:noProof/>
                <w:webHidden/>
              </w:rPr>
              <w:fldChar w:fldCharType="separate"/>
            </w:r>
            <w:r w:rsidR="008F5159">
              <w:rPr>
                <w:noProof/>
                <w:webHidden/>
              </w:rPr>
              <w:t>79</w:t>
            </w:r>
            <w:r w:rsidR="008F5159">
              <w:rPr>
                <w:noProof/>
                <w:webHidden/>
              </w:rPr>
              <w:fldChar w:fldCharType="end"/>
            </w:r>
          </w:hyperlink>
        </w:p>
        <w:p w14:paraId="0454594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4" w:history="1">
            <w:r w:rsidR="008F5159" w:rsidRPr="00F86CA9">
              <w:rPr>
                <w:rStyle w:val="Hyperlink"/>
                <w:noProof/>
              </w:rPr>
              <w:t>5.3 Damages—Mitigation</w:t>
            </w:r>
            <w:r w:rsidR="008F5159">
              <w:rPr>
                <w:noProof/>
                <w:webHidden/>
              </w:rPr>
              <w:tab/>
            </w:r>
            <w:r w:rsidR="008F5159">
              <w:rPr>
                <w:noProof/>
                <w:webHidden/>
              </w:rPr>
              <w:fldChar w:fldCharType="begin"/>
            </w:r>
            <w:r w:rsidR="008F5159">
              <w:rPr>
                <w:noProof/>
                <w:webHidden/>
              </w:rPr>
              <w:instrText xml:space="preserve"> PAGEREF _Toc117512384 \h </w:instrText>
            </w:r>
            <w:r w:rsidR="008F5159">
              <w:rPr>
                <w:noProof/>
                <w:webHidden/>
              </w:rPr>
            </w:r>
            <w:r w:rsidR="008F5159">
              <w:rPr>
                <w:noProof/>
                <w:webHidden/>
              </w:rPr>
              <w:fldChar w:fldCharType="separate"/>
            </w:r>
            <w:r w:rsidR="008F5159">
              <w:rPr>
                <w:noProof/>
                <w:webHidden/>
              </w:rPr>
              <w:t>81</w:t>
            </w:r>
            <w:r w:rsidR="008F5159">
              <w:rPr>
                <w:noProof/>
                <w:webHidden/>
              </w:rPr>
              <w:fldChar w:fldCharType="end"/>
            </w:r>
          </w:hyperlink>
        </w:p>
        <w:p w14:paraId="32F0D85F"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5" w:history="1">
            <w:r w:rsidR="008F5159" w:rsidRPr="00F86CA9">
              <w:rPr>
                <w:rStyle w:val="Hyperlink"/>
                <w:noProof/>
              </w:rPr>
              <w:t>5.4 Damages Arising in the Future—Discount to Present Cash Value</w:t>
            </w:r>
            <w:r w:rsidR="008F5159">
              <w:rPr>
                <w:noProof/>
                <w:webHidden/>
              </w:rPr>
              <w:tab/>
            </w:r>
            <w:r w:rsidR="008F5159">
              <w:rPr>
                <w:noProof/>
                <w:webHidden/>
              </w:rPr>
              <w:fldChar w:fldCharType="begin"/>
            </w:r>
            <w:r w:rsidR="008F5159">
              <w:rPr>
                <w:noProof/>
                <w:webHidden/>
              </w:rPr>
              <w:instrText xml:space="preserve"> PAGEREF _Toc117512385 \h </w:instrText>
            </w:r>
            <w:r w:rsidR="008F5159">
              <w:rPr>
                <w:noProof/>
                <w:webHidden/>
              </w:rPr>
            </w:r>
            <w:r w:rsidR="008F5159">
              <w:rPr>
                <w:noProof/>
                <w:webHidden/>
              </w:rPr>
              <w:fldChar w:fldCharType="separate"/>
            </w:r>
            <w:r w:rsidR="008F5159">
              <w:rPr>
                <w:noProof/>
                <w:webHidden/>
              </w:rPr>
              <w:t>82</w:t>
            </w:r>
            <w:r w:rsidR="008F5159">
              <w:rPr>
                <w:noProof/>
                <w:webHidden/>
              </w:rPr>
              <w:fldChar w:fldCharType="end"/>
            </w:r>
          </w:hyperlink>
        </w:p>
        <w:p w14:paraId="5CA99278"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6" w:history="1">
            <w:r w:rsidR="008F5159" w:rsidRPr="00F86CA9">
              <w:rPr>
                <w:rStyle w:val="Hyperlink"/>
                <w:noProof/>
              </w:rPr>
              <w:t>5.5 Punitive Damages</w:t>
            </w:r>
            <w:r w:rsidR="008F5159">
              <w:rPr>
                <w:noProof/>
                <w:webHidden/>
              </w:rPr>
              <w:tab/>
            </w:r>
            <w:r w:rsidR="008F5159">
              <w:rPr>
                <w:noProof/>
                <w:webHidden/>
              </w:rPr>
              <w:fldChar w:fldCharType="begin"/>
            </w:r>
            <w:r w:rsidR="008F5159">
              <w:rPr>
                <w:noProof/>
                <w:webHidden/>
              </w:rPr>
              <w:instrText xml:space="preserve"> PAGEREF _Toc117512386 \h </w:instrText>
            </w:r>
            <w:r w:rsidR="008F5159">
              <w:rPr>
                <w:noProof/>
                <w:webHidden/>
              </w:rPr>
            </w:r>
            <w:r w:rsidR="008F5159">
              <w:rPr>
                <w:noProof/>
                <w:webHidden/>
              </w:rPr>
              <w:fldChar w:fldCharType="separate"/>
            </w:r>
            <w:r w:rsidR="008F5159">
              <w:rPr>
                <w:noProof/>
                <w:webHidden/>
              </w:rPr>
              <w:t>83</w:t>
            </w:r>
            <w:r w:rsidR="008F5159">
              <w:rPr>
                <w:noProof/>
                <w:webHidden/>
              </w:rPr>
              <w:fldChar w:fldCharType="end"/>
            </w:r>
          </w:hyperlink>
        </w:p>
        <w:p w14:paraId="7064FD40"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7" w:history="1">
            <w:r w:rsidR="008F5159" w:rsidRPr="00F86CA9">
              <w:rPr>
                <w:rStyle w:val="Hyperlink"/>
                <w:noProof/>
              </w:rPr>
              <w:t>5.6 Nominal Damages</w:t>
            </w:r>
            <w:r w:rsidR="008F5159">
              <w:rPr>
                <w:noProof/>
                <w:webHidden/>
              </w:rPr>
              <w:tab/>
            </w:r>
            <w:r w:rsidR="008F5159">
              <w:rPr>
                <w:noProof/>
                <w:webHidden/>
              </w:rPr>
              <w:fldChar w:fldCharType="begin"/>
            </w:r>
            <w:r w:rsidR="008F5159">
              <w:rPr>
                <w:noProof/>
                <w:webHidden/>
              </w:rPr>
              <w:instrText xml:space="preserve"> PAGEREF _Toc117512387 \h </w:instrText>
            </w:r>
            <w:r w:rsidR="008F5159">
              <w:rPr>
                <w:noProof/>
                <w:webHidden/>
              </w:rPr>
            </w:r>
            <w:r w:rsidR="008F5159">
              <w:rPr>
                <w:noProof/>
                <w:webHidden/>
              </w:rPr>
              <w:fldChar w:fldCharType="separate"/>
            </w:r>
            <w:r w:rsidR="008F5159">
              <w:rPr>
                <w:noProof/>
                <w:webHidden/>
              </w:rPr>
              <w:t>86</w:t>
            </w:r>
            <w:r w:rsidR="008F5159">
              <w:rPr>
                <w:noProof/>
                <w:webHidden/>
              </w:rPr>
              <w:fldChar w:fldCharType="end"/>
            </w:r>
          </w:hyperlink>
        </w:p>
        <w:p w14:paraId="6D548386" w14:textId="77777777" w:rsidR="008F5159" w:rsidRDefault="00703520" w:rsidP="00340019">
          <w:pPr>
            <w:pStyle w:val="TOC1"/>
            <w:rPr>
              <w:rFonts w:asciiTheme="minorHAnsi" w:eastAsiaTheme="minorEastAsia" w:hAnsiTheme="minorHAnsi"/>
              <w:noProof/>
              <w:sz w:val="22"/>
            </w:rPr>
          </w:pPr>
          <w:hyperlink w:anchor="_Toc117512388" w:history="1">
            <w:r w:rsidR="008F5159" w:rsidRPr="00F86CA9">
              <w:rPr>
                <w:rStyle w:val="Hyperlink"/>
                <w:noProof/>
              </w:rPr>
              <w:t>6.  FEDERAL EMPLOYERS’ LIABILITY ACT</w:t>
            </w:r>
            <w:r w:rsidR="008F5159">
              <w:rPr>
                <w:noProof/>
                <w:webHidden/>
              </w:rPr>
              <w:tab/>
            </w:r>
            <w:r w:rsidR="008F5159">
              <w:rPr>
                <w:noProof/>
                <w:webHidden/>
              </w:rPr>
              <w:fldChar w:fldCharType="begin"/>
            </w:r>
            <w:r w:rsidR="008F5159">
              <w:rPr>
                <w:noProof/>
                <w:webHidden/>
              </w:rPr>
              <w:instrText xml:space="preserve"> PAGEREF _Toc117512388 \h </w:instrText>
            </w:r>
            <w:r w:rsidR="008F5159">
              <w:rPr>
                <w:noProof/>
                <w:webHidden/>
              </w:rPr>
            </w:r>
            <w:r w:rsidR="008F5159">
              <w:rPr>
                <w:noProof/>
                <w:webHidden/>
              </w:rPr>
              <w:fldChar w:fldCharType="separate"/>
            </w:r>
            <w:r w:rsidR="008F5159">
              <w:rPr>
                <w:noProof/>
                <w:webHidden/>
              </w:rPr>
              <w:t>87</w:t>
            </w:r>
            <w:r w:rsidR="008F5159">
              <w:rPr>
                <w:noProof/>
                <w:webHidden/>
              </w:rPr>
              <w:fldChar w:fldCharType="end"/>
            </w:r>
          </w:hyperlink>
        </w:p>
        <w:p w14:paraId="5E468E82" w14:textId="77777777" w:rsidR="008F5159" w:rsidRDefault="00703520" w:rsidP="00BC4302">
          <w:pPr>
            <w:pStyle w:val="TOC2"/>
            <w:spacing w:before="40" w:afterLines="40" w:after="96"/>
            <w:rPr>
              <w:rFonts w:asciiTheme="minorHAnsi" w:eastAsiaTheme="minorEastAsia" w:hAnsiTheme="minorHAnsi"/>
              <w:noProof/>
              <w:sz w:val="22"/>
            </w:rPr>
          </w:pPr>
          <w:hyperlink w:anchor="_Toc117512389" w:history="1">
            <w:r w:rsidR="008F5159" w:rsidRPr="00F86CA9">
              <w:rPr>
                <w:rStyle w:val="Hyperlink"/>
                <w:noProof/>
              </w:rPr>
              <w:t>6.1 Preliminary Jury Instruction—Federal Employers’ Liability Act (45 U.S.C. §§ 51 and 53)</w:t>
            </w:r>
            <w:r w:rsidR="008F5159">
              <w:rPr>
                <w:noProof/>
                <w:webHidden/>
              </w:rPr>
              <w:tab/>
            </w:r>
            <w:r w:rsidR="008F5159">
              <w:rPr>
                <w:noProof/>
                <w:webHidden/>
              </w:rPr>
              <w:fldChar w:fldCharType="begin"/>
            </w:r>
            <w:r w:rsidR="008F5159">
              <w:rPr>
                <w:noProof/>
                <w:webHidden/>
              </w:rPr>
              <w:instrText xml:space="preserve"> PAGEREF _Toc117512389 \h </w:instrText>
            </w:r>
            <w:r w:rsidR="008F5159">
              <w:rPr>
                <w:noProof/>
                <w:webHidden/>
              </w:rPr>
            </w:r>
            <w:r w:rsidR="008F5159">
              <w:rPr>
                <w:noProof/>
                <w:webHidden/>
              </w:rPr>
              <w:fldChar w:fldCharType="separate"/>
            </w:r>
            <w:r w:rsidR="008F5159">
              <w:rPr>
                <w:noProof/>
                <w:webHidden/>
              </w:rPr>
              <w:t>88</w:t>
            </w:r>
            <w:r w:rsidR="008F5159">
              <w:rPr>
                <w:noProof/>
                <w:webHidden/>
              </w:rPr>
              <w:fldChar w:fldCharType="end"/>
            </w:r>
          </w:hyperlink>
        </w:p>
        <w:p w14:paraId="53D6018B"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0" w:history="1">
            <w:r w:rsidR="008F5159" w:rsidRPr="00F86CA9">
              <w:rPr>
                <w:rStyle w:val="Hyperlink"/>
                <w:noProof/>
              </w:rPr>
              <w:t>6.2 FELA—Elements and Burden of Proof</w:t>
            </w:r>
            <w:r w:rsidR="008F5159">
              <w:rPr>
                <w:noProof/>
                <w:webHidden/>
              </w:rPr>
              <w:tab/>
            </w:r>
            <w:r w:rsidR="008F5159">
              <w:rPr>
                <w:noProof/>
                <w:webHidden/>
              </w:rPr>
              <w:fldChar w:fldCharType="begin"/>
            </w:r>
            <w:r w:rsidR="008F5159">
              <w:rPr>
                <w:noProof/>
                <w:webHidden/>
              </w:rPr>
              <w:instrText xml:space="preserve"> PAGEREF _Toc117512390 \h </w:instrText>
            </w:r>
            <w:r w:rsidR="008F5159">
              <w:rPr>
                <w:noProof/>
                <w:webHidden/>
              </w:rPr>
            </w:r>
            <w:r w:rsidR="008F5159">
              <w:rPr>
                <w:noProof/>
                <w:webHidden/>
              </w:rPr>
              <w:fldChar w:fldCharType="separate"/>
            </w:r>
            <w:r w:rsidR="008F5159">
              <w:rPr>
                <w:noProof/>
                <w:webHidden/>
              </w:rPr>
              <w:t>89</w:t>
            </w:r>
            <w:r w:rsidR="008F5159">
              <w:rPr>
                <w:noProof/>
                <w:webHidden/>
              </w:rPr>
              <w:fldChar w:fldCharType="end"/>
            </w:r>
          </w:hyperlink>
        </w:p>
        <w:p w14:paraId="5406160D"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1" w:history="1">
            <w:r w:rsidR="008F5159" w:rsidRPr="00F86CA9">
              <w:rPr>
                <w:rStyle w:val="Hyperlink"/>
                <w:noProof/>
              </w:rPr>
              <w:t>6.3 FELA—Negligence Defined</w:t>
            </w:r>
            <w:r w:rsidR="008F5159">
              <w:rPr>
                <w:noProof/>
                <w:webHidden/>
              </w:rPr>
              <w:tab/>
            </w:r>
            <w:r w:rsidR="008F5159">
              <w:rPr>
                <w:noProof/>
                <w:webHidden/>
              </w:rPr>
              <w:fldChar w:fldCharType="begin"/>
            </w:r>
            <w:r w:rsidR="008F5159">
              <w:rPr>
                <w:noProof/>
                <w:webHidden/>
              </w:rPr>
              <w:instrText xml:space="preserve"> PAGEREF _Toc117512391 \h </w:instrText>
            </w:r>
            <w:r w:rsidR="008F5159">
              <w:rPr>
                <w:noProof/>
                <w:webHidden/>
              </w:rPr>
            </w:r>
            <w:r w:rsidR="008F5159">
              <w:rPr>
                <w:noProof/>
                <w:webHidden/>
              </w:rPr>
              <w:fldChar w:fldCharType="separate"/>
            </w:r>
            <w:r w:rsidR="008F5159">
              <w:rPr>
                <w:noProof/>
                <w:webHidden/>
              </w:rPr>
              <w:t>90</w:t>
            </w:r>
            <w:r w:rsidR="008F5159">
              <w:rPr>
                <w:noProof/>
                <w:webHidden/>
              </w:rPr>
              <w:fldChar w:fldCharType="end"/>
            </w:r>
          </w:hyperlink>
        </w:p>
        <w:p w14:paraId="0888C16D"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2" w:history="1">
            <w:r w:rsidR="008F5159" w:rsidRPr="00F86CA9">
              <w:rPr>
                <w:rStyle w:val="Hyperlink"/>
                <w:noProof/>
              </w:rPr>
              <w:t>6.4 FELA—Causation</w:t>
            </w:r>
            <w:r w:rsidR="008F5159">
              <w:rPr>
                <w:noProof/>
                <w:webHidden/>
              </w:rPr>
              <w:tab/>
            </w:r>
            <w:r w:rsidR="008F5159">
              <w:rPr>
                <w:noProof/>
                <w:webHidden/>
              </w:rPr>
              <w:fldChar w:fldCharType="begin"/>
            </w:r>
            <w:r w:rsidR="008F5159">
              <w:rPr>
                <w:noProof/>
                <w:webHidden/>
              </w:rPr>
              <w:instrText xml:space="preserve"> PAGEREF _Toc117512392 \h </w:instrText>
            </w:r>
            <w:r w:rsidR="008F5159">
              <w:rPr>
                <w:noProof/>
                <w:webHidden/>
              </w:rPr>
            </w:r>
            <w:r w:rsidR="008F5159">
              <w:rPr>
                <w:noProof/>
                <w:webHidden/>
              </w:rPr>
              <w:fldChar w:fldCharType="separate"/>
            </w:r>
            <w:r w:rsidR="008F5159">
              <w:rPr>
                <w:noProof/>
                <w:webHidden/>
              </w:rPr>
              <w:t>91</w:t>
            </w:r>
            <w:r w:rsidR="008F5159">
              <w:rPr>
                <w:noProof/>
                <w:webHidden/>
              </w:rPr>
              <w:fldChar w:fldCharType="end"/>
            </w:r>
          </w:hyperlink>
        </w:p>
        <w:p w14:paraId="017117C4"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3" w:history="1">
            <w:r w:rsidR="008F5159" w:rsidRPr="00F86CA9">
              <w:rPr>
                <w:rStyle w:val="Hyperlink"/>
                <w:noProof/>
              </w:rPr>
              <w:t>6.5 FELA—Plaintiff’s Compliance with Defendant’s Request or Direction</w:t>
            </w:r>
            <w:r w:rsidR="008F5159">
              <w:rPr>
                <w:noProof/>
                <w:webHidden/>
              </w:rPr>
              <w:tab/>
            </w:r>
            <w:r w:rsidR="008F5159">
              <w:rPr>
                <w:noProof/>
                <w:webHidden/>
              </w:rPr>
              <w:fldChar w:fldCharType="begin"/>
            </w:r>
            <w:r w:rsidR="008F5159">
              <w:rPr>
                <w:noProof/>
                <w:webHidden/>
              </w:rPr>
              <w:instrText xml:space="preserve"> PAGEREF _Toc117512393 \h </w:instrText>
            </w:r>
            <w:r w:rsidR="008F5159">
              <w:rPr>
                <w:noProof/>
                <w:webHidden/>
              </w:rPr>
            </w:r>
            <w:r w:rsidR="008F5159">
              <w:rPr>
                <w:noProof/>
                <w:webHidden/>
              </w:rPr>
              <w:fldChar w:fldCharType="separate"/>
            </w:r>
            <w:r w:rsidR="008F5159">
              <w:rPr>
                <w:noProof/>
                <w:webHidden/>
              </w:rPr>
              <w:t>92</w:t>
            </w:r>
            <w:r w:rsidR="008F5159">
              <w:rPr>
                <w:noProof/>
                <w:webHidden/>
              </w:rPr>
              <w:fldChar w:fldCharType="end"/>
            </w:r>
          </w:hyperlink>
        </w:p>
        <w:p w14:paraId="6AA97146"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4" w:history="1">
            <w:r w:rsidR="008F5159" w:rsidRPr="00F86CA9">
              <w:rPr>
                <w:rStyle w:val="Hyperlink"/>
                <w:noProof/>
              </w:rPr>
              <w:t>6.6 FELA—Damages</w:t>
            </w:r>
            <w:r w:rsidR="008F5159">
              <w:rPr>
                <w:noProof/>
                <w:webHidden/>
              </w:rPr>
              <w:tab/>
            </w:r>
            <w:r w:rsidR="008F5159">
              <w:rPr>
                <w:noProof/>
                <w:webHidden/>
              </w:rPr>
              <w:fldChar w:fldCharType="begin"/>
            </w:r>
            <w:r w:rsidR="008F5159">
              <w:rPr>
                <w:noProof/>
                <w:webHidden/>
              </w:rPr>
              <w:instrText xml:space="preserve"> PAGEREF _Toc117512394 \h </w:instrText>
            </w:r>
            <w:r w:rsidR="008F5159">
              <w:rPr>
                <w:noProof/>
                <w:webHidden/>
              </w:rPr>
            </w:r>
            <w:r w:rsidR="008F5159">
              <w:rPr>
                <w:noProof/>
                <w:webHidden/>
              </w:rPr>
              <w:fldChar w:fldCharType="separate"/>
            </w:r>
            <w:r w:rsidR="008F5159">
              <w:rPr>
                <w:noProof/>
                <w:webHidden/>
              </w:rPr>
              <w:t>93</w:t>
            </w:r>
            <w:r w:rsidR="008F5159">
              <w:rPr>
                <w:noProof/>
                <w:webHidden/>
              </w:rPr>
              <w:fldChar w:fldCharType="end"/>
            </w:r>
          </w:hyperlink>
        </w:p>
        <w:p w14:paraId="016B77AE"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5" w:history="1">
            <w:r w:rsidR="008F5159" w:rsidRPr="00F86CA9">
              <w:rPr>
                <w:rStyle w:val="Hyperlink"/>
                <w:noProof/>
              </w:rPr>
              <w:t>6.7 FELA—Plaintiff’s Negligence—Reduction of Damages (45 U.S.C. § 53)</w:t>
            </w:r>
            <w:r w:rsidR="008F5159">
              <w:rPr>
                <w:noProof/>
                <w:webHidden/>
              </w:rPr>
              <w:tab/>
            </w:r>
            <w:r w:rsidR="008F5159">
              <w:rPr>
                <w:noProof/>
                <w:webHidden/>
              </w:rPr>
              <w:fldChar w:fldCharType="begin"/>
            </w:r>
            <w:r w:rsidR="008F5159">
              <w:rPr>
                <w:noProof/>
                <w:webHidden/>
              </w:rPr>
              <w:instrText xml:space="preserve"> PAGEREF _Toc117512395 \h </w:instrText>
            </w:r>
            <w:r w:rsidR="008F5159">
              <w:rPr>
                <w:noProof/>
                <w:webHidden/>
              </w:rPr>
            </w:r>
            <w:r w:rsidR="008F5159">
              <w:rPr>
                <w:noProof/>
                <w:webHidden/>
              </w:rPr>
              <w:fldChar w:fldCharType="separate"/>
            </w:r>
            <w:r w:rsidR="008F5159">
              <w:rPr>
                <w:noProof/>
                <w:webHidden/>
              </w:rPr>
              <w:t>94</w:t>
            </w:r>
            <w:r w:rsidR="008F5159">
              <w:rPr>
                <w:noProof/>
                <w:webHidden/>
              </w:rPr>
              <w:fldChar w:fldCharType="end"/>
            </w:r>
          </w:hyperlink>
        </w:p>
        <w:p w14:paraId="12DB06B6" w14:textId="77777777" w:rsidR="008F5159" w:rsidRDefault="00703520" w:rsidP="00340019">
          <w:pPr>
            <w:pStyle w:val="TOC1"/>
            <w:rPr>
              <w:rFonts w:asciiTheme="minorHAnsi" w:eastAsiaTheme="minorEastAsia" w:hAnsiTheme="minorHAnsi"/>
              <w:noProof/>
              <w:sz w:val="22"/>
            </w:rPr>
          </w:pPr>
          <w:hyperlink w:anchor="_Toc117512396" w:history="1">
            <w:r w:rsidR="008F5159" w:rsidRPr="00F86CA9">
              <w:rPr>
                <w:rStyle w:val="Hyperlink"/>
                <w:noProof/>
              </w:rPr>
              <w:t>7.  JONES ACT AND OTHER ADMIRALTY CLAIMS</w:t>
            </w:r>
            <w:r w:rsidR="008F5159">
              <w:rPr>
                <w:noProof/>
                <w:webHidden/>
              </w:rPr>
              <w:tab/>
            </w:r>
            <w:r w:rsidR="008F5159">
              <w:rPr>
                <w:noProof/>
                <w:webHidden/>
              </w:rPr>
              <w:fldChar w:fldCharType="begin"/>
            </w:r>
            <w:r w:rsidR="008F5159">
              <w:rPr>
                <w:noProof/>
                <w:webHidden/>
              </w:rPr>
              <w:instrText xml:space="preserve"> PAGEREF _Toc117512396 \h </w:instrText>
            </w:r>
            <w:r w:rsidR="008F5159">
              <w:rPr>
                <w:noProof/>
                <w:webHidden/>
              </w:rPr>
            </w:r>
            <w:r w:rsidR="008F5159">
              <w:rPr>
                <w:noProof/>
                <w:webHidden/>
              </w:rPr>
              <w:fldChar w:fldCharType="separate"/>
            </w:r>
            <w:r w:rsidR="008F5159">
              <w:rPr>
                <w:noProof/>
                <w:webHidden/>
              </w:rPr>
              <w:t>96</w:t>
            </w:r>
            <w:r w:rsidR="008F5159">
              <w:rPr>
                <w:noProof/>
                <w:webHidden/>
              </w:rPr>
              <w:fldChar w:fldCharType="end"/>
            </w:r>
          </w:hyperlink>
          <w:r w:rsidR="008F5159">
            <w:rPr>
              <w:rFonts w:asciiTheme="minorHAnsi" w:eastAsiaTheme="minorEastAsia" w:hAnsiTheme="minorHAnsi"/>
              <w:noProof/>
              <w:sz w:val="22"/>
            </w:rPr>
            <w:br/>
          </w:r>
          <w:hyperlink w:anchor="_Toc117512397"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_Toc117512397 \h </w:instrText>
            </w:r>
            <w:r w:rsidR="008F5159">
              <w:rPr>
                <w:noProof/>
                <w:webHidden/>
              </w:rPr>
            </w:r>
            <w:r w:rsidR="008F5159">
              <w:rPr>
                <w:noProof/>
                <w:webHidden/>
              </w:rPr>
              <w:fldChar w:fldCharType="separate"/>
            </w:r>
            <w:r w:rsidR="008F5159">
              <w:rPr>
                <w:noProof/>
                <w:webHidden/>
              </w:rPr>
              <w:t>96</w:t>
            </w:r>
            <w:r w:rsidR="008F5159">
              <w:rPr>
                <w:noProof/>
                <w:webHidden/>
              </w:rPr>
              <w:fldChar w:fldCharType="end"/>
            </w:r>
          </w:hyperlink>
        </w:p>
        <w:p w14:paraId="779D25F1"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8" w:history="1">
            <w:r w:rsidR="008F5159" w:rsidRPr="00F86CA9">
              <w:rPr>
                <w:rStyle w:val="Hyperlink"/>
                <w:noProof/>
              </w:rPr>
              <w:t>7.1 Seaman Status</w:t>
            </w:r>
            <w:r w:rsidR="008F5159">
              <w:rPr>
                <w:noProof/>
                <w:webHidden/>
              </w:rPr>
              <w:tab/>
            </w:r>
            <w:r w:rsidR="008F5159">
              <w:rPr>
                <w:noProof/>
                <w:webHidden/>
              </w:rPr>
              <w:fldChar w:fldCharType="begin"/>
            </w:r>
            <w:r w:rsidR="008F5159">
              <w:rPr>
                <w:noProof/>
                <w:webHidden/>
              </w:rPr>
              <w:instrText xml:space="preserve"> PAGEREF _Toc117512398 \h </w:instrText>
            </w:r>
            <w:r w:rsidR="008F5159">
              <w:rPr>
                <w:noProof/>
                <w:webHidden/>
              </w:rPr>
            </w:r>
            <w:r w:rsidR="008F5159">
              <w:rPr>
                <w:noProof/>
                <w:webHidden/>
              </w:rPr>
              <w:fldChar w:fldCharType="separate"/>
            </w:r>
            <w:r w:rsidR="008F5159">
              <w:rPr>
                <w:noProof/>
                <w:webHidden/>
              </w:rPr>
              <w:t>97</w:t>
            </w:r>
            <w:r w:rsidR="008F5159">
              <w:rPr>
                <w:noProof/>
                <w:webHidden/>
              </w:rPr>
              <w:fldChar w:fldCharType="end"/>
            </w:r>
          </w:hyperlink>
        </w:p>
        <w:p w14:paraId="62C5923C" w14:textId="77777777" w:rsidR="008F5159" w:rsidRDefault="00703520" w:rsidP="00BC4302">
          <w:pPr>
            <w:pStyle w:val="TOC2"/>
            <w:spacing w:before="40" w:afterLines="40" w:after="96"/>
            <w:rPr>
              <w:rFonts w:asciiTheme="minorHAnsi" w:eastAsiaTheme="minorEastAsia" w:hAnsiTheme="minorHAnsi"/>
              <w:noProof/>
              <w:sz w:val="22"/>
            </w:rPr>
          </w:pPr>
          <w:hyperlink w:anchor="_Toc117512399" w:history="1">
            <w:r w:rsidR="008F5159" w:rsidRPr="00F86CA9">
              <w:rPr>
                <w:rStyle w:val="Hyperlink"/>
                <w:noProof/>
              </w:rPr>
              <w:t>7.2 Jones Act Negligence Claim—Elements and Burden of Proof (46 U.S.C. § 30104)</w:t>
            </w:r>
            <w:r w:rsidR="008F5159">
              <w:rPr>
                <w:noProof/>
                <w:webHidden/>
              </w:rPr>
              <w:tab/>
            </w:r>
            <w:r w:rsidR="008F5159">
              <w:rPr>
                <w:noProof/>
                <w:webHidden/>
              </w:rPr>
              <w:fldChar w:fldCharType="begin"/>
            </w:r>
            <w:r w:rsidR="008F5159">
              <w:rPr>
                <w:noProof/>
                <w:webHidden/>
              </w:rPr>
              <w:instrText xml:space="preserve"> PAGEREF _Toc117512399 \h </w:instrText>
            </w:r>
            <w:r w:rsidR="008F5159">
              <w:rPr>
                <w:noProof/>
                <w:webHidden/>
              </w:rPr>
            </w:r>
            <w:r w:rsidR="008F5159">
              <w:rPr>
                <w:noProof/>
                <w:webHidden/>
              </w:rPr>
              <w:fldChar w:fldCharType="separate"/>
            </w:r>
            <w:r w:rsidR="008F5159">
              <w:rPr>
                <w:noProof/>
                <w:webHidden/>
              </w:rPr>
              <w:t>99</w:t>
            </w:r>
            <w:r w:rsidR="008F5159">
              <w:rPr>
                <w:noProof/>
                <w:webHidden/>
              </w:rPr>
              <w:fldChar w:fldCharType="end"/>
            </w:r>
          </w:hyperlink>
        </w:p>
        <w:p w14:paraId="5087FDCF"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0" w:history="1">
            <w:r w:rsidR="008F5159" w:rsidRPr="00F86CA9">
              <w:rPr>
                <w:rStyle w:val="Hyperlink"/>
                <w:noProof/>
              </w:rPr>
              <w:t>7.3 Jones Act Negligence Claim —Negligence Defined</w:t>
            </w:r>
            <w:r w:rsidR="008F5159">
              <w:rPr>
                <w:noProof/>
                <w:webHidden/>
              </w:rPr>
              <w:tab/>
            </w:r>
            <w:r w:rsidR="008F5159">
              <w:rPr>
                <w:noProof/>
                <w:webHidden/>
              </w:rPr>
              <w:fldChar w:fldCharType="begin"/>
            </w:r>
            <w:r w:rsidR="008F5159">
              <w:rPr>
                <w:noProof/>
                <w:webHidden/>
              </w:rPr>
              <w:instrText xml:space="preserve"> PAGEREF _Toc117512400 \h </w:instrText>
            </w:r>
            <w:r w:rsidR="008F5159">
              <w:rPr>
                <w:noProof/>
                <w:webHidden/>
              </w:rPr>
            </w:r>
            <w:r w:rsidR="008F5159">
              <w:rPr>
                <w:noProof/>
                <w:webHidden/>
              </w:rPr>
              <w:fldChar w:fldCharType="separate"/>
            </w:r>
            <w:r w:rsidR="008F5159">
              <w:rPr>
                <w:noProof/>
                <w:webHidden/>
              </w:rPr>
              <w:t>100</w:t>
            </w:r>
            <w:r w:rsidR="008F5159">
              <w:rPr>
                <w:noProof/>
                <w:webHidden/>
              </w:rPr>
              <w:fldChar w:fldCharType="end"/>
            </w:r>
          </w:hyperlink>
        </w:p>
        <w:p w14:paraId="0C20CB4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1" w:history="1">
            <w:r w:rsidR="008F5159" w:rsidRPr="00F86CA9">
              <w:rPr>
                <w:rStyle w:val="Hyperlink"/>
                <w:noProof/>
              </w:rPr>
              <w:t>7.4 Jones Act Negligence Claim —Causation Defined</w:t>
            </w:r>
            <w:r w:rsidR="008F5159">
              <w:rPr>
                <w:noProof/>
                <w:webHidden/>
              </w:rPr>
              <w:tab/>
            </w:r>
            <w:r w:rsidR="008F5159">
              <w:rPr>
                <w:noProof/>
                <w:webHidden/>
              </w:rPr>
              <w:fldChar w:fldCharType="begin"/>
            </w:r>
            <w:r w:rsidR="008F5159">
              <w:rPr>
                <w:noProof/>
                <w:webHidden/>
              </w:rPr>
              <w:instrText xml:space="preserve"> PAGEREF _Toc117512401 \h </w:instrText>
            </w:r>
            <w:r w:rsidR="008F5159">
              <w:rPr>
                <w:noProof/>
                <w:webHidden/>
              </w:rPr>
            </w:r>
            <w:r w:rsidR="008F5159">
              <w:rPr>
                <w:noProof/>
                <w:webHidden/>
              </w:rPr>
              <w:fldChar w:fldCharType="separate"/>
            </w:r>
            <w:r w:rsidR="008F5159">
              <w:rPr>
                <w:noProof/>
                <w:webHidden/>
              </w:rPr>
              <w:t>101</w:t>
            </w:r>
            <w:r w:rsidR="008F5159">
              <w:rPr>
                <w:noProof/>
                <w:webHidden/>
              </w:rPr>
              <w:fldChar w:fldCharType="end"/>
            </w:r>
          </w:hyperlink>
        </w:p>
        <w:p w14:paraId="612293B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2" w:history="1">
            <w:r w:rsidR="008F5159" w:rsidRPr="00F86CA9">
              <w:rPr>
                <w:rStyle w:val="Hyperlink"/>
                <w:noProof/>
              </w:rPr>
              <w:t>7.5 Unseaworthiness Claim—Elements and Burden of Proof</w:t>
            </w:r>
            <w:r w:rsidR="008F5159">
              <w:rPr>
                <w:noProof/>
                <w:webHidden/>
              </w:rPr>
              <w:tab/>
            </w:r>
            <w:r w:rsidR="008F5159">
              <w:rPr>
                <w:noProof/>
                <w:webHidden/>
              </w:rPr>
              <w:fldChar w:fldCharType="begin"/>
            </w:r>
            <w:r w:rsidR="008F5159">
              <w:rPr>
                <w:noProof/>
                <w:webHidden/>
              </w:rPr>
              <w:instrText xml:space="preserve"> PAGEREF _Toc117512402 \h </w:instrText>
            </w:r>
            <w:r w:rsidR="008F5159">
              <w:rPr>
                <w:noProof/>
                <w:webHidden/>
              </w:rPr>
            </w:r>
            <w:r w:rsidR="008F5159">
              <w:rPr>
                <w:noProof/>
                <w:webHidden/>
              </w:rPr>
              <w:fldChar w:fldCharType="separate"/>
            </w:r>
            <w:r w:rsidR="008F5159">
              <w:rPr>
                <w:noProof/>
                <w:webHidden/>
              </w:rPr>
              <w:t>102</w:t>
            </w:r>
            <w:r w:rsidR="008F5159">
              <w:rPr>
                <w:noProof/>
                <w:webHidden/>
              </w:rPr>
              <w:fldChar w:fldCharType="end"/>
            </w:r>
          </w:hyperlink>
        </w:p>
        <w:p w14:paraId="068AC807"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3" w:history="1">
            <w:r w:rsidR="008F5159" w:rsidRPr="00F86CA9">
              <w:rPr>
                <w:rStyle w:val="Hyperlink"/>
                <w:noProof/>
              </w:rPr>
              <w:t>7.6 Unseaworthiness—Defined</w:t>
            </w:r>
            <w:r w:rsidR="008F5159">
              <w:rPr>
                <w:noProof/>
                <w:webHidden/>
              </w:rPr>
              <w:tab/>
            </w:r>
            <w:r w:rsidR="008F5159">
              <w:rPr>
                <w:noProof/>
                <w:webHidden/>
              </w:rPr>
              <w:fldChar w:fldCharType="begin"/>
            </w:r>
            <w:r w:rsidR="008F5159">
              <w:rPr>
                <w:noProof/>
                <w:webHidden/>
              </w:rPr>
              <w:instrText xml:space="preserve"> PAGEREF _Toc117512403 \h </w:instrText>
            </w:r>
            <w:r w:rsidR="008F5159">
              <w:rPr>
                <w:noProof/>
                <w:webHidden/>
              </w:rPr>
            </w:r>
            <w:r w:rsidR="008F5159">
              <w:rPr>
                <w:noProof/>
                <w:webHidden/>
              </w:rPr>
              <w:fldChar w:fldCharType="separate"/>
            </w:r>
            <w:r w:rsidR="008F5159">
              <w:rPr>
                <w:noProof/>
                <w:webHidden/>
              </w:rPr>
              <w:t>103</w:t>
            </w:r>
            <w:r w:rsidR="008F5159">
              <w:rPr>
                <w:noProof/>
                <w:webHidden/>
              </w:rPr>
              <w:fldChar w:fldCharType="end"/>
            </w:r>
          </w:hyperlink>
        </w:p>
        <w:p w14:paraId="15286C84"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4" w:history="1">
            <w:r w:rsidR="008F5159" w:rsidRPr="00F86CA9">
              <w:rPr>
                <w:rStyle w:val="Hyperlink"/>
                <w:noProof/>
              </w:rPr>
              <w:t>7.7 Unseaworthiness —Causation Defined</w:t>
            </w:r>
            <w:r w:rsidR="008F5159">
              <w:rPr>
                <w:noProof/>
                <w:webHidden/>
              </w:rPr>
              <w:tab/>
            </w:r>
            <w:r w:rsidR="008F5159">
              <w:rPr>
                <w:noProof/>
                <w:webHidden/>
              </w:rPr>
              <w:fldChar w:fldCharType="begin"/>
            </w:r>
            <w:r w:rsidR="008F5159">
              <w:rPr>
                <w:noProof/>
                <w:webHidden/>
              </w:rPr>
              <w:instrText xml:space="preserve"> PAGEREF _Toc117512404 \h </w:instrText>
            </w:r>
            <w:r w:rsidR="008F5159">
              <w:rPr>
                <w:noProof/>
                <w:webHidden/>
              </w:rPr>
            </w:r>
            <w:r w:rsidR="008F5159">
              <w:rPr>
                <w:noProof/>
                <w:webHidden/>
              </w:rPr>
              <w:fldChar w:fldCharType="separate"/>
            </w:r>
            <w:r w:rsidR="008F5159">
              <w:rPr>
                <w:noProof/>
                <w:webHidden/>
              </w:rPr>
              <w:t>104</w:t>
            </w:r>
            <w:r w:rsidR="008F5159">
              <w:rPr>
                <w:noProof/>
                <w:webHidden/>
              </w:rPr>
              <w:fldChar w:fldCharType="end"/>
            </w:r>
          </w:hyperlink>
        </w:p>
        <w:p w14:paraId="4AD7D1BA"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5" w:history="1">
            <w:r w:rsidR="008F5159" w:rsidRPr="00F86CA9">
              <w:rPr>
                <w:rStyle w:val="Hyperlink"/>
                <w:noProof/>
              </w:rPr>
              <w:t>7.8 Jones Act Negligence or Unseaworthiness—Damages—Proof</w:t>
            </w:r>
            <w:r w:rsidR="008F5159">
              <w:rPr>
                <w:noProof/>
                <w:webHidden/>
              </w:rPr>
              <w:tab/>
            </w:r>
            <w:r w:rsidR="008F5159">
              <w:rPr>
                <w:noProof/>
                <w:webHidden/>
              </w:rPr>
              <w:fldChar w:fldCharType="begin"/>
            </w:r>
            <w:r w:rsidR="008F5159">
              <w:rPr>
                <w:noProof/>
                <w:webHidden/>
              </w:rPr>
              <w:instrText xml:space="preserve"> PAGEREF _Toc117512405 \h </w:instrText>
            </w:r>
            <w:r w:rsidR="008F5159">
              <w:rPr>
                <w:noProof/>
                <w:webHidden/>
              </w:rPr>
            </w:r>
            <w:r w:rsidR="008F5159">
              <w:rPr>
                <w:noProof/>
                <w:webHidden/>
              </w:rPr>
              <w:fldChar w:fldCharType="separate"/>
            </w:r>
            <w:r w:rsidR="008F5159">
              <w:rPr>
                <w:noProof/>
                <w:webHidden/>
              </w:rPr>
              <w:t>105</w:t>
            </w:r>
            <w:r w:rsidR="008F5159">
              <w:rPr>
                <w:noProof/>
                <w:webHidden/>
              </w:rPr>
              <w:fldChar w:fldCharType="end"/>
            </w:r>
          </w:hyperlink>
        </w:p>
        <w:p w14:paraId="5495BB3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6" w:history="1">
            <w:r w:rsidR="008F5159" w:rsidRPr="00F86CA9">
              <w:rPr>
                <w:rStyle w:val="Hyperlink"/>
                <w:noProof/>
              </w:rPr>
              <w:t>7.9 Jones Act Negligence or Unseaworthiness—Plaintiff’s Negligence—Reduction of Damages</w:t>
            </w:r>
            <w:r w:rsidR="008F5159">
              <w:rPr>
                <w:noProof/>
                <w:webHidden/>
              </w:rPr>
              <w:tab/>
            </w:r>
            <w:r w:rsidR="008F5159">
              <w:rPr>
                <w:noProof/>
                <w:webHidden/>
              </w:rPr>
              <w:fldChar w:fldCharType="begin"/>
            </w:r>
            <w:r w:rsidR="008F5159">
              <w:rPr>
                <w:noProof/>
                <w:webHidden/>
              </w:rPr>
              <w:instrText xml:space="preserve"> PAGEREF _Toc117512406 \h </w:instrText>
            </w:r>
            <w:r w:rsidR="008F5159">
              <w:rPr>
                <w:noProof/>
                <w:webHidden/>
              </w:rPr>
            </w:r>
            <w:r w:rsidR="008F5159">
              <w:rPr>
                <w:noProof/>
                <w:webHidden/>
              </w:rPr>
              <w:fldChar w:fldCharType="separate"/>
            </w:r>
            <w:r w:rsidR="008F5159">
              <w:rPr>
                <w:noProof/>
                <w:webHidden/>
              </w:rPr>
              <w:t>106</w:t>
            </w:r>
            <w:r w:rsidR="008F5159">
              <w:rPr>
                <w:noProof/>
                <w:webHidden/>
              </w:rPr>
              <w:fldChar w:fldCharType="end"/>
            </w:r>
          </w:hyperlink>
        </w:p>
        <w:p w14:paraId="0F3CF7D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7" w:history="1">
            <w:r w:rsidR="008F5159" w:rsidRPr="00F86CA9">
              <w:rPr>
                <w:rStyle w:val="Hyperlink"/>
                <w:noProof/>
              </w:rPr>
              <w:t>7.10 Jones Act Negligence or Unseaworthiness —Plaintiff’s Compliance with Defendant’s Request or Directions</w:t>
            </w:r>
            <w:r w:rsidR="008F5159">
              <w:rPr>
                <w:noProof/>
                <w:webHidden/>
              </w:rPr>
              <w:tab/>
            </w:r>
            <w:r w:rsidR="008F5159">
              <w:rPr>
                <w:noProof/>
                <w:webHidden/>
              </w:rPr>
              <w:fldChar w:fldCharType="begin"/>
            </w:r>
            <w:r w:rsidR="008F5159">
              <w:rPr>
                <w:noProof/>
                <w:webHidden/>
              </w:rPr>
              <w:instrText xml:space="preserve"> PAGEREF _Toc117512407 \h </w:instrText>
            </w:r>
            <w:r w:rsidR="008F5159">
              <w:rPr>
                <w:noProof/>
                <w:webHidden/>
              </w:rPr>
            </w:r>
            <w:r w:rsidR="008F5159">
              <w:rPr>
                <w:noProof/>
                <w:webHidden/>
              </w:rPr>
              <w:fldChar w:fldCharType="separate"/>
            </w:r>
            <w:r w:rsidR="008F5159">
              <w:rPr>
                <w:noProof/>
                <w:webHidden/>
              </w:rPr>
              <w:t>108</w:t>
            </w:r>
            <w:r w:rsidR="008F5159">
              <w:rPr>
                <w:noProof/>
                <w:webHidden/>
              </w:rPr>
              <w:fldChar w:fldCharType="end"/>
            </w:r>
          </w:hyperlink>
        </w:p>
        <w:p w14:paraId="30FDB7EC"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8" w:history="1">
            <w:r w:rsidR="008F5159" w:rsidRPr="00F86CA9">
              <w:rPr>
                <w:rStyle w:val="Hyperlink"/>
                <w:noProof/>
              </w:rPr>
              <w:t>7.11 Maintenance and Cure—Elements and Burden of Proof</w:t>
            </w:r>
            <w:r w:rsidR="008F5159">
              <w:rPr>
                <w:noProof/>
                <w:webHidden/>
              </w:rPr>
              <w:tab/>
            </w:r>
            <w:r w:rsidR="008F5159">
              <w:rPr>
                <w:noProof/>
                <w:webHidden/>
              </w:rPr>
              <w:fldChar w:fldCharType="begin"/>
            </w:r>
            <w:r w:rsidR="008F5159">
              <w:rPr>
                <w:noProof/>
                <w:webHidden/>
              </w:rPr>
              <w:instrText xml:space="preserve"> PAGEREF _Toc117512408 \h </w:instrText>
            </w:r>
            <w:r w:rsidR="008F5159">
              <w:rPr>
                <w:noProof/>
                <w:webHidden/>
              </w:rPr>
            </w:r>
            <w:r w:rsidR="008F5159">
              <w:rPr>
                <w:noProof/>
                <w:webHidden/>
              </w:rPr>
              <w:fldChar w:fldCharType="separate"/>
            </w:r>
            <w:r w:rsidR="008F5159">
              <w:rPr>
                <w:noProof/>
                <w:webHidden/>
              </w:rPr>
              <w:t>109</w:t>
            </w:r>
            <w:r w:rsidR="008F5159">
              <w:rPr>
                <w:noProof/>
                <w:webHidden/>
              </w:rPr>
              <w:fldChar w:fldCharType="end"/>
            </w:r>
          </w:hyperlink>
        </w:p>
        <w:p w14:paraId="10859C06" w14:textId="77777777" w:rsidR="008F5159" w:rsidRDefault="00703520" w:rsidP="00BC4302">
          <w:pPr>
            <w:pStyle w:val="TOC2"/>
            <w:spacing w:before="40" w:afterLines="40" w:after="96"/>
            <w:rPr>
              <w:rFonts w:asciiTheme="minorHAnsi" w:eastAsiaTheme="minorEastAsia" w:hAnsiTheme="minorHAnsi"/>
              <w:noProof/>
              <w:sz w:val="22"/>
            </w:rPr>
          </w:pPr>
          <w:hyperlink w:anchor="_Toc117512409" w:history="1">
            <w:r w:rsidR="008F5159" w:rsidRPr="00F86CA9">
              <w:rPr>
                <w:rStyle w:val="Hyperlink"/>
                <w:noProof/>
              </w:rPr>
              <w:t>7.12 Maintenance and Cure—Willful and Arbitrary Failure to Pay</w:t>
            </w:r>
            <w:r w:rsidR="008F5159">
              <w:rPr>
                <w:noProof/>
                <w:webHidden/>
              </w:rPr>
              <w:tab/>
            </w:r>
            <w:r w:rsidR="008F5159">
              <w:rPr>
                <w:noProof/>
                <w:webHidden/>
              </w:rPr>
              <w:fldChar w:fldCharType="begin"/>
            </w:r>
            <w:r w:rsidR="008F5159">
              <w:rPr>
                <w:noProof/>
                <w:webHidden/>
              </w:rPr>
              <w:instrText xml:space="preserve"> PAGEREF _Toc117512409 \h </w:instrText>
            </w:r>
            <w:r w:rsidR="008F5159">
              <w:rPr>
                <w:noProof/>
                <w:webHidden/>
              </w:rPr>
            </w:r>
            <w:r w:rsidR="008F5159">
              <w:rPr>
                <w:noProof/>
                <w:webHidden/>
              </w:rPr>
              <w:fldChar w:fldCharType="separate"/>
            </w:r>
            <w:r w:rsidR="008F5159">
              <w:rPr>
                <w:noProof/>
                <w:webHidden/>
              </w:rPr>
              <w:t>111</w:t>
            </w:r>
            <w:r w:rsidR="008F5159">
              <w:rPr>
                <w:noProof/>
                <w:webHidden/>
              </w:rPr>
              <w:fldChar w:fldCharType="end"/>
            </w:r>
          </w:hyperlink>
        </w:p>
        <w:p w14:paraId="70BF4A0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0" w:history="1">
            <w:r w:rsidR="008F5159" w:rsidRPr="00F86CA9">
              <w:rPr>
                <w:rStyle w:val="Hyperlink"/>
                <w:noProof/>
              </w:rPr>
              <w:t>7.13 Integrated Product Manufacturer’s Duty to Warn</w:t>
            </w:r>
            <w:r w:rsidR="008F5159">
              <w:rPr>
                <w:noProof/>
                <w:webHidden/>
              </w:rPr>
              <w:tab/>
            </w:r>
            <w:r w:rsidR="008F5159">
              <w:rPr>
                <w:noProof/>
                <w:webHidden/>
              </w:rPr>
              <w:fldChar w:fldCharType="begin"/>
            </w:r>
            <w:r w:rsidR="008F5159">
              <w:rPr>
                <w:noProof/>
                <w:webHidden/>
              </w:rPr>
              <w:instrText xml:space="preserve"> PAGEREF _Toc117512410 \h </w:instrText>
            </w:r>
            <w:r w:rsidR="008F5159">
              <w:rPr>
                <w:noProof/>
                <w:webHidden/>
              </w:rPr>
            </w:r>
            <w:r w:rsidR="008F5159">
              <w:rPr>
                <w:noProof/>
                <w:webHidden/>
              </w:rPr>
              <w:fldChar w:fldCharType="separate"/>
            </w:r>
            <w:r w:rsidR="008F5159">
              <w:rPr>
                <w:noProof/>
                <w:webHidden/>
              </w:rPr>
              <w:t>112</w:t>
            </w:r>
            <w:r w:rsidR="008F5159">
              <w:rPr>
                <w:noProof/>
                <w:webHidden/>
              </w:rPr>
              <w:fldChar w:fldCharType="end"/>
            </w:r>
          </w:hyperlink>
        </w:p>
        <w:p w14:paraId="7586C833" w14:textId="77777777" w:rsidR="008F5159" w:rsidRDefault="00703520" w:rsidP="00340019">
          <w:pPr>
            <w:pStyle w:val="TOC1"/>
            <w:rPr>
              <w:rFonts w:asciiTheme="minorHAnsi" w:eastAsiaTheme="minorEastAsia" w:hAnsiTheme="minorHAnsi"/>
              <w:noProof/>
              <w:sz w:val="22"/>
            </w:rPr>
          </w:pPr>
          <w:hyperlink w:anchor="_Toc117512411" w:history="1">
            <w:r w:rsidR="008F5159" w:rsidRPr="00F86CA9">
              <w:rPr>
                <w:rStyle w:val="Hyperlink"/>
                <w:noProof/>
              </w:rPr>
              <w:t>8.  CIVIL RICO</w:t>
            </w:r>
            <w:r w:rsidR="008F5159">
              <w:rPr>
                <w:noProof/>
                <w:webHidden/>
              </w:rPr>
              <w:tab/>
            </w:r>
            <w:r w:rsidR="008F5159">
              <w:rPr>
                <w:noProof/>
                <w:webHidden/>
              </w:rPr>
              <w:fldChar w:fldCharType="begin"/>
            </w:r>
            <w:r w:rsidR="008F5159">
              <w:rPr>
                <w:noProof/>
                <w:webHidden/>
              </w:rPr>
              <w:instrText xml:space="preserve"> PAGEREF _Toc117512411 \h </w:instrText>
            </w:r>
            <w:r w:rsidR="008F5159">
              <w:rPr>
                <w:noProof/>
                <w:webHidden/>
              </w:rPr>
            </w:r>
            <w:r w:rsidR="008F5159">
              <w:rPr>
                <w:noProof/>
                <w:webHidden/>
              </w:rPr>
              <w:fldChar w:fldCharType="separate"/>
            </w:r>
            <w:r w:rsidR="008F5159">
              <w:rPr>
                <w:noProof/>
                <w:webHidden/>
              </w:rPr>
              <w:t>113</w:t>
            </w:r>
            <w:r w:rsidR="008F5159">
              <w:rPr>
                <w:noProof/>
                <w:webHidden/>
              </w:rPr>
              <w:fldChar w:fldCharType="end"/>
            </w:r>
          </w:hyperlink>
        </w:p>
        <w:p w14:paraId="4EBB4370" w14:textId="77777777" w:rsidR="008F5159" w:rsidRDefault="00703520" w:rsidP="00340019">
          <w:pPr>
            <w:pStyle w:val="TOC1"/>
            <w:rPr>
              <w:rFonts w:asciiTheme="minorHAnsi" w:eastAsiaTheme="minorEastAsia" w:hAnsiTheme="minorHAnsi"/>
              <w:noProof/>
              <w:sz w:val="22"/>
            </w:rPr>
          </w:pPr>
          <w:hyperlink w:anchor="_Toc117512412" w:history="1">
            <w:r w:rsidR="008F5159" w:rsidRPr="00F86CA9">
              <w:rPr>
                <w:rStyle w:val="Hyperlink"/>
                <w:noProof/>
              </w:rPr>
              <w:t>9.  CIVIL RIGHTS ACTIONS—42 U.S.C. § 1983</w:t>
            </w:r>
            <w:r w:rsidR="008F5159">
              <w:rPr>
                <w:noProof/>
                <w:webHidden/>
              </w:rPr>
              <w:tab/>
            </w:r>
            <w:r w:rsidR="008F5159">
              <w:rPr>
                <w:noProof/>
                <w:webHidden/>
              </w:rPr>
              <w:fldChar w:fldCharType="begin"/>
            </w:r>
            <w:r w:rsidR="008F5159">
              <w:rPr>
                <w:noProof/>
                <w:webHidden/>
              </w:rPr>
              <w:instrText xml:space="preserve"> PAGEREF _Toc117512412 \h </w:instrText>
            </w:r>
            <w:r w:rsidR="008F5159">
              <w:rPr>
                <w:noProof/>
                <w:webHidden/>
              </w:rPr>
            </w:r>
            <w:r w:rsidR="008F5159">
              <w:rPr>
                <w:noProof/>
                <w:webHidden/>
              </w:rPr>
              <w:fldChar w:fldCharType="separate"/>
            </w:r>
            <w:r w:rsidR="008F5159">
              <w:rPr>
                <w:noProof/>
                <w:webHidden/>
              </w:rPr>
              <w:t>117</w:t>
            </w:r>
            <w:r w:rsidR="008F5159">
              <w:rPr>
                <w:noProof/>
                <w:webHidden/>
              </w:rPr>
              <w:fldChar w:fldCharType="end"/>
            </w:r>
          </w:hyperlink>
          <w:r w:rsidR="008F5159">
            <w:rPr>
              <w:rFonts w:asciiTheme="minorHAnsi" w:eastAsiaTheme="minorEastAsia" w:hAnsiTheme="minorHAnsi"/>
              <w:noProof/>
              <w:sz w:val="22"/>
            </w:rPr>
            <w:br/>
          </w:r>
          <w:hyperlink w:anchor="_Toc117512413"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_Toc117512413 \h </w:instrText>
            </w:r>
            <w:r w:rsidR="008F5159">
              <w:rPr>
                <w:noProof/>
                <w:webHidden/>
              </w:rPr>
            </w:r>
            <w:r w:rsidR="008F5159">
              <w:rPr>
                <w:noProof/>
                <w:webHidden/>
              </w:rPr>
              <w:fldChar w:fldCharType="separate"/>
            </w:r>
            <w:r w:rsidR="008F5159">
              <w:rPr>
                <w:noProof/>
                <w:webHidden/>
              </w:rPr>
              <w:t>119</w:t>
            </w:r>
            <w:r w:rsidR="008F5159">
              <w:rPr>
                <w:noProof/>
                <w:webHidden/>
              </w:rPr>
              <w:fldChar w:fldCharType="end"/>
            </w:r>
          </w:hyperlink>
        </w:p>
        <w:p w14:paraId="011703B9"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4" w:history="1">
            <w:r w:rsidR="008F5159" w:rsidRPr="00F86CA9">
              <w:rPr>
                <w:rStyle w:val="Hyperlink"/>
                <w:noProof/>
              </w:rPr>
              <w:t>9.1 Section 1983 Claim—Introductory Instruction</w:t>
            </w:r>
            <w:r w:rsidR="008F5159">
              <w:rPr>
                <w:noProof/>
                <w:webHidden/>
              </w:rPr>
              <w:tab/>
            </w:r>
            <w:r w:rsidR="008F5159">
              <w:rPr>
                <w:noProof/>
                <w:webHidden/>
              </w:rPr>
              <w:fldChar w:fldCharType="begin"/>
            </w:r>
            <w:r w:rsidR="008F5159">
              <w:rPr>
                <w:noProof/>
                <w:webHidden/>
              </w:rPr>
              <w:instrText xml:space="preserve"> PAGEREF _Toc117512414 \h </w:instrText>
            </w:r>
            <w:r w:rsidR="008F5159">
              <w:rPr>
                <w:noProof/>
                <w:webHidden/>
              </w:rPr>
            </w:r>
            <w:r w:rsidR="008F5159">
              <w:rPr>
                <w:noProof/>
                <w:webHidden/>
              </w:rPr>
              <w:fldChar w:fldCharType="separate"/>
            </w:r>
            <w:r w:rsidR="008F5159">
              <w:rPr>
                <w:noProof/>
                <w:webHidden/>
              </w:rPr>
              <w:t>124</w:t>
            </w:r>
            <w:r w:rsidR="008F5159">
              <w:rPr>
                <w:noProof/>
                <w:webHidden/>
              </w:rPr>
              <w:fldChar w:fldCharType="end"/>
            </w:r>
          </w:hyperlink>
        </w:p>
        <w:p w14:paraId="6AF6702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5" w:history="1">
            <w:r w:rsidR="008F5159" w:rsidRPr="00F86CA9">
              <w:rPr>
                <w:rStyle w:val="Hyperlink"/>
                <w:noProof/>
              </w:rPr>
              <w:t>9.2 Causation</w:t>
            </w:r>
            <w:r w:rsidR="008F5159">
              <w:rPr>
                <w:noProof/>
                <w:webHidden/>
              </w:rPr>
              <w:tab/>
            </w:r>
            <w:r w:rsidR="008F5159">
              <w:rPr>
                <w:noProof/>
                <w:webHidden/>
              </w:rPr>
              <w:fldChar w:fldCharType="begin"/>
            </w:r>
            <w:r w:rsidR="008F5159">
              <w:rPr>
                <w:noProof/>
                <w:webHidden/>
              </w:rPr>
              <w:instrText xml:space="preserve"> PAGEREF _Toc117512415 \h </w:instrText>
            </w:r>
            <w:r w:rsidR="008F5159">
              <w:rPr>
                <w:noProof/>
                <w:webHidden/>
              </w:rPr>
            </w:r>
            <w:r w:rsidR="008F5159">
              <w:rPr>
                <w:noProof/>
                <w:webHidden/>
              </w:rPr>
              <w:fldChar w:fldCharType="separate"/>
            </w:r>
            <w:r w:rsidR="008F5159">
              <w:rPr>
                <w:noProof/>
                <w:webHidden/>
              </w:rPr>
              <w:t>125</w:t>
            </w:r>
            <w:r w:rsidR="008F5159">
              <w:rPr>
                <w:noProof/>
                <w:webHidden/>
              </w:rPr>
              <w:fldChar w:fldCharType="end"/>
            </w:r>
          </w:hyperlink>
        </w:p>
        <w:p w14:paraId="0B386401"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6" w:history="1">
            <w:r w:rsidR="008F5159" w:rsidRPr="00F86CA9">
              <w:rPr>
                <w:rStyle w:val="Hyperlink"/>
                <w:noProof/>
              </w:rPr>
              <w:t>9.3 Section 1983 Claim Against Defendant in Individual Capacity—Elements and Burden of Proof</w:t>
            </w:r>
            <w:r w:rsidR="008F5159">
              <w:rPr>
                <w:noProof/>
                <w:webHidden/>
              </w:rPr>
              <w:tab/>
            </w:r>
            <w:r w:rsidR="008F5159">
              <w:rPr>
                <w:noProof/>
                <w:webHidden/>
              </w:rPr>
              <w:fldChar w:fldCharType="begin"/>
            </w:r>
            <w:r w:rsidR="008F5159">
              <w:rPr>
                <w:noProof/>
                <w:webHidden/>
              </w:rPr>
              <w:instrText xml:space="preserve"> PAGEREF _Toc117512416 \h </w:instrText>
            </w:r>
            <w:r w:rsidR="008F5159">
              <w:rPr>
                <w:noProof/>
                <w:webHidden/>
              </w:rPr>
            </w:r>
            <w:r w:rsidR="008F5159">
              <w:rPr>
                <w:noProof/>
                <w:webHidden/>
              </w:rPr>
              <w:fldChar w:fldCharType="separate"/>
            </w:r>
            <w:r w:rsidR="008F5159">
              <w:rPr>
                <w:noProof/>
                <w:webHidden/>
              </w:rPr>
              <w:t>128</w:t>
            </w:r>
            <w:r w:rsidR="008F5159">
              <w:rPr>
                <w:noProof/>
                <w:webHidden/>
              </w:rPr>
              <w:fldChar w:fldCharType="end"/>
            </w:r>
          </w:hyperlink>
        </w:p>
        <w:p w14:paraId="0D613A6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7" w:history="1">
            <w:r w:rsidR="008F5159" w:rsidRPr="00F86CA9">
              <w:rPr>
                <w:rStyle w:val="Hyperlink"/>
                <w:noProof/>
              </w:rPr>
              <w:t>9.4 Section 1983 Claim Against Supervisory Defendant in Individual Capacity—Elements and Burden of Proof</w:t>
            </w:r>
            <w:r w:rsidR="008F5159">
              <w:rPr>
                <w:noProof/>
                <w:webHidden/>
              </w:rPr>
              <w:tab/>
            </w:r>
            <w:r w:rsidR="008F5159">
              <w:rPr>
                <w:noProof/>
                <w:webHidden/>
              </w:rPr>
              <w:fldChar w:fldCharType="begin"/>
            </w:r>
            <w:r w:rsidR="008F5159">
              <w:rPr>
                <w:noProof/>
                <w:webHidden/>
              </w:rPr>
              <w:instrText xml:space="preserve"> PAGEREF _Toc117512417 \h </w:instrText>
            </w:r>
            <w:r w:rsidR="008F5159">
              <w:rPr>
                <w:noProof/>
                <w:webHidden/>
              </w:rPr>
            </w:r>
            <w:r w:rsidR="008F5159">
              <w:rPr>
                <w:noProof/>
                <w:webHidden/>
              </w:rPr>
              <w:fldChar w:fldCharType="separate"/>
            </w:r>
            <w:r w:rsidR="008F5159">
              <w:rPr>
                <w:noProof/>
                <w:webHidden/>
              </w:rPr>
              <w:t>129</w:t>
            </w:r>
            <w:r w:rsidR="008F5159">
              <w:rPr>
                <w:noProof/>
                <w:webHidden/>
              </w:rPr>
              <w:fldChar w:fldCharType="end"/>
            </w:r>
          </w:hyperlink>
        </w:p>
        <w:p w14:paraId="660B4D0C"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8" w:history="1">
            <w:r w:rsidR="008F5159" w:rsidRPr="00F86CA9">
              <w:rPr>
                <w:rStyle w:val="Hyperlink"/>
                <w:noProof/>
              </w:rPr>
              <w:t>9.5 Section 1983 Claim Against Local Governing Body Defendants Based on Unlawful Official Policy, Practice, or Custom—Elements and Burden of Proof</w:t>
            </w:r>
            <w:r w:rsidR="008F5159">
              <w:rPr>
                <w:noProof/>
                <w:webHidden/>
              </w:rPr>
              <w:tab/>
            </w:r>
            <w:r w:rsidR="008F5159">
              <w:rPr>
                <w:noProof/>
                <w:webHidden/>
              </w:rPr>
              <w:fldChar w:fldCharType="begin"/>
            </w:r>
            <w:r w:rsidR="008F5159">
              <w:rPr>
                <w:noProof/>
                <w:webHidden/>
              </w:rPr>
              <w:instrText xml:space="preserve"> PAGEREF _Toc117512418 \h </w:instrText>
            </w:r>
            <w:r w:rsidR="008F5159">
              <w:rPr>
                <w:noProof/>
                <w:webHidden/>
              </w:rPr>
            </w:r>
            <w:r w:rsidR="008F5159">
              <w:rPr>
                <w:noProof/>
                <w:webHidden/>
              </w:rPr>
              <w:fldChar w:fldCharType="separate"/>
            </w:r>
            <w:r w:rsidR="008F5159">
              <w:rPr>
                <w:noProof/>
                <w:webHidden/>
              </w:rPr>
              <w:t>132</w:t>
            </w:r>
            <w:r w:rsidR="008F5159">
              <w:rPr>
                <w:noProof/>
                <w:webHidden/>
              </w:rPr>
              <w:fldChar w:fldCharType="end"/>
            </w:r>
          </w:hyperlink>
        </w:p>
        <w:p w14:paraId="5A97C35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19" w:history="1">
            <w:r w:rsidR="008F5159" w:rsidRPr="00F86CA9">
              <w:rPr>
                <w:rStyle w:val="Hyperlink"/>
                <w:noProof/>
              </w:rPr>
              <w:t>9.6 Section 1983 Claim Against Local Governing Body Defendants Based on Act of Final Policymaker—Elements and Burden of Proof</w:t>
            </w:r>
            <w:r w:rsidR="008F5159">
              <w:rPr>
                <w:noProof/>
                <w:webHidden/>
              </w:rPr>
              <w:tab/>
            </w:r>
            <w:r w:rsidR="008F5159">
              <w:rPr>
                <w:noProof/>
                <w:webHidden/>
              </w:rPr>
              <w:fldChar w:fldCharType="begin"/>
            </w:r>
            <w:r w:rsidR="008F5159">
              <w:rPr>
                <w:noProof/>
                <w:webHidden/>
              </w:rPr>
              <w:instrText xml:space="preserve"> PAGEREF _Toc117512419 \h </w:instrText>
            </w:r>
            <w:r w:rsidR="008F5159">
              <w:rPr>
                <w:noProof/>
                <w:webHidden/>
              </w:rPr>
            </w:r>
            <w:r w:rsidR="008F5159">
              <w:rPr>
                <w:noProof/>
                <w:webHidden/>
              </w:rPr>
              <w:fldChar w:fldCharType="separate"/>
            </w:r>
            <w:r w:rsidR="008F5159">
              <w:rPr>
                <w:noProof/>
                <w:webHidden/>
              </w:rPr>
              <w:t>135</w:t>
            </w:r>
            <w:r w:rsidR="008F5159">
              <w:rPr>
                <w:noProof/>
                <w:webHidden/>
              </w:rPr>
              <w:fldChar w:fldCharType="end"/>
            </w:r>
          </w:hyperlink>
        </w:p>
        <w:p w14:paraId="0B2CBAD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0" w:history="1">
            <w:r w:rsidR="008F5159" w:rsidRPr="00F86CA9">
              <w:rPr>
                <w:rStyle w:val="Hyperlink"/>
                <w:noProof/>
              </w:rPr>
              <w:t>9.7 Section 1983 Claim Against Local Governing Body Defendants Based On Ratification—Elements and Burden of Proof</w:t>
            </w:r>
            <w:r w:rsidR="008F5159">
              <w:rPr>
                <w:noProof/>
                <w:webHidden/>
              </w:rPr>
              <w:tab/>
            </w:r>
            <w:r w:rsidR="008F5159">
              <w:rPr>
                <w:noProof/>
                <w:webHidden/>
              </w:rPr>
              <w:fldChar w:fldCharType="begin"/>
            </w:r>
            <w:r w:rsidR="008F5159">
              <w:rPr>
                <w:noProof/>
                <w:webHidden/>
              </w:rPr>
              <w:instrText xml:space="preserve"> PAGEREF _Toc117512420 \h </w:instrText>
            </w:r>
            <w:r w:rsidR="008F5159">
              <w:rPr>
                <w:noProof/>
                <w:webHidden/>
              </w:rPr>
            </w:r>
            <w:r w:rsidR="008F5159">
              <w:rPr>
                <w:noProof/>
                <w:webHidden/>
              </w:rPr>
              <w:fldChar w:fldCharType="separate"/>
            </w:r>
            <w:r w:rsidR="008F5159">
              <w:rPr>
                <w:noProof/>
                <w:webHidden/>
              </w:rPr>
              <w:t>137</w:t>
            </w:r>
            <w:r w:rsidR="008F5159">
              <w:rPr>
                <w:noProof/>
                <w:webHidden/>
              </w:rPr>
              <w:fldChar w:fldCharType="end"/>
            </w:r>
          </w:hyperlink>
        </w:p>
        <w:p w14:paraId="4E099237" w14:textId="58E0CC1E" w:rsidR="008F5159" w:rsidRDefault="00703520" w:rsidP="00BC4302">
          <w:pPr>
            <w:pStyle w:val="TOC2"/>
            <w:spacing w:before="40" w:afterLines="40" w:after="96"/>
            <w:rPr>
              <w:rFonts w:asciiTheme="minorHAnsi" w:eastAsiaTheme="minorEastAsia" w:hAnsiTheme="minorHAnsi"/>
              <w:noProof/>
              <w:sz w:val="22"/>
            </w:rPr>
          </w:pPr>
          <w:hyperlink w:anchor="_Toc117512421" w:history="1">
            <w:r w:rsidR="008F5159" w:rsidRPr="00F86CA9">
              <w:rPr>
                <w:rStyle w:val="Hyperlink"/>
                <w:noProof/>
              </w:rPr>
              <w:t>9.8 Section 1983 Claim Against Local Governing Body Defendants Based</w:t>
            </w:r>
          </w:hyperlink>
        </w:p>
        <w:p w14:paraId="603B3154" w14:textId="78BEB004"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422" w:history="1">
            <w:r w:rsidRPr="00F86CA9">
              <w:rPr>
                <w:rStyle w:val="Hyperlink"/>
                <w:noProof/>
              </w:rPr>
              <w:t>on a Policy That Fails to Prevent Violations of Law or a Policy</w:t>
            </w:r>
          </w:hyperlink>
        </w:p>
        <w:p w14:paraId="59E04C30" w14:textId="207447B5"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423" w:history="1">
            <w:r w:rsidRPr="00F86CA9">
              <w:rPr>
                <w:rStyle w:val="Hyperlink"/>
                <w:noProof/>
              </w:rPr>
              <w:t>of Failure to Train—Elements and Burden of Proof</w:t>
            </w:r>
            <w:r>
              <w:rPr>
                <w:noProof/>
                <w:webHidden/>
              </w:rPr>
              <w:tab/>
            </w:r>
            <w:r>
              <w:rPr>
                <w:noProof/>
                <w:webHidden/>
              </w:rPr>
              <w:fldChar w:fldCharType="begin"/>
            </w:r>
            <w:r>
              <w:rPr>
                <w:noProof/>
                <w:webHidden/>
              </w:rPr>
              <w:instrText xml:space="preserve"> PAGEREF _Toc117512423 \h </w:instrText>
            </w:r>
            <w:r>
              <w:rPr>
                <w:noProof/>
                <w:webHidden/>
              </w:rPr>
            </w:r>
            <w:r>
              <w:rPr>
                <w:noProof/>
                <w:webHidden/>
              </w:rPr>
              <w:fldChar w:fldCharType="separate"/>
            </w:r>
            <w:r>
              <w:rPr>
                <w:noProof/>
                <w:webHidden/>
              </w:rPr>
              <w:t>140</w:t>
            </w:r>
            <w:r>
              <w:rPr>
                <w:noProof/>
                <w:webHidden/>
              </w:rPr>
              <w:fldChar w:fldCharType="end"/>
            </w:r>
          </w:hyperlink>
        </w:p>
        <w:p w14:paraId="0CD7C421"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4" w:history="1">
            <w:r w:rsidR="008F5159" w:rsidRPr="00F86CA9">
              <w:rPr>
                <w:rStyle w:val="Hyperlink"/>
                <w:noProof/>
              </w:rPr>
              <w:t>9.9 Particular Rights—First Amendment—Public Employees—Speech</w:t>
            </w:r>
            <w:r w:rsidR="008F5159">
              <w:rPr>
                <w:noProof/>
                <w:webHidden/>
              </w:rPr>
              <w:tab/>
            </w:r>
            <w:r w:rsidR="008F5159">
              <w:rPr>
                <w:noProof/>
                <w:webHidden/>
              </w:rPr>
              <w:fldChar w:fldCharType="begin"/>
            </w:r>
            <w:r w:rsidR="008F5159">
              <w:rPr>
                <w:noProof/>
                <w:webHidden/>
              </w:rPr>
              <w:instrText xml:space="preserve"> PAGEREF _Toc117512424 \h </w:instrText>
            </w:r>
            <w:r w:rsidR="008F5159">
              <w:rPr>
                <w:noProof/>
                <w:webHidden/>
              </w:rPr>
            </w:r>
            <w:r w:rsidR="008F5159">
              <w:rPr>
                <w:noProof/>
                <w:webHidden/>
              </w:rPr>
              <w:fldChar w:fldCharType="separate"/>
            </w:r>
            <w:r w:rsidR="008F5159">
              <w:rPr>
                <w:noProof/>
                <w:webHidden/>
              </w:rPr>
              <w:t>144</w:t>
            </w:r>
            <w:r w:rsidR="008F5159">
              <w:rPr>
                <w:noProof/>
                <w:webHidden/>
              </w:rPr>
              <w:fldChar w:fldCharType="end"/>
            </w:r>
          </w:hyperlink>
        </w:p>
        <w:p w14:paraId="4C8BCEA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5" w:history="1">
            <w:r w:rsidR="008F5159" w:rsidRPr="00F86CA9">
              <w:rPr>
                <w:rStyle w:val="Hyperlink"/>
                <w:noProof/>
              </w:rPr>
              <w:t>9.10 Particular Rights—First Amendment—Public Employees—Speaking as a Private Citizen</w:t>
            </w:r>
            <w:r w:rsidR="008F5159">
              <w:rPr>
                <w:noProof/>
                <w:webHidden/>
              </w:rPr>
              <w:tab/>
            </w:r>
            <w:r w:rsidR="008F5159">
              <w:rPr>
                <w:noProof/>
                <w:webHidden/>
              </w:rPr>
              <w:fldChar w:fldCharType="begin"/>
            </w:r>
            <w:r w:rsidR="008F5159">
              <w:rPr>
                <w:noProof/>
                <w:webHidden/>
              </w:rPr>
              <w:instrText xml:space="preserve"> PAGEREF _Toc117512425 \h </w:instrText>
            </w:r>
            <w:r w:rsidR="008F5159">
              <w:rPr>
                <w:noProof/>
                <w:webHidden/>
              </w:rPr>
            </w:r>
            <w:r w:rsidR="008F5159">
              <w:rPr>
                <w:noProof/>
                <w:webHidden/>
              </w:rPr>
              <w:fldChar w:fldCharType="separate"/>
            </w:r>
            <w:r w:rsidR="008F5159">
              <w:rPr>
                <w:noProof/>
                <w:webHidden/>
              </w:rPr>
              <w:t>148</w:t>
            </w:r>
            <w:r w:rsidR="008F5159">
              <w:rPr>
                <w:noProof/>
                <w:webHidden/>
              </w:rPr>
              <w:fldChar w:fldCharType="end"/>
            </w:r>
          </w:hyperlink>
        </w:p>
        <w:p w14:paraId="2A848E87"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6" w:history="1">
            <w:r w:rsidR="008F5159" w:rsidRPr="00F86CA9">
              <w:rPr>
                <w:rStyle w:val="Hyperlink"/>
                <w:noProof/>
              </w:rPr>
              <w:t>9.11 Particular Rights—First Amendment— “Citizen” Plaintiff</w:t>
            </w:r>
            <w:r w:rsidR="008F5159">
              <w:rPr>
                <w:noProof/>
                <w:webHidden/>
              </w:rPr>
              <w:tab/>
            </w:r>
            <w:r w:rsidR="008F5159">
              <w:rPr>
                <w:noProof/>
                <w:webHidden/>
              </w:rPr>
              <w:fldChar w:fldCharType="begin"/>
            </w:r>
            <w:r w:rsidR="008F5159">
              <w:rPr>
                <w:noProof/>
                <w:webHidden/>
              </w:rPr>
              <w:instrText xml:space="preserve"> PAGEREF _Toc117512426 \h </w:instrText>
            </w:r>
            <w:r w:rsidR="008F5159">
              <w:rPr>
                <w:noProof/>
                <w:webHidden/>
              </w:rPr>
            </w:r>
            <w:r w:rsidR="008F5159">
              <w:rPr>
                <w:noProof/>
                <w:webHidden/>
              </w:rPr>
              <w:fldChar w:fldCharType="separate"/>
            </w:r>
            <w:r w:rsidR="008F5159">
              <w:rPr>
                <w:noProof/>
                <w:webHidden/>
              </w:rPr>
              <w:t>150</w:t>
            </w:r>
            <w:r w:rsidR="008F5159">
              <w:rPr>
                <w:noProof/>
                <w:webHidden/>
              </w:rPr>
              <w:fldChar w:fldCharType="end"/>
            </w:r>
          </w:hyperlink>
        </w:p>
        <w:p w14:paraId="3A5C960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7" w:history="1">
            <w:r w:rsidR="008F5159" w:rsidRPr="00F86CA9">
              <w:rPr>
                <w:rStyle w:val="Hyperlink"/>
                <w:noProof/>
              </w:rPr>
              <w:t>9.12 Particular Rights—Fourth Amendment—Unreasonable Search—Generally</w:t>
            </w:r>
            <w:r w:rsidR="008F5159">
              <w:rPr>
                <w:noProof/>
                <w:webHidden/>
              </w:rPr>
              <w:tab/>
            </w:r>
            <w:r w:rsidR="008F5159">
              <w:rPr>
                <w:noProof/>
                <w:webHidden/>
              </w:rPr>
              <w:fldChar w:fldCharType="begin"/>
            </w:r>
            <w:r w:rsidR="008F5159">
              <w:rPr>
                <w:noProof/>
                <w:webHidden/>
              </w:rPr>
              <w:instrText xml:space="preserve"> PAGEREF _Toc117512427 \h </w:instrText>
            </w:r>
            <w:r w:rsidR="008F5159">
              <w:rPr>
                <w:noProof/>
                <w:webHidden/>
              </w:rPr>
            </w:r>
            <w:r w:rsidR="008F5159">
              <w:rPr>
                <w:noProof/>
                <w:webHidden/>
              </w:rPr>
              <w:fldChar w:fldCharType="separate"/>
            </w:r>
            <w:r w:rsidR="008F5159">
              <w:rPr>
                <w:noProof/>
                <w:webHidden/>
              </w:rPr>
              <w:t>155</w:t>
            </w:r>
            <w:r w:rsidR="008F5159">
              <w:rPr>
                <w:noProof/>
                <w:webHidden/>
              </w:rPr>
              <w:fldChar w:fldCharType="end"/>
            </w:r>
          </w:hyperlink>
        </w:p>
        <w:p w14:paraId="0CF555BB"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8" w:history="1">
            <w:r w:rsidR="008F5159" w:rsidRPr="00F86CA9">
              <w:rPr>
                <w:rStyle w:val="Hyperlink"/>
                <w:noProof/>
              </w:rPr>
              <w:t>9.13 Particular Rights—Fourth Amendment—Unreasonable Search—Exception to Warrant Requirement—Search Incident to Arrest</w:t>
            </w:r>
            <w:r w:rsidR="008F5159">
              <w:rPr>
                <w:noProof/>
                <w:webHidden/>
              </w:rPr>
              <w:tab/>
            </w:r>
            <w:r w:rsidR="008F5159">
              <w:rPr>
                <w:noProof/>
                <w:webHidden/>
              </w:rPr>
              <w:fldChar w:fldCharType="begin"/>
            </w:r>
            <w:r w:rsidR="008F5159">
              <w:rPr>
                <w:noProof/>
                <w:webHidden/>
              </w:rPr>
              <w:instrText xml:space="preserve"> PAGEREF _Toc117512428 \h </w:instrText>
            </w:r>
            <w:r w:rsidR="008F5159">
              <w:rPr>
                <w:noProof/>
                <w:webHidden/>
              </w:rPr>
            </w:r>
            <w:r w:rsidR="008F5159">
              <w:rPr>
                <w:noProof/>
                <w:webHidden/>
              </w:rPr>
              <w:fldChar w:fldCharType="separate"/>
            </w:r>
            <w:r w:rsidR="008F5159">
              <w:rPr>
                <w:noProof/>
                <w:webHidden/>
              </w:rPr>
              <w:t>158</w:t>
            </w:r>
            <w:r w:rsidR="008F5159">
              <w:rPr>
                <w:noProof/>
                <w:webHidden/>
              </w:rPr>
              <w:fldChar w:fldCharType="end"/>
            </w:r>
          </w:hyperlink>
        </w:p>
        <w:p w14:paraId="3AE694B7" w14:textId="77777777" w:rsidR="008F5159" w:rsidRDefault="00703520" w:rsidP="00BC4302">
          <w:pPr>
            <w:pStyle w:val="TOC2"/>
            <w:spacing w:before="40" w:afterLines="40" w:after="96"/>
            <w:rPr>
              <w:rFonts w:asciiTheme="minorHAnsi" w:eastAsiaTheme="minorEastAsia" w:hAnsiTheme="minorHAnsi"/>
              <w:noProof/>
              <w:sz w:val="22"/>
            </w:rPr>
          </w:pPr>
          <w:hyperlink w:anchor="_Toc117512429" w:history="1">
            <w:r w:rsidR="008F5159" w:rsidRPr="00F86CA9">
              <w:rPr>
                <w:rStyle w:val="Hyperlink"/>
                <w:noProof/>
              </w:rPr>
              <w:t>9.14 Particular Rights—Fourth Amendment—Unreasonable Search— Exception to Warrant Requirement—Search of Vehicle Incident to Arrest of a Recent Occupant</w:t>
            </w:r>
            <w:r w:rsidR="008F5159">
              <w:rPr>
                <w:noProof/>
                <w:webHidden/>
              </w:rPr>
              <w:tab/>
            </w:r>
            <w:r w:rsidR="008F5159">
              <w:rPr>
                <w:noProof/>
                <w:webHidden/>
              </w:rPr>
              <w:fldChar w:fldCharType="begin"/>
            </w:r>
            <w:r w:rsidR="008F5159">
              <w:rPr>
                <w:noProof/>
                <w:webHidden/>
              </w:rPr>
              <w:instrText xml:space="preserve"> PAGEREF _Toc117512429 \h </w:instrText>
            </w:r>
            <w:r w:rsidR="008F5159">
              <w:rPr>
                <w:noProof/>
                <w:webHidden/>
              </w:rPr>
            </w:r>
            <w:r w:rsidR="008F5159">
              <w:rPr>
                <w:noProof/>
                <w:webHidden/>
              </w:rPr>
              <w:fldChar w:fldCharType="separate"/>
            </w:r>
            <w:r w:rsidR="008F5159">
              <w:rPr>
                <w:noProof/>
                <w:webHidden/>
              </w:rPr>
              <w:t>161</w:t>
            </w:r>
            <w:r w:rsidR="008F5159">
              <w:rPr>
                <w:noProof/>
                <w:webHidden/>
              </w:rPr>
              <w:fldChar w:fldCharType="end"/>
            </w:r>
          </w:hyperlink>
        </w:p>
        <w:p w14:paraId="3AE409A5"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0" w:history="1">
            <w:r w:rsidR="008F5159" w:rsidRPr="00F86CA9">
              <w:rPr>
                <w:rStyle w:val="Hyperlink"/>
                <w:noProof/>
              </w:rPr>
              <w:t>9.15 Particular Rights—Fourth Amendment—Unreasonable Search—Exception to Warrant Requirement—Consent</w:t>
            </w:r>
            <w:r w:rsidR="008F5159">
              <w:rPr>
                <w:noProof/>
                <w:webHidden/>
              </w:rPr>
              <w:tab/>
            </w:r>
            <w:r w:rsidR="008F5159">
              <w:rPr>
                <w:noProof/>
                <w:webHidden/>
              </w:rPr>
              <w:fldChar w:fldCharType="begin"/>
            </w:r>
            <w:r w:rsidR="008F5159">
              <w:rPr>
                <w:noProof/>
                <w:webHidden/>
              </w:rPr>
              <w:instrText xml:space="preserve"> PAGEREF _Toc117512430 \h </w:instrText>
            </w:r>
            <w:r w:rsidR="008F5159">
              <w:rPr>
                <w:noProof/>
                <w:webHidden/>
              </w:rPr>
            </w:r>
            <w:r w:rsidR="008F5159">
              <w:rPr>
                <w:noProof/>
                <w:webHidden/>
              </w:rPr>
              <w:fldChar w:fldCharType="separate"/>
            </w:r>
            <w:r w:rsidR="008F5159">
              <w:rPr>
                <w:noProof/>
                <w:webHidden/>
              </w:rPr>
              <w:t>163</w:t>
            </w:r>
            <w:r w:rsidR="008F5159">
              <w:rPr>
                <w:noProof/>
                <w:webHidden/>
              </w:rPr>
              <w:fldChar w:fldCharType="end"/>
            </w:r>
          </w:hyperlink>
        </w:p>
        <w:p w14:paraId="5952DEA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1" w:history="1">
            <w:r w:rsidR="008F5159" w:rsidRPr="00F86CA9">
              <w:rPr>
                <w:rStyle w:val="Hyperlink"/>
                <w:noProof/>
              </w:rPr>
              <w:t>9.16 Particular Rights—Fourth Amendment—Unreasonable Search—Exception to Warrant Requirement—Exigent Circumstances</w:t>
            </w:r>
            <w:r w:rsidR="008F5159">
              <w:rPr>
                <w:noProof/>
                <w:webHidden/>
              </w:rPr>
              <w:tab/>
            </w:r>
            <w:r w:rsidR="008F5159">
              <w:rPr>
                <w:noProof/>
                <w:webHidden/>
              </w:rPr>
              <w:fldChar w:fldCharType="begin"/>
            </w:r>
            <w:r w:rsidR="008F5159">
              <w:rPr>
                <w:noProof/>
                <w:webHidden/>
              </w:rPr>
              <w:instrText xml:space="preserve"> PAGEREF _Toc117512431 \h </w:instrText>
            </w:r>
            <w:r w:rsidR="008F5159">
              <w:rPr>
                <w:noProof/>
                <w:webHidden/>
              </w:rPr>
            </w:r>
            <w:r w:rsidR="008F5159">
              <w:rPr>
                <w:noProof/>
                <w:webHidden/>
              </w:rPr>
              <w:fldChar w:fldCharType="separate"/>
            </w:r>
            <w:r w:rsidR="008F5159">
              <w:rPr>
                <w:noProof/>
                <w:webHidden/>
              </w:rPr>
              <w:t>166</w:t>
            </w:r>
            <w:r w:rsidR="008F5159">
              <w:rPr>
                <w:noProof/>
                <w:webHidden/>
              </w:rPr>
              <w:fldChar w:fldCharType="end"/>
            </w:r>
          </w:hyperlink>
        </w:p>
        <w:p w14:paraId="5B33783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2" w:history="1">
            <w:r w:rsidR="008F5159" w:rsidRPr="00F86CA9">
              <w:rPr>
                <w:rStyle w:val="Hyperlink"/>
                <w:noProof/>
              </w:rPr>
              <w:t>9.17 Particular Rights—Fourth Amendment—Unreasonable Search—Exception to Warrant Requirement—Emergency Aid</w:t>
            </w:r>
            <w:r w:rsidR="008F5159">
              <w:rPr>
                <w:noProof/>
                <w:webHidden/>
              </w:rPr>
              <w:tab/>
            </w:r>
            <w:r w:rsidR="008F5159">
              <w:rPr>
                <w:noProof/>
                <w:webHidden/>
              </w:rPr>
              <w:fldChar w:fldCharType="begin"/>
            </w:r>
            <w:r w:rsidR="008F5159">
              <w:rPr>
                <w:noProof/>
                <w:webHidden/>
              </w:rPr>
              <w:instrText xml:space="preserve"> PAGEREF _Toc117512432 \h </w:instrText>
            </w:r>
            <w:r w:rsidR="008F5159">
              <w:rPr>
                <w:noProof/>
                <w:webHidden/>
              </w:rPr>
            </w:r>
            <w:r w:rsidR="008F5159">
              <w:rPr>
                <w:noProof/>
                <w:webHidden/>
              </w:rPr>
              <w:fldChar w:fldCharType="separate"/>
            </w:r>
            <w:r w:rsidR="008F5159">
              <w:rPr>
                <w:noProof/>
                <w:webHidden/>
              </w:rPr>
              <w:t>169</w:t>
            </w:r>
            <w:r w:rsidR="008F5159">
              <w:rPr>
                <w:noProof/>
                <w:webHidden/>
              </w:rPr>
              <w:fldChar w:fldCharType="end"/>
            </w:r>
          </w:hyperlink>
        </w:p>
        <w:p w14:paraId="6098AD6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3" w:history="1">
            <w:r w:rsidR="008F5159" w:rsidRPr="00F86CA9">
              <w:rPr>
                <w:rStyle w:val="Hyperlink"/>
                <w:noProof/>
              </w:rPr>
              <w:t>9.17A Particular Rights—Fourth Amendment—Unreasonable Search— Judicial Deception</w:t>
            </w:r>
            <w:r w:rsidR="008F5159">
              <w:rPr>
                <w:noProof/>
                <w:webHidden/>
              </w:rPr>
              <w:tab/>
            </w:r>
            <w:r w:rsidR="008F5159">
              <w:rPr>
                <w:noProof/>
                <w:webHidden/>
              </w:rPr>
              <w:fldChar w:fldCharType="begin"/>
            </w:r>
            <w:r w:rsidR="008F5159">
              <w:rPr>
                <w:noProof/>
                <w:webHidden/>
              </w:rPr>
              <w:instrText xml:space="preserve"> PAGEREF _Toc117512433 \h </w:instrText>
            </w:r>
            <w:r w:rsidR="008F5159">
              <w:rPr>
                <w:noProof/>
                <w:webHidden/>
              </w:rPr>
            </w:r>
            <w:r w:rsidR="008F5159">
              <w:rPr>
                <w:noProof/>
                <w:webHidden/>
              </w:rPr>
              <w:fldChar w:fldCharType="separate"/>
            </w:r>
            <w:r w:rsidR="008F5159">
              <w:rPr>
                <w:noProof/>
                <w:webHidden/>
              </w:rPr>
              <w:t>171</w:t>
            </w:r>
            <w:r w:rsidR="008F5159">
              <w:rPr>
                <w:noProof/>
                <w:webHidden/>
              </w:rPr>
              <w:fldChar w:fldCharType="end"/>
            </w:r>
          </w:hyperlink>
        </w:p>
        <w:p w14:paraId="5C402752"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4" w:history="1">
            <w:r w:rsidR="008F5159" w:rsidRPr="00F86CA9">
              <w:rPr>
                <w:rStyle w:val="Hyperlink"/>
                <w:noProof/>
              </w:rPr>
              <w:t>9.18 Particular Rights—Fourth Amendment—Unreasonable Seizure of Property—Generally</w:t>
            </w:r>
            <w:r w:rsidR="008F5159">
              <w:rPr>
                <w:noProof/>
                <w:webHidden/>
              </w:rPr>
              <w:tab/>
            </w:r>
            <w:r w:rsidR="008F5159">
              <w:rPr>
                <w:noProof/>
                <w:webHidden/>
              </w:rPr>
              <w:fldChar w:fldCharType="begin"/>
            </w:r>
            <w:r w:rsidR="008F5159">
              <w:rPr>
                <w:noProof/>
                <w:webHidden/>
              </w:rPr>
              <w:instrText xml:space="preserve"> PAGEREF _Toc117512434 \h </w:instrText>
            </w:r>
            <w:r w:rsidR="008F5159">
              <w:rPr>
                <w:noProof/>
                <w:webHidden/>
              </w:rPr>
            </w:r>
            <w:r w:rsidR="008F5159">
              <w:rPr>
                <w:noProof/>
                <w:webHidden/>
              </w:rPr>
              <w:fldChar w:fldCharType="separate"/>
            </w:r>
            <w:r w:rsidR="008F5159">
              <w:rPr>
                <w:noProof/>
                <w:webHidden/>
              </w:rPr>
              <w:t>173</w:t>
            </w:r>
            <w:r w:rsidR="008F5159">
              <w:rPr>
                <w:noProof/>
                <w:webHidden/>
              </w:rPr>
              <w:fldChar w:fldCharType="end"/>
            </w:r>
          </w:hyperlink>
        </w:p>
        <w:p w14:paraId="243160C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5" w:history="1">
            <w:r w:rsidR="008F5159" w:rsidRPr="00F86CA9">
              <w:rPr>
                <w:rStyle w:val="Hyperlink"/>
                <w:noProof/>
              </w:rPr>
              <w:t>9.19 Particular Rights—Fourth Amendment—Unreasonable Seizure of Property—Exceptions to Warrant Requirement</w:t>
            </w:r>
            <w:r w:rsidR="008F5159">
              <w:rPr>
                <w:noProof/>
                <w:webHidden/>
              </w:rPr>
              <w:tab/>
            </w:r>
            <w:r w:rsidR="008F5159">
              <w:rPr>
                <w:noProof/>
                <w:webHidden/>
              </w:rPr>
              <w:fldChar w:fldCharType="begin"/>
            </w:r>
            <w:r w:rsidR="008F5159">
              <w:rPr>
                <w:noProof/>
                <w:webHidden/>
              </w:rPr>
              <w:instrText xml:space="preserve"> PAGEREF _Toc117512435 \h </w:instrText>
            </w:r>
            <w:r w:rsidR="008F5159">
              <w:rPr>
                <w:noProof/>
                <w:webHidden/>
              </w:rPr>
            </w:r>
            <w:r w:rsidR="008F5159">
              <w:rPr>
                <w:noProof/>
                <w:webHidden/>
              </w:rPr>
              <w:fldChar w:fldCharType="separate"/>
            </w:r>
            <w:r w:rsidR="008F5159">
              <w:rPr>
                <w:noProof/>
                <w:webHidden/>
              </w:rPr>
              <w:t>175</w:t>
            </w:r>
            <w:r w:rsidR="008F5159">
              <w:rPr>
                <w:noProof/>
                <w:webHidden/>
              </w:rPr>
              <w:fldChar w:fldCharType="end"/>
            </w:r>
          </w:hyperlink>
        </w:p>
        <w:p w14:paraId="1559E8D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6" w:history="1">
            <w:r w:rsidR="008F5159" w:rsidRPr="00F86CA9">
              <w:rPr>
                <w:rStyle w:val="Hyperlink"/>
                <w:noProof/>
              </w:rPr>
              <w:t>9.20 Particular Rights—Fourth Amendment—Unreasonable Seizure of Person—Generally</w:t>
            </w:r>
            <w:r w:rsidR="008F5159">
              <w:rPr>
                <w:noProof/>
                <w:webHidden/>
              </w:rPr>
              <w:tab/>
            </w:r>
            <w:r w:rsidR="008F5159">
              <w:rPr>
                <w:noProof/>
                <w:webHidden/>
              </w:rPr>
              <w:fldChar w:fldCharType="begin"/>
            </w:r>
            <w:r w:rsidR="008F5159">
              <w:rPr>
                <w:noProof/>
                <w:webHidden/>
              </w:rPr>
              <w:instrText xml:space="preserve"> PAGEREF _Toc117512436 \h </w:instrText>
            </w:r>
            <w:r w:rsidR="008F5159">
              <w:rPr>
                <w:noProof/>
                <w:webHidden/>
              </w:rPr>
            </w:r>
            <w:r w:rsidR="008F5159">
              <w:rPr>
                <w:noProof/>
                <w:webHidden/>
              </w:rPr>
              <w:fldChar w:fldCharType="separate"/>
            </w:r>
            <w:r w:rsidR="008F5159">
              <w:rPr>
                <w:noProof/>
                <w:webHidden/>
              </w:rPr>
              <w:t>177</w:t>
            </w:r>
            <w:r w:rsidR="008F5159">
              <w:rPr>
                <w:noProof/>
                <w:webHidden/>
              </w:rPr>
              <w:fldChar w:fldCharType="end"/>
            </w:r>
          </w:hyperlink>
        </w:p>
        <w:p w14:paraId="35473FD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7" w:history="1">
            <w:r w:rsidR="008F5159" w:rsidRPr="00F86CA9">
              <w:rPr>
                <w:rStyle w:val="Hyperlink"/>
                <w:noProof/>
              </w:rPr>
              <w:t>9.21 Particular Rights—Fourth Amendment—Unreasonable Seizure of Person—Exception to Warrant Requirement—</w:t>
            </w:r>
            <w:r w:rsidR="008F5159" w:rsidRPr="00F86CA9">
              <w:rPr>
                <w:rStyle w:val="Hyperlink"/>
                <w:i/>
                <w:iCs/>
                <w:noProof/>
              </w:rPr>
              <w:t>Terry</w:t>
            </w:r>
            <w:r w:rsidR="008F5159" w:rsidRPr="00F86CA9">
              <w:rPr>
                <w:rStyle w:val="Hyperlink"/>
                <w:noProof/>
              </w:rPr>
              <w:t xml:space="preserve"> Stop</w:t>
            </w:r>
            <w:r w:rsidR="008F5159">
              <w:rPr>
                <w:noProof/>
                <w:webHidden/>
              </w:rPr>
              <w:tab/>
            </w:r>
            <w:r w:rsidR="008F5159">
              <w:rPr>
                <w:noProof/>
                <w:webHidden/>
              </w:rPr>
              <w:fldChar w:fldCharType="begin"/>
            </w:r>
            <w:r w:rsidR="008F5159">
              <w:rPr>
                <w:noProof/>
                <w:webHidden/>
              </w:rPr>
              <w:instrText xml:space="preserve"> PAGEREF _Toc117512437 \h </w:instrText>
            </w:r>
            <w:r w:rsidR="008F5159">
              <w:rPr>
                <w:noProof/>
                <w:webHidden/>
              </w:rPr>
            </w:r>
            <w:r w:rsidR="008F5159">
              <w:rPr>
                <w:noProof/>
                <w:webHidden/>
              </w:rPr>
              <w:fldChar w:fldCharType="separate"/>
            </w:r>
            <w:r w:rsidR="008F5159">
              <w:rPr>
                <w:noProof/>
                <w:webHidden/>
              </w:rPr>
              <w:t>180</w:t>
            </w:r>
            <w:r w:rsidR="008F5159">
              <w:rPr>
                <w:noProof/>
                <w:webHidden/>
              </w:rPr>
              <w:fldChar w:fldCharType="end"/>
            </w:r>
          </w:hyperlink>
        </w:p>
        <w:p w14:paraId="09685DD1"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8" w:history="1">
            <w:r w:rsidR="008F5159" w:rsidRPr="00F86CA9">
              <w:rPr>
                <w:rStyle w:val="Hyperlink"/>
                <w:noProof/>
              </w:rPr>
              <w:t>9.22 Particular Rights—Fourth Amendment—Unreasonable Search—Exception to Warrant Requirement—</w:t>
            </w:r>
            <w:r w:rsidR="008F5159" w:rsidRPr="00F86CA9">
              <w:rPr>
                <w:rStyle w:val="Hyperlink"/>
                <w:i/>
                <w:iCs/>
                <w:noProof/>
              </w:rPr>
              <w:t>Terry</w:t>
            </w:r>
            <w:r w:rsidR="008F5159" w:rsidRPr="00F86CA9">
              <w:rPr>
                <w:rStyle w:val="Hyperlink"/>
                <w:noProof/>
              </w:rPr>
              <w:t xml:space="preserve"> Frisk</w:t>
            </w:r>
            <w:r w:rsidR="008F5159">
              <w:rPr>
                <w:noProof/>
                <w:webHidden/>
              </w:rPr>
              <w:tab/>
            </w:r>
            <w:r w:rsidR="008F5159">
              <w:rPr>
                <w:noProof/>
                <w:webHidden/>
              </w:rPr>
              <w:fldChar w:fldCharType="begin"/>
            </w:r>
            <w:r w:rsidR="008F5159">
              <w:rPr>
                <w:noProof/>
                <w:webHidden/>
              </w:rPr>
              <w:instrText xml:space="preserve"> PAGEREF _Toc117512438 \h </w:instrText>
            </w:r>
            <w:r w:rsidR="008F5159">
              <w:rPr>
                <w:noProof/>
                <w:webHidden/>
              </w:rPr>
            </w:r>
            <w:r w:rsidR="008F5159">
              <w:rPr>
                <w:noProof/>
                <w:webHidden/>
              </w:rPr>
              <w:fldChar w:fldCharType="separate"/>
            </w:r>
            <w:r w:rsidR="008F5159">
              <w:rPr>
                <w:noProof/>
                <w:webHidden/>
              </w:rPr>
              <w:t>183</w:t>
            </w:r>
            <w:r w:rsidR="008F5159">
              <w:rPr>
                <w:noProof/>
                <w:webHidden/>
              </w:rPr>
              <w:fldChar w:fldCharType="end"/>
            </w:r>
          </w:hyperlink>
        </w:p>
        <w:p w14:paraId="03E3DE71" w14:textId="77777777" w:rsidR="008F5159" w:rsidRDefault="00703520" w:rsidP="00BC4302">
          <w:pPr>
            <w:pStyle w:val="TOC2"/>
            <w:spacing w:before="40" w:afterLines="40" w:after="96"/>
            <w:rPr>
              <w:rFonts w:asciiTheme="minorHAnsi" w:eastAsiaTheme="minorEastAsia" w:hAnsiTheme="minorHAnsi"/>
              <w:noProof/>
              <w:sz w:val="22"/>
            </w:rPr>
          </w:pPr>
          <w:hyperlink w:anchor="_Toc117512439" w:history="1">
            <w:r w:rsidR="008F5159" w:rsidRPr="00F86CA9">
              <w:rPr>
                <w:rStyle w:val="Hyperlink"/>
                <w:noProof/>
              </w:rPr>
              <w:t>9.23 Particular Rights—Fourth Amendment—Unreasonable Seizure of Person—Probable Cause Arrest</w:t>
            </w:r>
            <w:r w:rsidR="008F5159">
              <w:rPr>
                <w:noProof/>
                <w:webHidden/>
              </w:rPr>
              <w:tab/>
            </w:r>
            <w:r w:rsidR="008F5159">
              <w:rPr>
                <w:noProof/>
                <w:webHidden/>
              </w:rPr>
              <w:fldChar w:fldCharType="begin"/>
            </w:r>
            <w:r w:rsidR="008F5159">
              <w:rPr>
                <w:noProof/>
                <w:webHidden/>
              </w:rPr>
              <w:instrText xml:space="preserve"> PAGEREF _Toc117512439 \h </w:instrText>
            </w:r>
            <w:r w:rsidR="008F5159">
              <w:rPr>
                <w:noProof/>
                <w:webHidden/>
              </w:rPr>
            </w:r>
            <w:r w:rsidR="008F5159">
              <w:rPr>
                <w:noProof/>
                <w:webHidden/>
              </w:rPr>
              <w:fldChar w:fldCharType="separate"/>
            </w:r>
            <w:r w:rsidR="008F5159">
              <w:rPr>
                <w:noProof/>
                <w:webHidden/>
              </w:rPr>
              <w:t>185</w:t>
            </w:r>
            <w:r w:rsidR="008F5159">
              <w:rPr>
                <w:noProof/>
                <w:webHidden/>
              </w:rPr>
              <w:fldChar w:fldCharType="end"/>
            </w:r>
          </w:hyperlink>
        </w:p>
        <w:p w14:paraId="57D93B6A" w14:textId="77777777" w:rsidR="008F5159" w:rsidRDefault="00703520" w:rsidP="00BC4302">
          <w:pPr>
            <w:pStyle w:val="TOC2"/>
            <w:spacing w:before="40" w:afterLines="40" w:after="96"/>
            <w:rPr>
              <w:rFonts w:asciiTheme="minorHAnsi" w:eastAsiaTheme="minorEastAsia" w:hAnsiTheme="minorHAnsi"/>
              <w:noProof/>
              <w:sz w:val="22"/>
            </w:rPr>
          </w:pPr>
          <w:hyperlink w:anchor="_Toc117512440" w:history="1">
            <w:r w:rsidR="008F5159" w:rsidRPr="00F86CA9">
              <w:rPr>
                <w:rStyle w:val="Hyperlink"/>
                <w:noProof/>
              </w:rPr>
              <w:t>9.24 Particular Rights—Fourth Amendment—Unreasonable Seizure of Person—Detention During Execution of Search Warrant</w:t>
            </w:r>
            <w:r w:rsidR="008F5159">
              <w:rPr>
                <w:noProof/>
                <w:webHidden/>
              </w:rPr>
              <w:tab/>
            </w:r>
            <w:r w:rsidR="008F5159">
              <w:rPr>
                <w:noProof/>
                <w:webHidden/>
              </w:rPr>
              <w:fldChar w:fldCharType="begin"/>
            </w:r>
            <w:r w:rsidR="008F5159">
              <w:rPr>
                <w:noProof/>
                <w:webHidden/>
              </w:rPr>
              <w:instrText xml:space="preserve"> PAGEREF _Toc117512440 \h </w:instrText>
            </w:r>
            <w:r w:rsidR="008F5159">
              <w:rPr>
                <w:noProof/>
                <w:webHidden/>
              </w:rPr>
            </w:r>
            <w:r w:rsidR="008F5159">
              <w:rPr>
                <w:noProof/>
                <w:webHidden/>
              </w:rPr>
              <w:fldChar w:fldCharType="separate"/>
            </w:r>
            <w:r w:rsidR="008F5159">
              <w:rPr>
                <w:noProof/>
                <w:webHidden/>
              </w:rPr>
              <w:t>188</w:t>
            </w:r>
            <w:r w:rsidR="008F5159">
              <w:rPr>
                <w:noProof/>
                <w:webHidden/>
              </w:rPr>
              <w:fldChar w:fldCharType="end"/>
            </w:r>
          </w:hyperlink>
        </w:p>
        <w:p w14:paraId="43C92B59" w14:textId="77777777" w:rsidR="008F5159" w:rsidRDefault="00703520" w:rsidP="00BC4302">
          <w:pPr>
            <w:pStyle w:val="TOC2"/>
            <w:spacing w:before="40" w:afterLines="40" w:after="96"/>
            <w:rPr>
              <w:rFonts w:asciiTheme="minorHAnsi" w:eastAsiaTheme="minorEastAsia" w:hAnsiTheme="minorHAnsi"/>
              <w:noProof/>
              <w:sz w:val="22"/>
            </w:rPr>
          </w:pPr>
          <w:hyperlink w:anchor="_Toc117512441" w:history="1">
            <w:r w:rsidR="008F5159" w:rsidRPr="00F86CA9">
              <w:rPr>
                <w:rStyle w:val="Hyperlink"/>
                <w:noProof/>
              </w:rPr>
              <w:t>9.25 Particular Rights—Fourth Amendment—Unreasonable</w:t>
            </w:r>
            <w:r w:rsidR="008F5159">
              <w:rPr>
                <w:noProof/>
                <w:webHidden/>
              </w:rPr>
              <w:tab/>
            </w:r>
            <w:r w:rsidR="008F5159">
              <w:rPr>
                <w:noProof/>
                <w:webHidden/>
              </w:rPr>
              <w:fldChar w:fldCharType="begin"/>
            </w:r>
            <w:r w:rsidR="008F5159">
              <w:rPr>
                <w:noProof/>
                <w:webHidden/>
              </w:rPr>
              <w:instrText xml:space="preserve"> PAGEREF _Toc117512441 \h </w:instrText>
            </w:r>
            <w:r w:rsidR="008F5159">
              <w:rPr>
                <w:noProof/>
                <w:webHidden/>
              </w:rPr>
            </w:r>
            <w:r w:rsidR="008F5159">
              <w:rPr>
                <w:noProof/>
                <w:webHidden/>
              </w:rPr>
              <w:fldChar w:fldCharType="separate"/>
            </w:r>
            <w:r w:rsidR="008F5159">
              <w:rPr>
                <w:noProof/>
                <w:webHidden/>
              </w:rPr>
              <w:t>191</w:t>
            </w:r>
            <w:r w:rsidR="008F5159">
              <w:rPr>
                <w:noProof/>
                <w:webHidden/>
              </w:rPr>
              <w:fldChar w:fldCharType="end"/>
            </w:r>
          </w:hyperlink>
        </w:p>
        <w:p w14:paraId="1790C702" w14:textId="27EFAF9E"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442" w:history="1">
            <w:r w:rsidRPr="00F86CA9">
              <w:rPr>
                <w:rStyle w:val="Hyperlink"/>
                <w:noProof/>
              </w:rPr>
              <w:t>Seizure of Person—Excessive Force</w:t>
            </w:r>
            <w:r>
              <w:rPr>
                <w:noProof/>
                <w:webHidden/>
              </w:rPr>
              <w:tab/>
            </w:r>
            <w:r>
              <w:rPr>
                <w:noProof/>
                <w:webHidden/>
              </w:rPr>
              <w:fldChar w:fldCharType="begin"/>
            </w:r>
            <w:r>
              <w:rPr>
                <w:noProof/>
                <w:webHidden/>
              </w:rPr>
              <w:instrText xml:space="preserve"> PAGEREF _Toc117512442 \h </w:instrText>
            </w:r>
            <w:r>
              <w:rPr>
                <w:noProof/>
                <w:webHidden/>
              </w:rPr>
            </w:r>
            <w:r>
              <w:rPr>
                <w:noProof/>
                <w:webHidden/>
              </w:rPr>
              <w:fldChar w:fldCharType="separate"/>
            </w:r>
            <w:r>
              <w:rPr>
                <w:noProof/>
                <w:webHidden/>
              </w:rPr>
              <w:t>191</w:t>
            </w:r>
            <w:r>
              <w:rPr>
                <w:noProof/>
                <w:webHidden/>
              </w:rPr>
              <w:fldChar w:fldCharType="end"/>
            </w:r>
          </w:hyperlink>
        </w:p>
        <w:p w14:paraId="282F4AC1" w14:textId="79632AD6" w:rsidR="008F5159" w:rsidRDefault="00703520" w:rsidP="00BC4302">
          <w:pPr>
            <w:pStyle w:val="TOC2"/>
            <w:spacing w:before="40" w:afterLines="40" w:after="96"/>
            <w:rPr>
              <w:rFonts w:asciiTheme="minorHAnsi" w:eastAsiaTheme="minorEastAsia" w:hAnsiTheme="minorHAnsi"/>
              <w:noProof/>
              <w:sz w:val="22"/>
            </w:rPr>
          </w:pPr>
          <w:hyperlink w:anchor="_Toc117512443" w:history="1">
            <w:r w:rsidR="008F5159" w:rsidRPr="00F86CA9">
              <w:rPr>
                <w:rStyle w:val="Hyperlink"/>
                <w:noProof/>
              </w:rPr>
              <w:t>9.25A Particular Rights—Sixth Amendment—Right to</w:t>
            </w:r>
          </w:hyperlink>
        </w:p>
        <w:p w14:paraId="39539C57" w14:textId="2A0FEA4F"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444" w:history="1">
            <w:r w:rsidRPr="00F86CA9">
              <w:rPr>
                <w:rStyle w:val="Hyperlink"/>
                <w:noProof/>
              </w:rPr>
              <w:t>Compulsory Process—Interference with Witness</w:t>
            </w:r>
            <w:r>
              <w:rPr>
                <w:noProof/>
                <w:webHidden/>
              </w:rPr>
              <w:tab/>
            </w:r>
            <w:r>
              <w:rPr>
                <w:noProof/>
                <w:webHidden/>
              </w:rPr>
              <w:fldChar w:fldCharType="begin"/>
            </w:r>
            <w:r>
              <w:rPr>
                <w:noProof/>
                <w:webHidden/>
              </w:rPr>
              <w:instrText xml:space="preserve"> PAGEREF _Toc117512444 \h </w:instrText>
            </w:r>
            <w:r>
              <w:rPr>
                <w:noProof/>
                <w:webHidden/>
              </w:rPr>
            </w:r>
            <w:r>
              <w:rPr>
                <w:noProof/>
                <w:webHidden/>
              </w:rPr>
              <w:fldChar w:fldCharType="separate"/>
            </w:r>
            <w:r>
              <w:rPr>
                <w:noProof/>
                <w:webHidden/>
              </w:rPr>
              <w:t>197</w:t>
            </w:r>
            <w:r>
              <w:rPr>
                <w:noProof/>
                <w:webHidden/>
              </w:rPr>
              <w:fldChar w:fldCharType="end"/>
            </w:r>
          </w:hyperlink>
        </w:p>
        <w:p w14:paraId="57A1815B" w14:textId="6C53BC5A" w:rsidR="008F5159" w:rsidRDefault="00703520" w:rsidP="00BC4302">
          <w:pPr>
            <w:pStyle w:val="TOC2"/>
            <w:spacing w:before="40" w:afterLines="40" w:after="96"/>
            <w:rPr>
              <w:rFonts w:asciiTheme="minorHAnsi" w:eastAsiaTheme="minorEastAsia" w:hAnsiTheme="minorHAnsi"/>
              <w:noProof/>
              <w:sz w:val="22"/>
            </w:rPr>
          </w:pPr>
          <w:hyperlink w:anchor="_Toc117512445" w:history="1">
            <w:r w:rsidR="008F5159" w:rsidRPr="00F86CA9">
              <w:rPr>
                <w:rStyle w:val="Hyperlink"/>
                <w:noProof/>
              </w:rPr>
              <w:t>9.26 Particular Rights—Eighth Amendment—Convicted</w:t>
            </w:r>
          </w:hyperlink>
        </w:p>
        <w:p w14:paraId="69EC7266" w14:textId="6C6F4E19"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446" w:history="1">
            <w:r w:rsidRPr="00F86CA9">
              <w:rPr>
                <w:rStyle w:val="Hyperlink"/>
                <w:noProof/>
              </w:rPr>
              <w:t>Prisoner’s Claim of Excessive Force</w:t>
            </w:r>
            <w:r>
              <w:rPr>
                <w:noProof/>
                <w:webHidden/>
              </w:rPr>
              <w:tab/>
            </w:r>
            <w:r>
              <w:rPr>
                <w:noProof/>
                <w:webHidden/>
              </w:rPr>
              <w:fldChar w:fldCharType="begin"/>
            </w:r>
            <w:r>
              <w:rPr>
                <w:noProof/>
                <w:webHidden/>
              </w:rPr>
              <w:instrText xml:space="preserve"> PAGEREF _Toc117512446 \h </w:instrText>
            </w:r>
            <w:r>
              <w:rPr>
                <w:noProof/>
                <w:webHidden/>
              </w:rPr>
            </w:r>
            <w:r>
              <w:rPr>
                <w:noProof/>
                <w:webHidden/>
              </w:rPr>
              <w:fldChar w:fldCharType="separate"/>
            </w:r>
            <w:r>
              <w:rPr>
                <w:noProof/>
                <w:webHidden/>
              </w:rPr>
              <w:t>198</w:t>
            </w:r>
            <w:r>
              <w:rPr>
                <w:noProof/>
                <w:webHidden/>
              </w:rPr>
              <w:fldChar w:fldCharType="end"/>
            </w:r>
          </w:hyperlink>
        </w:p>
        <w:p w14:paraId="2EED93F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47" w:history="1">
            <w:r w:rsidR="008F5159" w:rsidRPr="00F86CA9">
              <w:rPr>
                <w:rStyle w:val="Hyperlink"/>
                <w:noProof/>
              </w:rPr>
              <w:t>9.26A Particular Rights—Eighth Amendment—Convicted Prisoner’s Claim of Sexual Assault</w:t>
            </w:r>
            <w:r w:rsidR="008F5159">
              <w:rPr>
                <w:noProof/>
                <w:webHidden/>
              </w:rPr>
              <w:tab/>
            </w:r>
            <w:r w:rsidR="008F5159">
              <w:rPr>
                <w:noProof/>
                <w:webHidden/>
              </w:rPr>
              <w:fldChar w:fldCharType="begin"/>
            </w:r>
            <w:r w:rsidR="008F5159">
              <w:rPr>
                <w:noProof/>
                <w:webHidden/>
              </w:rPr>
              <w:instrText xml:space="preserve"> PAGEREF _Toc117512447 \h </w:instrText>
            </w:r>
            <w:r w:rsidR="008F5159">
              <w:rPr>
                <w:noProof/>
                <w:webHidden/>
              </w:rPr>
            </w:r>
            <w:r w:rsidR="008F5159">
              <w:rPr>
                <w:noProof/>
                <w:webHidden/>
              </w:rPr>
              <w:fldChar w:fldCharType="separate"/>
            </w:r>
            <w:r w:rsidR="008F5159">
              <w:rPr>
                <w:noProof/>
                <w:webHidden/>
              </w:rPr>
              <w:t>201</w:t>
            </w:r>
            <w:r w:rsidR="008F5159">
              <w:rPr>
                <w:noProof/>
                <w:webHidden/>
              </w:rPr>
              <w:fldChar w:fldCharType="end"/>
            </w:r>
          </w:hyperlink>
        </w:p>
        <w:p w14:paraId="6B5132B4" w14:textId="77777777" w:rsidR="008F5159" w:rsidRDefault="00703520" w:rsidP="00BC4302">
          <w:pPr>
            <w:pStyle w:val="TOC2"/>
            <w:spacing w:before="40" w:afterLines="40" w:after="96"/>
            <w:rPr>
              <w:rFonts w:asciiTheme="minorHAnsi" w:eastAsiaTheme="minorEastAsia" w:hAnsiTheme="minorHAnsi"/>
              <w:noProof/>
              <w:sz w:val="22"/>
            </w:rPr>
          </w:pPr>
          <w:hyperlink w:anchor="_Toc117512448" w:history="1">
            <w:r w:rsidR="008F5159" w:rsidRPr="00F86CA9">
              <w:rPr>
                <w:rStyle w:val="Hyperlink"/>
                <w:noProof/>
              </w:rPr>
              <w:t>9.27 Particular Rights—Eighth Amendment—Convicted Prisoner’s Claim Re Conditions of Confinement/Medical Care</w:t>
            </w:r>
            <w:r w:rsidR="008F5159">
              <w:rPr>
                <w:noProof/>
                <w:webHidden/>
              </w:rPr>
              <w:tab/>
            </w:r>
            <w:r w:rsidR="008F5159">
              <w:rPr>
                <w:noProof/>
                <w:webHidden/>
              </w:rPr>
              <w:fldChar w:fldCharType="begin"/>
            </w:r>
            <w:r w:rsidR="008F5159">
              <w:rPr>
                <w:noProof/>
                <w:webHidden/>
              </w:rPr>
              <w:instrText xml:space="preserve"> PAGEREF _Toc117512448 \h </w:instrText>
            </w:r>
            <w:r w:rsidR="008F5159">
              <w:rPr>
                <w:noProof/>
                <w:webHidden/>
              </w:rPr>
            </w:r>
            <w:r w:rsidR="008F5159">
              <w:rPr>
                <w:noProof/>
                <w:webHidden/>
              </w:rPr>
              <w:fldChar w:fldCharType="separate"/>
            </w:r>
            <w:r w:rsidR="008F5159">
              <w:rPr>
                <w:noProof/>
                <w:webHidden/>
              </w:rPr>
              <w:t>202</w:t>
            </w:r>
            <w:r w:rsidR="008F5159">
              <w:rPr>
                <w:noProof/>
                <w:webHidden/>
              </w:rPr>
              <w:fldChar w:fldCharType="end"/>
            </w:r>
          </w:hyperlink>
        </w:p>
        <w:p w14:paraId="25131F66" w14:textId="25CB73D6" w:rsidR="008F5159" w:rsidRDefault="00703520" w:rsidP="00BC4302">
          <w:pPr>
            <w:pStyle w:val="TOC2"/>
            <w:spacing w:before="40" w:afterLines="40" w:after="96"/>
            <w:rPr>
              <w:rStyle w:val="Hyperlink"/>
              <w:noProof/>
            </w:rPr>
          </w:pPr>
          <w:hyperlink w:anchor="_Toc117512449" w:history="1">
            <w:r w:rsidR="008F5159" w:rsidRPr="00F86CA9">
              <w:rPr>
                <w:rStyle w:val="Hyperlink"/>
                <w:noProof/>
              </w:rPr>
              <w:t>9.28 Particular Rights—Eighth Amendment—Convicted Prisoner’s Claim of Failure to Protect</w:t>
            </w:r>
            <w:r w:rsidR="008F5159">
              <w:rPr>
                <w:noProof/>
                <w:webHidden/>
              </w:rPr>
              <w:tab/>
            </w:r>
            <w:r w:rsidR="008F5159">
              <w:rPr>
                <w:noProof/>
                <w:webHidden/>
              </w:rPr>
              <w:fldChar w:fldCharType="begin"/>
            </w:r>
            <w:r w:rsidR="008F5159">
              <w:rPr>
                <w:noProof/>
                <w:webHidden/>
              </w:rPr>
              <w:instrText xml:space="preserve"> PAGEREF _Toc117512449 \h </w:instrText>
            </w:r>
            <w:r w:rsidR="008F5159">
              <w:rPr>
                <w:noProof/>
                <w:webHidden/>
              </w:rPr>
            </w:r>
            <w:r w:rsidR="008F5159">
              <w:rPr>
                <w:noProof/>
                <w:webHidden/>
              </w:rPr>
              <w:fldChar w:fldCharType="separate"/>
            </w:r>
            <w:r w:rsidR="008F5159">
              <w:rPr>
                <w:noProof/>
                <w:webHidden/>
              </w:rPr>
              <w:t>206</w:t>
            </w:r>
            <w:r w:rsidR="008F5159">
              <w:rPr>
                <w:noProof/>
                <w:webHidden/>
              </w:rPr>
              <w:fldChar w:fldCharType="end"/>
            </w:r>
          </w:hyperlink>
        </w:p>
        <w:p w14:paraId="0927913E" w14:textId="77777777" w:rsidR="00D1021C" w:rsidRPr="00D1021C" w:rsidRDefault="00D1021C" w:rsidP="00BC4302">
          <w:pPr>
            <w:spacing w:before="40" w:afterLines="40" w:after="96"/>
          </w:pPr>
        </w:p>
        <w:p w14:paraId="7A266D35" w14:textId="789FB647" w:rsidR="008F5159" w:rsidRDefault="00703520" w:rsidP="00BC4302">
          <w:pPr>
            <w:pStyle w:val="TOC2"/>
            <w:spacing w:before="40" w:afterLines="40" w:after="96"/>
            <w:rPr>
              <w:rFonts w:asciiTheme="minorHAnsi" w:eastAsiaTheme="minorEastAsia" w:hAnsiTheme="minorHAnsi"/>
              <w:noProof/>
              <w:sz w:val="22"/>
            </w:rPr>
          </w:pPr>
          <w:hyperlink w:anchor="_Toc117512450" w:history="1">
            <w:r w:rsidR="008F5159" w:rsidRPr="00F86CA9">
              <w:rPr>
                <w:rStyle w:val="Hyperlink"/>
                <w:noProof/>
              </w:rPr>
              <w:t>9.29 Particular Rights—Fourteenth Amendment—Pretrial</w:t>
            </w:r>
          </w:hyperlink>
          <w:r w:rsidR="00D1021C">
            <w:rPr>
              <w:rFonts w:asciiTheme="minorHAnsi" w:eastAsiaTheme="minorEastAsia" w:hAnsiTheme="minorHAnsi"/>
              <w:noProof/>
              <w:sz w:val="22"/>
            </w:rPr>
            <w:t xml:space="preserve"> </w:t>
          </w:r>
          <w:hyperlink w:anchor="_Toc117512451" w:history="1">
            <w:r w:rsidR="008F5159" w:rsidRPr="00F86CA9">
              <w:rPr>
                <w:rStyle w:val="Hyperlink"/>
                <w:noProof/>
              </w:rPr>
              <w:t>Detainee’s Claim of Excessive Force</w:t>
            </w:r>
            <w:r w:rsidR="008F5159">
              <w:rPr>
                <w:noProof/>
                <w:webHidden/>
              </w:rPr>
              <w:tab/>
            </w:r>
            <w:r w:rsidR="008F5159">
              <w:rPr>
                <w:noProof/>
                <w:webHidden/>
              </w:rPr>
              <w:fldChar w:fldCharType="begin"/>
            </w:r>
            <w:r w:rsidR="008F5159">
              <w:rPr>
                <w:noProof/>
                <w:webHidden/>
              </w:rPr>
              <w:instrText xml:space="preserve"> PAGEREF _Toc117512451 \h </w:instrText>
            </w:r>
            <w:r w:rsidR="008F5159">
              <w:rPr>
                <w:noProof/>
                <w:webHidden/>
              </w:rPr>
            </w:r>
            <w:r w:rsidR="008F5159">
              <w:rPr>
                <w:noProof/>
                <w:webHidden/>
              </w:rPr>
              <w:fldChar w:fldCharType="separate"/>
            </w:r>
            <w:r w:rsidR="008F5159">
              <w:rPr>
                <w:noProof/>
                <w:webHidden/>
              </w:rPr>
              <w:t>209</w:t>
            </w:r>
            <w:r w:rsidR="008F5159">
              <w:rPr>
                <w:noProof/>
                <w:webHidden/>
              </w:rPr>
              <w:fldChar w:fldCharType="end"/>
            </w:r>
          </w:hyperlink>
        </w:p>
        <w:p w14:paraId="2F388C1B" w14:textId="65DE0869" w:rsidR="008F5159" w:rsidRDefault="00703520" w:rsidP="00BC4302">
          <w:pPr>
            <w:pStyle w:val="TOC2"/>
            <w:spacing w:before="40" w:afterLines="40" w:after="96"/>
            <w:rPr>
              <w:rFonts w:asciiTheme="minorHAnsi" w:eastAsiaTheme="minorEastAsia" w:hAnsiTheme="minorHAnsi"/>
              <w:noProof/>
              <w:sz w:val="22"/>
            </w:rPr>
          </w:pPr>
          <w:hyperlink w:anchor="_Toc117512452" w:history="1">
            <w:r w:rsidR="008F5159" w:rsidRPr="00F86CA9">
              <w:rPr>
                <w:rStyle w:val="Hyperlink"/>
                <w:noProof/>
              </w:rPr>
              <w:t>9.30 Particular Rights—Fourteenth Amendment—Pretrial Detainee’s</w:t>
            </w:r>
          </w:hyperlink>
        </w:p>
        <w:p w14:paraId="2763B968" w14:textId="6E91C6D5" w:rsidR="008F5159" w:rsidRDefault="008F5159" w:rsidP="00BC4302">
          <w:pPr>
            <w:pStyle w:val="TOC2"/>
            <w:spacing w:before="40" w:afterLines="40" w:after="96"/>
            <w:rPr>
              <w:noProof/>
            </w:rPr>
          </w:pPr>
          <w:r w:rsidRPr="008F5159">
            <w:rPr>
              <w:rStyle w:val="Hyperlink"/>
              <w:noProof/>
              <w:u w:val="none"/>
            </w:rPr>
            <w:tab/>
          </w:r>
          <w:hyperlink w:anchor="_Toc117512453" w:history="1">
            <w:r w:rsidRPr="00F86CA9">
              <w:rPr>
                <w:rStyle w:val="Hyperlink"/>
                <w:noProof/>
              </w:rPr>
              <w:t>Claim Re Conditions of Confinement/Medical Care</w:t>
            </w:r>
            <w:r>
              <w:rPr>
                <w:noProof/>
                <w:webHidden/>
              </w:rPr>
              <w:tab/>
            </w:r>
            <w:r>
              <w:rPr>
                <w:noProof/>
                <w:webHidden/>
              </w:rPr>
              <w:fldChar w:fldCharType="begin"/>
            </w:r>
            <w:r>
              <w:rPr>
                <w:noProof/>
                <w:webHidden/>
              </w:rPr>
              <w:instrText xml:space="preserve"> PAGEREF _Toc117512453 \h </w:instrText>
            </w:r>
            <w:r>
              <w:rPr>
                <w:noProof/>
                <w:webHidden/>
              </w:rPr>
            </w:r>
            <w:r>
              <w:rPr>
                <w:noProof/>
                <w:webHidden/>
              </w:rPr>
              <w:fldChar w:fldCharType="separate"/>
            </w:r>
            <w:r>
              <w:rPr>
                <w:noProof/>
                <w:webHidden/>
              </w:rPr>
              <w:t>210</w:t>
            </w:r>
            <w:r>
              <w:rPr>
                <w:noProof/>
                <w:webHidden/>
              </w:rPr>
              <w:fldChar w:fldCharType="end"/>
            </w:r>
          </w:hyperlink>
        </w:p>
        <w:p w14:paraId="6985C0DA" w14:textId="4B44658E" w:rsidR="0015107E" w:rsidRDefault="0015107E" w:rsidP="0015107E"/>
        <w:p w14:paraId="19F8C3D1" w14:textId="77777777" w:rsidR="0015107E" w:rsidRPr="0015107E" w:rsidRDefault="0015107E" w:rsidP="0015107E"/>
        <w:p w14:paraId="3FB7A63D" w14:textId="45246857" w:rsidR="008F5159" w:rsidRDefault="00703520" w:rsidP="00BC4302">
          <w:pPr>
            <w:pStyle w:val="TOC2"/>
            <w:spacing w:before="40" w:afterLines="40" w:after="96"/>
            <w:rPr>
              <w:rFonts w:asciiTheme="minorHAnsi" w:eastAsiaTheme="minorEastAsia" w:hAnsiTheme="minorHAnsi"/>
              <w:noProof/>
              <w:sz w:val="22"/>
            </w:rPr>
          </w:pPr>
          <w:hyperlink w:anchor="_Toc117512454" w:history="1">
            <w:r w:rsidR="008F5159" w:rsidRPr="00F86CA9">
              <w:rPr>
                <w:rStyle w:val="Hyperlink"/>
                <w:noProof/>
              </w:rPr>
              <w:t>9.31 Particular Rights—Fourteenth Amendment—Pretrial</w:t>
            </w:r>
          </w:hyperlink>
          <w:r w:rsidR="0015107E">
            <w:rPr>
              <w:rStyle w:val="Hyperlink"/>
              <w:noProof/>
            </w:rPr>
            <w:t xml:space="preserve"> </w:t>
          </w:r>
          <w:hyperlink w:anchor="_Toc117512455" w:history="1">
            <w:r w:rsidR="008F5159" w:rsidRPr="00F86CA9">
              <w:rPr>
                <w:rStyle w:val="Hyperlink"/>
                <w:noProof/>
              </w:rPr>
              <w:t>Detainee’s Claim of Failure to Protect</w:t>
            </w:r>
            <w:r w:rsidR="008F5159">
              <w:rPr>
                <w:noProof/>
                <w:webHidden/>
              </w:rPr>
              <w:tab/>
            </w:r>
            <w:r w:rsidR="008F5159">
              <w:rPr>
                <w:noProof/>
                <w:webHidden/>
              </w:rPr>
              <w:fldChar w:fldCharType="begin"/>
            </w:r>
            <w:r w:rsidR="008F5159">
              <w:rPr>
                <w:noProof/>
                <w:webHidden/>
              </w:rPr>
              <w:instrText xml:space="preserve"> PAGEREF _Toc117512455 \h </w:instrText>
            </w:r>
            <w:r w:rsidR="008F5159">
              <w:rPr>
                <w:noProof/>
                <w:webHidden/>
              </w:rPr>
            </w:r>
            <w:r w:rsidR="008F5159">
              <w:rPr>
                <w:noProof/>
                <w:webHidden/>
              </w:rPr>
              <w:fldChar w:fldCharType="separate"/>
            </w:r>
            <w:r w:rsidR="008F5159">
              <w:rPr>
                <w:noProof/>
                <w:webHidden/>
              </w:rPr>
              <w:t>212</w:t>
            </w:r>
            <w:r w:rsidR="008F5159">
              <w:rPr>
                <w:noProof/>
                <w:webHidden/>
              </w:rPr>
              <w:fldChar w:fldCharType="end"/>
            </w:r>
          </w:hyperlink>
        </w:p>
        <w:p w14:paraId="2A52A6A2" w14:textId="5483672D" w:rsidR="008F5159" w:rsidRDefault="00703520" w:rsidP="00BC4302">
          <w:pPr>
            <w:pStyle w:val="TOC2"/>
            <w:spacing w:before="40" w:afterLines="40" w:after="96"/>
            <w:rPr>
              <w:rFonts w:asciiTheme="minorHAnsi" w:eastAsiaTheme="minorEastAsia" w:hAnsiTheme="minorHAnsi"/>
              <w:noProof/>
              <w:sz w:val="22"/>
            </w:rPr>
          </w:pPr>
          <w:hyperlink w:anchor="_Toc117512456" w:history="1">
            <w:r w:rsidR="008F5159" w:rsidRPr="00F86CA9">
              <w:rPr>
                <w:rStyle w:val="Hyperlink"/>
                <w:noProof/>
              </w:rPr>
              <w:t>9.32 Particular Rights—Fourteenth Amendment—Due Process—</w:t>
            </w:r>
          </w:hyperlink>
          <w:r w:rsidR="0015107E">
            <w:rPr>
              <w:rStyle w:val="Hyperlink"/>
              <w:noProof/>
            </w:rPr>
            <w:t xml:space="preserve"> </w:t>
          </w:r>
          <w:hyperlink w:anchor="_Toc117512457" w:history="1">
            <w:r w:rsidR="008F5159" w:rsidRPr="00F86CA9">
              <w:rPr>
                <w:rStyle w:val="Hyperlink"/>
                <w:noProof/>
              </w:rPr>
              <w:t>Interference with Parent/Child Relationship</w:t>
            </w:r>
            <w:r w:rsidR="008F5159">
              <w:rPr>
                <w:noProof/>
                <w:webHidden/>
              </w:rPr>
              <w:tab/>
            </w:r>
            <w:r w:rsidR="008F5159">
              <w:rPr>
                <w:noProof/>
                <w:webHidden/>
              </w:rPr>
              <w:fldChar w:fldCharType="begin"/>
            </w:r>
            <w:r w:rsidR="008F5159">
              <w:rPr>
                <w:noProof/>
                <w:webHidden/>
              </w:rPr>
              <w:instrText xml:space="preserve"> PAGEREF _Toc117512457 \h </w:instrText>
            </w:r>
            <w:r w:rsidR="008F5159">
              <w:rPr>
                <w:noProof/>
                <w:webHidden/>
              </w:rPr>
            </w:r>
            <w:r w:rsidR="008F5159">
              <w:rPr>
                <w:noProof/>
                <w:webHidden/>
              </w:rPr>
              <w:fldChar w:fldCharType="separate"/>
            </w:r>
            <w:r w:rsidR="008F5159">
              <w:rPr>
                <w:noProof/>
                <w:webHidden/>
              </w:rPr>
              <w:t>213</w:t>
            </w:r>
            <w:r w:rsidR="008F5159">
              <w:rPr>
                <w:noProof/>
                <w:webHidden/>
              </w:rPr>
              <w:fldChar w:fldCharType="end"/>
            </w:r>
          </w:hyperlink>
        </w:p>
        <w:p w14:paraId="123B4078" w14:textId="60B98B80" w:rsidR="008F5159" w:rsidRDefault="00703520" w:rsidP="00BC4302">
          <w:pPr>
            <w:pStyle w:val="TOC2"/>
            <w:spacing w:before="40" w:afterLines="40" w:after="96"/>
            <w:rPr>
              <w:rFonts w:asciiTheme="minorHAnsi" w:eastAsiaTheme="minorEastAsia" w:hAnsiTheme="minorHAnsi"/>
              <w:noProof/>
              <w:sz w:val="22"/>
            </w:rPr>
          </w:pPr>
          <w:hyperlink w:anchor="_Toc117512458" w:history="1">
            <w:r w:rsidR="008F5159" w:rsidRPr="00F86CA9">
              <w:rPr>
                <w:rStyle w:val="Hyperlink"/>
                <w:noProof/>
              </w:rPr>
              <w:t>9.32A Particular Rights–Fourteenth Amendment—</w:t>
            </w:r>
          </w:hyperlink>
          <w:r w:rsidR="0015107E">
            <w:rPr>
              <w:rStyle w:val="Hyperlink"/>
              <w:noProof/>
            </w:rPr>
            <w:t xml:space="preserve"> </w:t>
          </w:r>
          <w:hyperlink w:anchor="_Toc117512459" w:history="1">
            <w:r w:rsidR="008F5159" w:rsidRPr="00F86CA9">
              <w:rPr>
                <w:rStyle w:val="Hyperlink"/>
                <w:noProof/>
              </w:rPr>
              <w:t>Due Process—Civil Commitment</w:t>
            </w:r>
            <w:r w:rsidR="008F5159">
              <w:rPr>
                <w:noProof/>
                <w:webHidden/>
              </w:rPr>
              <w:tab/>
            </w:r>
            <w:r w:rsidR="008F5159">
              <w:rPr>
                <w:noProof/>
                <w:webHidden/>
              </w:rPr>
              <w:fldChar w:fldCharType="begin"/>
            </w:r>
            <w:r w:rsidR="008F5159">
              <w:rPr>
                <w:noProof/>
                <w:webHidden/>
              </w:rPr>
              <w:instrText xml:space="preserve"> PAGEREF _Toc117512459 \h </w:instrText>
            </w:r>
            <w:r w:rsidR="008F5159">
              <w:rPr>
                <w:noProof/>
                <w:webHidden/>
              </w:rPr>
            </w:r>
            <w:r w:rsidR="008F5159">
              <w:rPr>
                <w:noProof/>
                <w:webHidden/>
              </w:rPr>
              <w:fldChar w:fldCharType="separate"/>
            </w:r>
            <w:r w:rsidR="008F5159">
              <w:rPr>
                <w:noProof/>
                <w:webHidden/>
              </w:rPr>
              <w:t>219</w:t>
            </w:r>
            <w:r w:rsidR="008F5159">
              <w:rPr>
                <w:noProof/>
                <w:webHidden/>
              </w:rPr>
              <w:fldChar w:fldCharType="end"/>
            </w:r>
          </w:hyperlink>
        </w:p>
        <w:p w14:paraId="53F6E010" w14:textId="7F2833D5" w:rsidR="008F5159" w:rsidRDefault="00703520" w:rsidP="00BC4302">
          <w:pPr>
            <w:pStyle w:val="TOC2"/>
            <w:spacing w:before="40" w:afterLines="40" w:after="96"/>
            <w:rPr>
              <w:rFonts w:asciiTheme="minorHAnsi" w:eastAsiaTheme="minorEastAsia" w:hAnsiTheme="minorHAnsi"/>
              <w:noProof/>
              <w:sz w:val="22"/>
            </w:rPr>
          </w:pPr>
          <w:hyperlink w:anchor="_Toc117512460" w:history="1">
            <w:r w:rsidR="008F5159" w:rsidRPr="00F86CA9">
              <w:rPr>
                <w:rStyle w:val="Hyperlink"/>
                <w:noProof/>
              </w:rPr>
              <w:t>9.33 Particular Rights—Fourteenth Amendment—Due</w:t>
            </w:r>
          </w:hyperlink>
          <w:r w:rsidR="0015107E">
            <w:rPr>
              <w:rStyle w:val="Hyperlink"/>
              <w:noProof/>
            </w:rPr>
            <w:t xml:space="preserve"> </w:t>
          </w:r>
          <w:hyperlink w:anchor="_Toc117512461" w:history="1">
            <w:r w:rsidR="008F5159" w:rsidRPr="00F86CA9">
              <w:rPr>
                <w:rStyle w:val="Hyperlink"/>
                <w:noProof/>
              </w:rPr>
              <w:t>Process—Deliberate Fabrication of Evidence</w:t>
            </w:r>
            <w:r w:rsidR="008F5159">
              <w:rPr>
                <w:noProof/>
                <w:webHidden/>
              </w:rPr>
              <w:tab/>
            </w:r>
            <w:r w:rsidR="008F5159">
              <w:rPr>
                <w:noProof/>
                <w:webHidden/>
              </w:rPr>
              <w:fldChar w:fldCharType="begin"/>
            </w:r>
            <w:r w:rsidR="008F5159">
              <w:rPr>
                <w:noProof/>
                <w:webHidden/>
              </w:rPr>
              <w:instrText xml:space="preserve"> PAGEREF _Toc117512461 \h </w:instrText>
            </w:r>
            <w:r w:rsidR="008F5159">
              <w:rPr>
                <w:noProof/>
                <w:webHidden/>
              </w:rPr>
            </w:r>
            <w:r w:rsidR="008F5159">
              <w:rPr>
                <w:noProof/>
                <w:webHidden/>
              </w:rPr>
              <w:fldChar w:fldCharType="separate"/>
            </w:r>
            <w:r w:rsidR="008F5159">
              <w:rPr>
                <w:noProof/>
                <w:webHidden/>
              </w:rPr>
              <w:t>220</w:t>
            </w:r>
            <w:r w:rsidR="008F5159">
              <w:rPr>
                <w:noProof/>
                <w:webHidden/>
              </w:rPr>
              <w:fldChar w:fldCharType="end"/>
            </w:r>
          </w:hyperlink>
        </w:p>
        <w:p w14:paraId="01DE0B40" w14:textId="6E2CBAE1" w:rsidR="008F5159" w:rsidRDefault="00703520" w:rsidP="00BC4302">
          <w:pPr>
            <w:pStyle w:val="TOC2"/>
            <w:spacing w:before="40" w:afterLines="40" w:after="96"/>
            <w:rPr>
              <w:rFonts w:asciiTheme="minorHAnsi" w:eastAsiaTheme="minorEastAsia" w:hAnsiTheme="minorHAnsi"/>
              <w:noProof/>
              <w:sz w:val="22"/>
            </w:rPr>
          </w:pPr>
          <w:hyperlink w:anchor="_Toc117512462" w:history="1">
            <w:r w:rsidR="008F5159" w:rsidRPr="00F86CA9">
              <w:rPr>
                <w:rStyle w:val="Hyperlink"/>
                <w:noProof/>
              </w:rPr>
              <w:t>9.33A Particular Rights—Fourteenth Amendment—Due Process—</w:t>
            </w:r>
          </w:hyperlink>
          <w:r w:rsidR="0015107E">
            <w:rPr>
              <w:rStyle w:val="Hyperlink"/>
              <w:noProof/>
            </w:rPr>
            <w:t xml:space="preserve"> </w:t>
          </w:r>
          <w:hyperlink w:anchor="_Toc117512463" w:history="1">
            <w:r w:rsidR="008F5159" w:rsidRPr="00F86CA9">
              <w:rPr>
                <w:rStyle w:val="Hyperlink"/>
                <w:noProof/>
              </w:rPr>
              <w:t>Deliberate or Reckless Suppression of Evidence</w:t>
            </w:r>
            <w:r w:rsidR="008F5159">
              <w:rPr>
                <w:noProof/>
                <w:webHidden/>
              </w:rPr>
              <w:tab/>
            </w:r>
            <w:r w:rsidR="008F5159">
              <w:rPr>
                <w:noProof/>
                <w:webHidden/>
              </w:rPr>
              <w:fldChar w:fldCharType="begin"/>
            </w:r>
            <w:r w:rsidR="008F5159">
              <w:rPr>
                <w:noProof/>
                <w:webHidden/>
              </w:rPr>
              <w:instrText xml:space="preserve"> PAGEREF _Toc117512463 \h </w:instrText>
            </w:r>
            <w:r w:rsidR="008F5159">
              <w:rPr>
                <w:noProof/>
                <w:webHidden/>
              </w:rPr>
            </w:r>
            <w:r w:rsidR="008F5159">
              <w:rPr>
                <w:noProof/>
                <w:webHidden/>
              </w:rPr>
              <w:fldChar w:fldCharType="separate"/>
            </w:r>
            <w:r w:rsidR="008F5159">
              <w:rPr>
                <w:noProof/>
                <w:webHidden/>
              </w:rPr>
              <w:t>223</w:t>
            </w:r>
            <w:r w:rsidR="008F5159">
              <w:rPr>
                <w:noProof/>
                <w:webHidden/>
              </w:rPr>
              <w:fldChar w:fldCharType="end"/>
            </w:r>
          </w:hyperlink>
        </w:p>
        <w:p w14:paraId="3E625172" w14:textId="77777777" w:rsidR="008F5159" w:rsidRDefault="00703520" w:rsidP="00BC4302">
          <w:pPr>
            <w:pStyle w:val="TOC2"/>
            <w:spacing w:before="40" w:afterLines="40" w:after="96"/>
            <w:rPr>
              <w:rFonts w:asciiTheme="minorHAnsi" w:eastAsiaTheme="minorEastAsia" w:hAnsiTheme="minorHAnsi"/>
              <w:noProof/>
              <w:sz w:val="22"/>
            </w:rPr>
          </w:pPr>
          <w:hyperlink w:anchor="_Toc117512464" w:history="1">
            <w:r w:rsidR="008F5159" w:rsidRPr="00F86CA9">
              <w:rPr>
                <w:rStyle w:val="Hyperlink"/>
                <w:noProof/>
              </w:rPr>
              <w:t>9.33B Particular Rights—Fourteenth Amendment—Due Process—State-Created Danger</w:t>
            </w:r>
            <w:r w:rsidR="008F5159">
              <w:rPr>
                <w:noProof/>
                <w:webHidden/>
              </w:rPr>
              <w:tab/>
            </w:r>
            <w:r w:rsidR="008F5159">
              <w:rPr>
                <w:noProof/>
                <w:webHidden/>
              </w:rPr>
              <w:fldChar w:fldCharType="begin"/>
            </w:r>
            <w:r w:rsidR="008F5159">
              <w:rPr>
                <w:noProof/>
                <w:webHidden/>
              </w:rPr>
              <w:instrText xml:space="preserve"> PAGEREF _Toc117512464 \h </w:instrText>
            </w:r>
            <w:r w:rsidR="008F5159">
              <w:rPr>
                <w:noProof/>
                <w:webHidden/>
              </w:rPr>
            </w:r>
            <w:r w:rsidR="008F5159">
              <w:rPr>
                <w:noProof/>
                <w:webHidden/>
              </w:rPr>
              <w:fldChar w:fldCharType="separate"/>
            </w:r>
            <w:r w:rsidR="008F5159">
              <w:rPr>
                <w:noProof/>
                <w:webHidden/>
              </w:rPr>
              <w:t>224</w:t>
            </w:r>
            <w:r w:rsidR="008F5159">
              <w:rPr>
                <w:noProof/>
                <w:webHidden/>
              </w:rPr>
              <w:fldChar w:fldCharType="end"/>
            </w:r>
          </w:hyperlink>
        </w:p>
        <w:p w14:paraId="5CDB48EC" w14:textId="77777777" w:rsidR="008F5159" w:rsidRDefault="00703520" w:rsidP="00BC4302">
          <w:pPr>
            <w:pStyle w:val="TOC2"/>
            <w:spacing w:before="40" w:afterLines="40" w:after="96"/>
            <w:rPr>
              <w:rFonts w:asciiTheme="minorHAnsi" w:eastAsiaTheme="minorEastAsia" w:hAnsiTheme="minorHAnsi"/>
              <w:noProof/>
              <w:sz w:val="22"/>
            </w:rPr>
          </w:pPr>
          <w:hyperlink w:anchor="_Toc117512465" w:history="1">
            <w:r w:rsidR="008F5159" w:rsidRPr="00F86CA9">
              <w:rPr>
                <w:rStyle w:val="Hyperlink"/>
                <w:noProof/>
              </w:rPr>
              <w:t>9.34 Qualified Immunity</w:t>
            </w:r>
            <w:r w:rsidR="008F5159">
              <w:rPr>
                <w:noProof/>
                <w:webHidden/>
              </w:rPr>
              <w:tab/>
            </w:r>
            <w:r w:rsidR="008F5159">
              <w:rPr>
                <w:noProof/>
                <w:webHidden/>
              </w:rPr>
              <w:fldChar w:fldCharType="begin"/>
            </w:r>
            <w:r w:rsidR="008F5159">
              <w:rPr>
                <w:noProof/>
                <w:webHidden/>
              </w:rPr>
              <w:instrText xml:space="preserve"> PAGEREF _Toc117512465 \h </w:instrText>
            </w:r>
            <w:r w:rsidR="008F5159">
              <w:rPr>
                <w:noProof/>
                <w:webHidden/>
              </w:rPr>
            </w:r>
            <w:r w:rsidR="008F5159">
              <w:rPr>
                <w:noProof/>
                <w:webHidden/>
              </w:rPr>
              <w:fldChar w:fldCharType="separate"/>
            </w:r>
            <w:r w:rsidR="008F5159">
              <w:rPr>
                <w:noProof/>
                <w:webHidden/>
              </w:rPr>
              <w:t>225</w:t>
            </w:r>
            <w:r w:rsidR="008F5159">
              <w:rPr>
                <w:noProof/>
                <w:webHidden/>
              </w:rPr>
              <w:fldChar w:fldCharType="end"/>
            </w:r>
          </w:hyperlink>
        </w:p>
        <w:p w14:paraId="638973A7" w14:textId="77777777" w:rsidR="008F5159" w:rsidRDefault="00703520" w:rsidP="00340019">
          <w:pPr>
            <w:pStyle w:val="TOC1"/>
            <w:rPr>
              <w:rFonts w:asciiTheme="minorHAnsi" w:eastAsiaTheme="minorEastAsia" w:hAnsiTheme="minorHAnsi"/>
              <w:noProof/>
              <w:sz w:val="22"/>
            </w:rPr>
          </w:pPr>
          <w:hyperlink w:anchor="_Toc117512466" w:history="1">
            <w:r w:rsidR="008F5159" w:rsidRPr="00F86CA9">
              <w:rPr>
                <w:rStyle w:val="Hyperlink"/>
                <w:noProof/>
              </w:rPr>
              <w:t>10.  CIVIL RIGHTS—TITLE VII—EMPLOYMENT DISCRIMINATION; HARASSMENT; RETALIATION</w:t>
            </w:r>
            <w:r w:rsidR="008F5159">
              <w:rPr>
                <w:noProof/>
                <w:webHidden/>
              </w:rPr>
              <w:tab/>
            </w:r>
            <w:r w:rsidR="008F5159">
              <w:rPr>
                <w:noProof/>
                <w:webHidden/>
              </w:rPr>
              <w:fldChar w:fldCharType="begin"/>
            </w:r>
            <w:r w:rsidR="008F5159">
              <w:rPr>
                <w:noProof/>
                <w:webHidden/>
              </w:rPr>
              <w:instrText xml:space="preserve"> PAGEREF _Toc117512466 \h </w:instrText>
            </w:r>
            <w:r w:rsidR="008F5159">
              <w:rPr>
                <w:noProof/>
                <w:webHidden/>
              </w:rPr>
            </w:r>
            <w:r w:rsidR="008F5159">
              <w:rPr>
                <w:noProof/>
                <w:webHidden/>
              </w:rPr>
              <w:fldChar w:fldCharType="separate"/>
            </w:r>
            <w:r w:rsidR="008F5159">
              <w:rPr>
                <w:noProof/>
                <w:webHidden/>
              </w:rPr>
              <w:t>230</w:t>
            </w:r>
            <w:r w:rsidR="008F5159">
              <w:rPr>
                <w:noProof/>
                <w:webHidden/>
              </w:rPr>
              <w:fldChar w:fldCharType="end"/>
            </w:r>
          </w:hyperlink>
          <w:r w:rsidR="008F5159">
            <w:rPr>
              <w:rFonts w:asciiTheme="minorHAnsi" w:eastAsiaTheme="minorEastAsia" w:hAnsiTheme="minorHAnsi"/>
              <w:noProof/>
              <w:sz w:val="22"/>
            </w:rPr>
            <w:br/>
          </w:r>
          <w:hyperlink w:anchor="_Toc117512467"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_Toc117512467 \h </w:instrText>
            </w:r>
            <w:r w:rsidR="008F5159">
              <w:rPr>
                <w:noProof/>
                <w:webHidden/>
              </w:rPr>
            </w:r>
            <w:r w:rsidR="008F5159">
              <w:rPr>
                <w:noProof/>
                <w:webHidden/>
              </w:rPr>
              <w:fldChar w:fldCharType="separate"/>
            </w:r>
            <w:r w:rsidR="008F5159">
              <w:rPr>
                <w:noProof/>
                <w:webHidden/>
              </w:rPr>
              <w:t>231</w:t>
            </w:r>
            <w:r w:rsidR="008F5159">
              <w:rPr>
                <w:noProof/>
                <w:webHidden/>
              </w:rPr>
              <w:fldChar w:fldCharType="end"/>
            </w:r>
          </w:hyperlink>
        </w:p>
        <w:p w14:paraId="07A3F8FE" w14:textId="1EEAC9B8" w:rsidR="008F5159" w:rsidRDefault="00703520" w:rsidP="00BC4302">
          <w:pPr>
            <w:pStyle w:val="TOC2"/>
            <w:spacing w:before="40" w:afterLines="40" w:after="96"/>
            <w:rPr>
              <w:rFonts w:asciiTheme="minorHAnsi" w:eastAsiaTheme="minorEastAsia" w:hAnsiTheme="minorHAnsi"/>
              <w:noProof/>
              <w:sz w:val="22"/>
            </w:rPr>
          </w:pPr>
          <w:hyperlink w:anchor="_Toc117512468" w:history="1">
            <w:r w:rsidR="008F5159" w:rsidRPr="00F86CA9">
              <w:rPr>
                <w:rStyle w:val="Hyperlink"/>
                <w:noProof/>
              </w:rPr>
              <w:t>10.1 Civil Rights—Title VII—Disparate Treatment—Without</w:t>
            </w:r>
          </w:hyperlink>
          <w:r w:rsidR="0015107E">
            <w:rPr>
              <w:rStyle w:val="Hyperlink"/>
              <w:noProof/>
            </w:rPr>
            <w:t xml:space="preserve"> </w:t>
          </w:r>
          <w:hyperlink w:anchor="_Toc117512469" w:history="1">
            <w:r w:rsidR="008F5159" w:rsidRPr="00F86CA9">
              <w:rPr>
                <w:rStyle w:val="Hyperlink"/>
                <w:noProof/>
              </w:rPr>
              <w:t>Affirmative Defense of “Same Decision”</w:t>
            </w:r>
            <w:r w:rsidR="008F5159">
              <w:rPr>
                <w:noProof/>
                <w:webHidden/>
              </w:rPr>
              <w:tab/>
            </w:r>
            <w:r w:rsidR="008F5159">
              <w:rPr>
                <w:noProof/>
                <w:webHidden/>
              </w:rPr>
              <w:fldChar w:fldCharType="begin"/>
            </w:r>
            <w:r w:rsidR="008F5159">
              <w:rPr>
                <w:noProof/>
                <w:webHidden/>
              </w:rPr>
              <w:instrText xml:space="preserve"> PAGEREF _Toc117512469 \h </w:instrText>
            </w:r>
            <w:r w:rsidR="008F5159">
              <w:rPr>
                <w:noProof/>
                <w:webHidden/>
              </w:rPr>
            </w:r>
            <w:r w:rsidR="008F5159">
              <w:rPr>
                <w:noProof/>
                <w:webHidden/>
              </w:rPr>
              <w:fldChar w:fldCharType="separate"/>
            </w:r>
            <w:r w:rsidR="008F5159">
              <w:rPr>
                <w:noProof/>
                <w:webHidden/>
              </w:rPr>
              <w:t>238</w:t>
            </w:r>
            <w:r w:rsidR="008F5159">
              <w:rPr>
                <w:noProof/>
                <w:webHidden/>
              </w:rPr>
              <w:fldChar w:fldCharType="end"/>
            </w:r>
          </w:hyperlink>
        </w:p>
        <w:p w14:paraId="1D30F19A" w14:textId="493A0DFC" w:rsidR="008F5159" w:rsidRDefault="00703520" w:rsidP="00BC4302">
          <w:pPr>
            <w:pStyle w:val="TOC2"/>
            <w:spacing w:before="40" w:afterLines="40" w:after="96"/>
            <w:rPr>
              <w:rFonts w:asciiTheme="minorHAnsi" w:eastAsiaTheme="minorEastAsia" w:hAnsiTheme="minorHAnsi"/>
              <w:noProof/>
              <w:sz w:val="22"/>
            </w:rPr>
          </w:pPr>
          <w:hyperlink w:anchor="_Toc117512470" w:history="1">
            <w:r w:rsidR="008F5159" w:rsidRPr="00F86CA9">
              <w:rPr>
                <w:rStyle w:val="Hyperlink"/>
                <w:noProof/>
              </w:rPr>
              <w:t>10.2 Civil Rights—Title VII—Disparate Treatment—With</w:t>
            </w:r>
          </w:hyperlink>
          <w:r w:rsidR="0015107E">
            <w:rPr>
              <w:rStyle w:val="Hyperlink"/>
              <w:noProof/>
            </w:rPr>
            <w:t xml:space="preserve"> </w:t>
          </w:r>
          <w:hyperlink w:anchor="_Toc117512471" w:history="1">
            <w:r w:rsidR="008F5159" w:rsidRPr="00F86CA9">
              <w:rPr>
                <w:rStyle w:val="Hyperlink"/>
                <w:noProof/>
              </w:rPr>
              <w:t>Affirmative Defense of “Same Decision”</w:t>
            </w:r>
            <w:r w:rsidR="008F5159">
              <w:rPr>
                <w:noProof/>
                <w:webHidden/>
              </w:rPr>
              <w:tab/>
            </w:r>
            <w:r w:rsidR="008F5159">
              <w:rPr>
                <w:noProof/>
                <w:webHidden/>
              </w:rPr>
              <w:fldChar w:fldCharType="begin"/>
            </w:r>
            <w:r w:rsidR="008F5159">
              <w:rPr>
                <w:noProof/>
                <w:webHidden/>
              </w:rPr>
              <w:instrText xml:space="preserve"> PAGEREF _Toc117512471 \h </w:instrText>
            </w:r>
            <w:r w:rsidR="008F5159">
              <w:rPr>
                <w:noProof/>
                <w:webHidden/>
              </w:rPr>
            </w:r>
            <w:r w:rsidR="008F5159">
              <w:rPr>
                <w:noProof/>
                <w:webHidden/>
              </w:rPr>
              <w:fldChar w:fldCharType="separate"/>
            </w:r>
            <w:r w:rsidR="008F5159">
              <w:rPr>
                <w:noProof/>
                <w:webHidden/>
              </w:rPr>
              <w:t>240</w:t>
            </w:r>
            <w:r w:rsidR="008F5159">
              <w:rPr>
                <w:noProof/>
                <w:webHidden/>
              </w:rPr>
              <w:fldChar w:fldCharType="end"/>
            </w:r>
          </w:hyperlink>
        </w:p>
        <w:p w14:paraId="79B16F04"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2" w:history="1">
            <w:r w:rsidR="008F5159" w:rsidRPr="00F86CA9">
              <w:rPr>
                <w:rStyle w:val="Hyperlink"/>
                <w:noProof/>
              </w:rPr>
              <w:t>10.3 Civil Rights—Title VII—Disparate Treatment—“Because of” Defined</w:t>
            </w:r>
            <w:r w:rsidR="008F5159">
              <w:rPr>
                <w:noProof/>
                <w:webHidden/>
              </w:rPr>
              <w:tab/>
            </w:r>
            <w:r w:rsidR="008F5159">
              <w:rPr>
                <w:noProof/>
                <w:webHidden/>
              </w:rPr>
              <w:fldChar w:fldCharType="begin"/>
            </w:r>
            <w:r w:rsidR="008F5159">
              <w:rPr>
                <w:noProof/>
                <w:webHidden/>
              </w:rPr>
              <w:instrText xml:space="preserve"> PAGEREF _Toc117512472 \h </w:instrText>
            </w:r>
            <w:r w:rsidR="008F5159">
              <w:rPr>
                <w:noProof/>
                <w:webHidden/>
              </w:rPr>
            </w:r>
            <w:r w:rsidR="008F5159">
              <w:rPr>
                <w:noProof/>
                <w:webHidden/>
              </w:rPr>
              <w:fldChar w:fldCharType="separate"/>
            </w:r>
            <w:r w:rsidR="008F5159">
              <w:rPr>
                <w:noProof/>
                <w:webHidden/>
              </w:rPr>
              <w:t>243</w:t>
            </w:r>
            <w:r w:rsidR="008F5159">
              <w:rPr>
                <w:noProof/>
                <w:webHidden/>
              </w:rPr>
              <w:fldChar w:fldCharType="end"/>
            </w:r>
          </w:hyperlink>
        </w:p>
        <w:p w14:paraId="26FCF6FF"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3" w:history="1">
            <w:r w:rsidR="008F5159" w:rsidRPr="00F86CA9">
              <w:rPr>
                <w:rStyle w:val="Hyperlink"/>
                <w:noProof/>
              </w:rPr>
              <w:t>10.4 Civil Rights—Title VII— Retaliation—Elements and Burden of Proof</w:t>
            </w:r>
            <w:r w:rsidR="008F5159">
              <w:rPr>
                <w:noProof/>
                <w:webHidden/>
              </w:rPr>
              <w:tab/>
            </w:r>
            <w:r w:rsidR="008F5159">
              <w:rPr>
                <w:noProof/>
                <w:webHidden/>
              </w:rPr>
              <w:fldChar w:fldCharType="begin"/>
            </w:r>
            <w:r w:rsidR="008F5159">
              <w:rPr>
                <w:noProof/>
                <w:webHidden/>
              </w:rPr>
              <w:instrText xml:space="preserve"> PAGEREF _Toc117512473 \h </w:instrText>
            </w:r>
            <w:r w:rsidR="008F5159">
              <w:rPr>
                <w:noProof/>
                <w:webHidden/>
              </w:rPr>
            </w:r>
            <w:r w:rsidR="008F5159">
              <w:rPr>
                <w:noProof/>
                <w:webHidden/>
              </w:rPr>
              <w:fldChar w:fldCharType="separate"/>
            </w:r>
            <w:r w:rsidR="008F5159">
              <w:rPr>
                <w:noProof/>
                <w:webHidden/>
              </w:rPr>
              <w:t>245</w:t>
            </w:r>
            <w:r w:rsidR="008F5159">
              <w:rPr>
                <w:noProof/>
                <w:webHidden/>
              </w:rPr>
              <w:fldChar w:fldCharType="end"/>
            </w:r>
          </w:hyperlink>
        </w:p>
        <w:p w14:paraId="519C68E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4" w:history="1">
            <w:r w:rsidR="008F5159" w:rsidRPr="00F86CA9">
              <w:rPr>
                <w:rStyle w:val="Hyperlink"/>
                <w:noProof/>
              </w:rPr>
              <w:t>10.5 Civil Rights—Title VII—Hostile Work Environment—Harassment Because of Protected Characteristics—Elements</w:t>
            </w:r>
            <w:r w:rsidR="008F5159">
              <w:rPr>
                <w:noProof/>
                <w:webHidden/>
              </w:rPr>
              <w:tab/>
            </w:r>
            <w:r w:rsidR="008F5159">
              <w:rPr>
                <w:noProof/>
                <w:webHidden/>
              </w:rPr>
              <w:fldChar w:fldCharType="begin"/>
            </w:r>
            <w:r w:rsidR="008F5159">
              <w:rPr>
                <w:noProof/>
                <w:webHidden/>
              </w:rPr>
              <w:instrText xml:space="preserve"> PAGEREF _Toc117512474 \h </w:instrText>
            </w:r>
            <w:r w:rsidR="008F5159">
              <w:rPr>
                <w:noProof/>
                <w:webHidden/>
              </w:rPr>
            </w:r>
            <w:r w:rsidR="008F5159">
              <w:rPr>
                <w:noProof/>
                <w:webHidden/>
              </w:rPr>
              <w:fldChar w:fldCharType="separate"/>
            </w:r>
            <w:r w:rsidR="008F5159">
              <w:rPr>
                <w:noProof/>
                <w:webHidden/>
              </w:rPr>
              <w:t>247</w:t>
            </w:r>
            <w:r w:rsidR="008F5159">
              <w:rPr>
                <w:noProof/>
                <w:webHidden/>
              </w:rPr>
              <w:fldChar w:fldCharType="end"/>
            </w:r>
          </w:hyperlink>
        </w:p>
        <w:p w14:paraId="7872598F"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5" w:history="1">
            <w:r w:rsidR="008F5159" w:rsidRPr="00F86CA9">
              <w:rPr>
                <w:rStyle w:val="Hyperlink"/>
                <w:noProof/>
              </w:rPr>
              <w:t>10.6 Civil Rights—Title VII—Hostile Work Environment Caused by Supervisor—Claim Based on Vicarious Liability—Tangible Employment Action—Affirmative Defense</w:t>
            </w:r>
            <w:r w:rsidR="008F5159">
              <w:rPr>
                <w:noProof/>
                <w:webHidden/>
              </w:rPr>
              <w:tab/>
            </w:r>
            <w:r w:rsidR="008F5159">
              <w:rPr>
                <w:noProof/>
                <w:webHidden/>
              </w:rPr>
              <w:fldChar w:fldCharType="begin"/>
            </w:r>
            <w:r w:rsidR="008F5159">
              <w:rPr>
                <w:noProof/>
                <w:webHidden/>
              </w:rPr>
              <w:instrText xml:space="preserve"> PAGEREF _Toc117512475 \h </w:instrText>
            </w:r>
            <w:r w:rsidR="008F5159">
              <w:rPr>
                <w:noProof/>
                <w:webHidden/>
              </w:rPr>
            </w:r>
            <w:r w:rsidR="008F5159">
              <w:rPr>
                <w:noProof/>
                <w:webHidden/>
              </w:rPr>
              <w:fldChar w:fldCharType="separate"/>
            </w:r>
            <w:r w:rsidR="008F5159">
              <w:rPr>
                <w:noProof/>
                <w:webHidden/>
              </w:rPr>
              <w:t>249</w:t>
            </w:r>
            <w:r w:rsidR="008F5159">
              <w:rPr>
                <w:noProof/>
                <w:webHidden/>
              </w:rPr>
              <w:fldChar w:fldCharType="end"/>
            </w:r>
          </w:hyperlink>
        </w:p>
        <w:p w14:paraId="55E2C0C1"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6" w:history="1">
            <w:r w:rsidR="008F5159" w:rsidRPr="00F86CA9">
              <w:rPr>
                <w:rStyle w:val="Hyperlink"/>
                <w:noProof/>
              </w:rPr>
              <w:t>10.7 Civil Rights—Title VII—Hostile Work Environment Caused by Non-Immediate Supervisor or by Co-Worker—Claim Based on Negligence</w:t>
            </w:r>
            <w:r w:rsidR="008F5159">
              <w:rPr>
                <w:noProof/>
                <w:webHidden/>
              </w:rPr>
              <w:tab/>
            </w:r>
            <w:r w:rsidR="008F5159">
              <w:rPr>
                <w:noProof/>
                <w:webHidden/>
              </w:rPr>
              <w:fldChar w:fldCharType="begin"/>
            </w:r>
            <w:r w:rsidR="008F5159">
              <w:rPr>
                <w:noProof/>
                <w:webHidden/>
              </w:rPr>
              <w:instrText xml:space="preserve"> PAGEREF _Toc117512476 \h </w:instrText>
            </w:r>
            <w:r w:rsidR="008F5159">
              <w:rPr>
                <w:noProof/>
                <w:webHidden/>
              </w:rPr>
            </w:r>
            <w:r w:rsidR="008F5159">
              <w:rPr>
                <w:noProof/>
                <w:webHidden/>
              </w:rPr>
              <w:fldChar w:fldCharType="separate"/>
            </w:r>
            <w:r w:rsidR="008F5159">
              <w:rPr>
                <w:noProof/>
                <w:webHidden/>
              </w:rPr>
              <w:t>252</w:t>
            </w:r>
            <w:r w:rsidR="008F5159">
              <w:rPr>
                <w:noProof/>
                <w:webHidden/>
              </w:rPr>
              <w:fldChar w:fldCharType="end"/>
            </w:r>
          </w:hyperlink>
        </w:p>
        <w:p w14:paraId="7709850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7" w:history="1">
            <w:r w:rsidR="008F5159" w:rsidRPr="00F86CA9">
              <w:rPr>
                <w:rStyle w:val="Hyperlink"/>
                <w:noProof/>
              </w:rPr>
              <w:t>10.8 Civil Rights—Title VII—Retaliation—Elements and Burden of Proof</w:t>
            </w:r>
            <w:r w:rsidR="008F5159">
              <w:rPr>
                <w:noProof/>
                <w:webHidden/>
              </w:rPr>
              <w:tab/>
            </w:r>
            <w:r w:rsidR="008F5159">
              <w:rPr>
                <w:noProof/>
                <w:webHidden/>
              </w:rPr>
              <w:fldChar w:fldCharType="begin"/>
            </w:r>
            <w:r w:rsidR="008F5159">
              <w:rPr>
                <w:noProof/>
                <w:webHidden/>
              </w:rPr>
              <w:instrText xml:space="preserve"> PAGEREF _Toc117512477 \h </w:instrText>
            </w:r>
            <w:r w:rsidR="008F5159">
              <w:rPr>
                <w:noProof/>
                <w:webHidden/>
              </w:rPr>
            </w:r>
            <w:r w:rsidR="008F5159">
              <w:rPr>
                <w:noProof/>
                <w:webHidden/>
              </w:rPr>
              <w:fldChar w:fldCharType="separate"/>
            </w:r>
            <w:r w:rsidR="008F5159">
              <w:rPr>
                <w:noProof/>
                <w:webHidden/>
              </w:rPr>
              <w:t>254</w:t>
            </w:r>
            <w:r w:rsidR="008F5159">
              <w:rPr>
                <w:noProof/>
                <w:webHidden/>
              </w:rPr>
              <w:fldChar w:fldCharType="end"/>
            </w:r>
          </w:hyperlink>
        </w:p>
        <w:p w14:paraId="434234D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8" w:history="1">
            <w:r w:rsidR="008F5159" w:rsidRPr="00F86CA9">
              <w:rPr>
                <w:rStyle w:val="Hyperlink"/>
                <w:noProof/>
              </w:rPr>
              <w:t>10.9 Civil Rights—Title VII— “Adverse Employment Action” Defined</w:t>
            </w:r>
            <w:r w:rsidR="008F5159">
              <w:rPr>
                <w:noProof/>
                <w:webHidden/>
              </w:rPr>
              <w:tab/>
            </w:r>
            <w:r w:rsidR="008F5159">
              <w:rPr>
                <w:noProof/>
                <w:webHidden/>
              </w:rPr>
              <w:fldChar w:fldCharType="begin"/>
            </w:r>
            <w:r w:rsidR="008F5159">
              <w:rPr>
                <w:noProof/>
                <w:webHidden/>
              </w:rPr>
              <w:instrText xml:space="preserve"> PAGEREF _Toc117512478 \h </w:instrText>
            </w:r>
            <w:r w:rsidR="008F5159">
              <w:rPr>
                <w:noProof/>
                <w:webHidden/>
              </w:rPr>
            </w:r>
            <w:r w:rsidR="008F5159">
              <w:rPr>
                <w:noProof/>
                <w:webHidden/>
              </w:rPr>
              <w:fldChar w:fldCharType="separate"/>
            </w:r>
            <w:r w:rsidR="008F5159">
              <w:rPr>
                <w:noProof/>
                <w:webHidden/>
              </w:rPr>
              <w:t>256</w:t>
            </w:r>
            <w:r w:rsidR="008F5159">
              <w:rPr>
                <w:noProof/>
                <w:webHidden/>
              </w:rPr>
              <w:fldChar w:fldCharType="end"/>
            </w:r>
          </w:hyperlink>
        </w:p>
        <w:p w14:paraId="5DF2E6EA" w14:textId="77777777" w:rsidR="008F5159" w:rsidRDefault="00703520" w:rsidP="00BC4302">
          <w:pPr>
            <w:pStyle w:val="TOC2"/>
            <w:spacing w:before="40" w:afterLines="40" w:after="96"/>
            <w:rPr>
              <w:rFonts w:asciiTheme="minorHAnsi" w:eastAsiaTheme="minorEastAsia" w:hAnsiTheme="minorHAnsi"/>
              <w:noProof/>
              <w:sz w:val="22"/>
            </w:rPr>
          </w:pPr>
          <w:hyperlink w:anchor="_Toc117512479" w:history="1">
            <w:r w:rsidR="008F5159" w:rsidRPr="00F86CA9">
              <w:rPr>
                <w:rStyle w:val="Hyperlink"/>
                <w:noProof/>
              </w:rPr>
              <w:t>10.10 Civil Rights—Title VII— “Adverse Employment Action” in Retaliation Cases</w:t>
            </w:r>
            <w:r w:rsidR="008F5159">
              <w:rPr>
                <w:noProof/>
                <w:webHidden/>
              </w:rPr>
              <w:tab/>
            </w:r>
            <w:r w:rsidR="008F5159">
              <w:rPr>
                <w:noProof/>
                <w:webHidden/>
              </w:rPr>
              <w:fldChar w:fldCharType="begin"/>
            </w:r>
            <w:r w:rsidR="008F5159">
              <w:rPr>
                <w:noProof/>
                <w:webHidden/>
              </w:rPr>
              <w:instrText xml:space="preserve"> PAGEREF _Toc117512479 \h </w:instrText>
            </w:r>
            <w:r w:rsidR="008F5159">
              <w:rPr>
                <w:noProof/>
                <w:webHidden/>
              </w:rPr>
            </w:r>
            <w:r w:rsidR="008F5159">
              <w:rPr>
                <w:noProof/>
                <w:webHidden/>
              </w:rPr>
              <w:fldChar w:fldCharType="separate"/>
            </w:r>
            <w:r w:rsidR="008F5159">
              <w:rPr>
                <w:noProof/>
                <w:webHidden/>
              </w:rPr>
              <w:t>257</w:t>
            </w:r>
            <w:r w:rsidR="008F5159">
              <w:rPr>
                <w:noProof/>
                <w:webHidden/>
              </w:rPr>
              <w:fldChar w:fldCharType="end"/>
            </w:r>
          </w:hyperlink>
        </w:p>
        <w:p w14:paraId="4A9176AC"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0" w:history="1">
            <w:r w:rsidR="008F5159" w:rsidRPr="00F86CA9">
              <w:rPr>
                <w:rStyle w:val="Hyperlink"/>
                <w:noProof/>
              </w:rPr>
              <w:t>10.11 Civil Rights—Title VII— “Adverse Employment Action” in Disparate Treatment Cases</w:t>
            </w:r>
            <w:r w:rsidR="008F5159">
              <w:rPr>
                <w:noProof/>
                <w:webHidden/>
              </w:rPr>
              <w:tab/>
            </w:r>
            <w:r w:rsidR="008F5159">
              <w:rPr>
                <w:noProof/>
                <w:webHidden/>
              </w:rPr>
              <w:fldChar w:fldCharType="begin"/>
            </w:r>
            <w:r w:rsidR="008F5159">
              <w:rPr>
                <w:noProof/>
                <w:webHidden/>
              </w:rPr>
              <w:instrText xml:space="preserve"> PAGEREF _Toc117512480 \h </w:instrText>
            </w:r>
            <w:r w:rsidR="008F5159">
              <w:rPr>
                <w:noProof/>
                <w:webHidden/>
              </w:rPr>
            </w:r>
            <w:r w:rsidR="008F5159">
              <w:rPr>
                <w:noProof/>
                <w:webHidden/>
              </w:rPr>
              <w:fldChar w:fldCharType="separate"/>
            </w:r>
            <w:r w:rsidR="008F5159">
              <w:rPr>
                <w:noProof/>
                <w:webHidden/>
              </w:rPr>
              <w:t>258</w:t>
            </w:r>
            <w:r w:rsidR="008F5159">
              <w:rPr>
                <w:noProof/>
                <w:webHidden/>
              </w:rPr>
              <w:fldChar w:fldCharType="end"/>
            </w:r>
          </w:hyperlink>
        </w:p>
        <w:p w14:paraId="49829241"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1" w:history="1">
            <w:r w:rsidR="008F5159" w:rsidRPr="00F86CA9">
              <w:rPr>
                <w:rStyle w:val="Hyperlink"/>
                <w:noProof/>
              </w:rPr>
              <w:t>10.12 Civil Rights—Title VII— “Tangible Employment Action” Defined</w:t>
            </w:r>
            <w:r w:rsidR="008F5159">
              <w:rPr>
                <w:noProof/>
                <w:webHidden/>
              </w:rPr>
              <w:tab/>
            </w:r>
            <w:r w:rsidR="008F5159">
              <w:rPr>
                <w:noProof/>
                <w:webHidden/>
              </w:rPr>
              <w:fldChar w:fldCharType="begin"/>
            </w:r>
            <w:r w:rsidR="008F5159">
              <w:rPr>
                <w:noProof/>
                <w:webHidden/>
              </w:rPr>
              <w:instrText xml:space="preserve"> PAGEREF _Toc117512481 \h </w:instrText>
            </w:r>
            <w:r w:rsidR="008F5159">
              <w:rPr>
                <w:noProof/>
                <w:webHidden/>
              </w:rPr>
            </w:r>
            <w:r w:rsidR="008F5159">
              <w:rPr>
                <w:noProof/>
                <w:webHidden/>
              </w:rPr>
              <w:fldChar w:fldCharType="separate"/>
            </w:r>
            <w:r w:rsidR="008F5159">
              <w:rPr>
                <w:noProof/>
                <w:webHidden/>
              </w:rPr>
              <w:t>259</w:t>
            </w:r>
            <w:r w:rsidR="008F5159">
              <w:rPr>
                <w:noProof/>
                <w:webHidden/>
              </w:rPr>
              <w:fldChar w:fldCharType="end"/>
            </w:r>
          </w:hyperlink>
        </w:p>
        <w:p w14:paraId="3131A56D"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2" w:history="1">
            <w:r w:rsidR="008F5159" w:rsidRPr="00F86CA9">
              <w:rPr>
                <w:rStyle w:val="Hyperlink"/>
                <w:noProof/>
              </w:rPr>
              <w:t>10.13 Civil Rights—Title VII— “Constructive Discharge” Defined</w:t>
            </w:r>
            <w:r w:rsidR="008F5159">
              <w:rPr>
                <w:noProof/>
                <w:webHidden/>
              </w:rPr>
              <w:tab/>
            </w:r>
            <w:r w:rsidR="008F5159">
              <w:rPr>
                <w:noProof/>
                <w:webHidden/>
              </w:rPr>
              <w:fldChar w:fldCharType="begin"/>
            </w:r>
            <w:r w:rsidR="008F5159">
              <w:rPr>
                <w:noProof/>
                <w:webHidden/>
              </w:rPr>
              <w:instrText xml:space="preserve"> PAGEREF _Toc117512482 \h </w:instrText>
            </w:r>
            <w:r w:rsidR="008F5159">
              <w:rPr>
                <w:noProof/>
                <w:webHidden/>
              </w:rPr>
            </w:r>
            <w:r w:rsidR="008F5159">
              <w:rPr>
                <w:noProof/>
                <w:webHidden/>
              </w:rPr>
              <w:fldChar w:fldCharType="separate"/>
            </w:r>
            <w:r w:rsidR="008F5159">
              <w:rPr>
                <w:noProof/>
                <w:webHidden/>
              </w:rPr>
              <w:t>261</w:t>
            </w:r>
            <w:r w:rsidR="008F5159">
              <w:rPr>
                <w:noProof/>
                <w:webHidden/>
              </w:rPr>
              <w:fldChar w:fldCharType="end"/>
            </w:r>
          </w:hyperlink>
        </w:p>
        <w:p w14:paraId="58A409F5"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3" w:history="1">
            <w:r w:rsidR="008F5159" w:rsidRPr="00F86CA9">
              <w:rPr>
                <w:rStyle w:val="Hyperlink"/>
                <w:noProof/>
              </w:rPr>
              <w:t>10.14 Civil Rights—Title VII—Defense—Bona Fide Occupational Qualification</w:t>
            </w:r>
            <w:r w:rsidR="008F5159">
              <w:rPr>
                <w:noProof/>
                <w:webHidden/>
              </w:rPr>
              <w:tab/>
            </w:r>
            <w:r w:rsidR="008F5159">
              <w:rPr>
                <w:noProof/>
                <w:webHidden/>
              </w:rPr>
              <w:fldChar w:fldCharType="begin"/>
            </w:r>
            <w:r w:rsidR="008F5159">
              <w:rPr>
                <w:noProof/>
                <w:webHidden/>
              </w:rPr>
              <w:instrText xml:space="preserve"> PAGEREF _Toc117512483 \h </w:instrText>
            </w:r>
            <w:r w:rsidR="008F5159">
              <w:rPr>
                <w:noProof/>
                <w:webHidden/>
              </w:rPr>
            </w:r>
            <w:r w:rsidR="008F5159">
              <w:rPr>
                <w:noProof/>
                <w:webHidden/>
              </w:rPr>
              <w:fldChar w:fldCharType="separate"/>
            </w:r>
            <w:r w:rsidR="008F5159">
              <w:rPr>
                <w:noProof/>
                <w:webHidden/>
              </w:rPr>
              <w:t>262</w:t>
            </w:r>
            <w:r w:rsidR="008F5159">
              <w:rPr>
                <w:noProof/>
                <w:webHidden/>
              </w:rPr>
              <w:fldChar w:fldCharType="end"/>
            </w:r>
          </w:hyperlink>
        </w:p>
        <w:p w14:paraId="281EE129"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4" w:history="1">
            <w:r w:rsidR="008F5159" w:rsidRPr="00F86CA9">
              <w:rPr>
                <w:rStyle w:val="Hyperlink"/>
                <w:noProof/>
              </w:rPr>
              <w:t>10.15 Civil Rights—Title VII—Defense—Bona Fide Seniority System</w:t>
            </w:r>
            <w:r w:rsidR="008F5159">
              <w:rPr>
                <w:noProof/>
                <w:webHidden/>
              </w:rPr>
              <w:tab/>
            </w:r>
            <w:r w:rsidR="008F5159">
              <w:rPr>
                <w:noProof/>
                <w:webHidden/>
              </w:rPr>
              <w:fldChar w:fldCharType="begin"/>
            </w:r>
            <w:r w:rsidR="008F5159">
              <w:rPr>
                <w:noProof/>
                <w:webHidden/>
              </w:rPr>
              <w:instrText xml:space="preserve"> PAGEREF _Toc117512484 \h </w:instrText>
            </w:r>
            <w:r w:rsidR="008F5159">
              <w:rPr>
                <w:noProof/>
                <w:webHidden/>
              </w:rPr>
            </w:r>
            <w:r w:rsidR="008F5159">
              <w:rPr>
                <w:noProof/>
                <w:webHidden/>
              </w:rPr>
              <w:fldChar w:fldCharType="separate"/>
            </w:r>
            <w:r w:rsidR="008F5159">
              <w:rPr>
                <w:noProof/>
                <w:webHidden/>
              </w:rPr>
              <w:t>264</w:t>
            </w:r>
            <w:r w:rsidR="008F5159">
              <w:rPr>
                <w:noProof/>
                <w:webHidden/>
              </w:rPr>
              <w:fldChar w:fldCharType="end"/>
            </w:r>
          </w:hyperlink>
        </w:p>
        <w:p w14:paraId="43B09D9D" w14:textId="2220AE24" w:rsidR="008F5159" w:rsidRDefault="00703520" w:rsidP="00BC4302">
          <w:pPr>
            <w:pStyle w:val="TOC2"/>
            <w:spacing w:before="40" w:afterLines="40" w:after="96"/>
            <w:rPr>
              <w:rStyle w:val="Hyperlink"/>
              <w:noProof/>
            </w:rPr>
          </w:pPr>
          <w:hyperlink w:anchor="_Toc117512485" w:history="1">
            <w:r w:rsidR="008F5159" w:rsidRPr="00F86CA9">
              <w:rPr>
                <w:rStyle w:val="Hyperlink"/>
                <w:noProof/>
              </w:rPr>
              <w:t>10.16 Civil Rights—Title VII—Defense—After-Acquired Evidence</w:t>
            </w:r>
            <w:r w:rsidR="008F5159">
              <w:rPr>
                <w:noProof/>
                <w:webHidden/>
              </w:rPr>
              <w:tab/>
            </w:r>
            <w:r w:rsidR="008F5159">
              <w:rPr>
                <w:noProof/>
                <w:webHidden/>
              </w:rPr>
              <w:fldChar w:fldCharType="begin"/>
            </w:r>
            <w:r w:rsidR="008F5159">
              <w:rPr>
                <w:noProof/>
                <w:webHidden/>
              </w:rPr>
              <w:instrText xml:space="preserve"> PAGEREF _Toc117512485 \h </w:instrText>
            </w:r>
            <w:r w:rsidR="008F5159">
              <w:rPr>
                <w:noProof/>
                <w:webHidden/>
              </w:rPr>
            </w:r>
            <w:r w:rsidR="008F5159">
              <w:rPr>
                <w:noProof/>
                <w:webHidden/>
              </w:rPr>
              <w:fldChar w:fldCharType="separate"/>
            </w:r>
            <w:r w:rsidR="008F5159">
              <w:rPr>
                <w:noProof/>
                <w:webHidden/>
              </w:rPr>
              <w:t>265</w:t>
            </w:r>
            <w:r w:rsidR="008F5159">
              <w:rPr>
                <w:noProof/>
                <w:webHidden/>
              </w:rPr>
              <w:fldChar w:fldCharType="end"/>
            </w:r>
          </w:hyperlink>
        </w:p>
        <w:p w14:paraId="08E37771" w14:textId="641B0BA1" w:rsidR="008F5159" w:rsidRDefault="00703520" w:rsidP="00340019">
          <w:pPr>
            <w:pStyle w:val="TOC1"/>
            <w:rPr>
              <w:rFonts w:asciiTheme="minorHAnsi" w:eastAsiaTheme="minorEastAsia" w:hAnsiTheme="minorHAnsi"/>
              <w:noProof/>
              <w:sz w:val="22"/>
            </w:rPr>
          </w:pPr>
          <w:hyperlink w:anchor="_Toc117512486" w:history="1">
            <w:r w:rsidR="008F5159" w:rsidRPr="00F86CA9">
              <w:rPr>
                <w:rStyle w:val="Hyperlink"/>
                <w:noProof/>
              </w:rPr>
              <w:t>11.  AGE DISCRIMINATION</w:t>
            </w:r>
            <w:r w:rsidR="008F5159">
              <w:rPr>
                <w:noProof/>
                <w:webHidden/>
              </w:rPr>
              <w:tab/>
            </w:r>
            <w:r w:rsidR="008F5159">
              <w:rPr>
                <w:noProof/>
                <w:webHidden/>
              </w:rPr>
              <w:fldChar w:fldCharType="begin"/>
            </w:r>
            <w:r w:rsidR="008F5159">
              <w:rPr>
                <w:noProof/>
                <w:webHidden/>
              </w:rPr>
              <w:instrText xml:space="preserve"> PAGEREF _Toc117512486 \h </w:instrText>
            </w:r>
            <w:r w:rsidR="008F5159">
              <w:rPr>
                <w:noProof/>
                <w:webHidden/>
              </w:rPr>
            </w:r>
            <w:r w:rsidR="008F5159">
              <w:rPr>
                <w:noProof/>
                <w:webHidden/>
              </w:rPr>
              <w:fldChar w:fldCharType="separate"/>
            </w:r>
            <w:r w:rsidR="008F5159">
              <w:rPr>
                <w:noProof/>
                <w:webHidden/>
              </w:rPr>
              <w:t>266</w:t>
            </w:r>
            <w:r w:rsidR="008F5159">
              <w:rPr>
                <w:noProof/>
                <w:webHidden/>
              </w:rPr>
              <w:fldChar w:fldCharType="end"/>
            </w:r>
          </w:hyperlink>
          <w:r w:rsidR="00D1021C">
            <w:rPr>
              <w:rFonts w:asciiTheme="minorHAnsi" w:eastAsiaTheme="minorEastAsia" w:hAnsiTheme="minorHAnsi"/>
              <w:noProof/>
              <w:sz w:val="22"/>
            </w:rPr>
            <w:br/>
          </w:r>
          <w:hyperlink w:anchor="_Toc117512487"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_Toc117512487 \h </w:instrText>
            </w:r>
            <w:r w:rsidR="008F5159">
              <w:rPr>
                <w:noProof/>
                <w:webHidden/>
              </w:rPr>
            </w:r>
            <w:r w:rsidR="008F5159">
              <w:rPr>
                <w:noProof/>
                <w:webHidden/>
              </w:rPr>
              <w:fldChar w:fldCharType="separate"/>
            </w:r>
            <w:r w:rsidR="008F5159">
              <w:rPr>
                <w:noProof/>
                <w:webHidden/>
              </w:rPr>
              <w:t>266</w:t>
            </w:r>
            <w:r w:rsidR="008F5159">
              <w:rPr>
                <w:noProof/>
                <w:webHidden/>
              </w:rPr>
              <w:fldChar w:fldCharType="end"/>
            </w:r>
          </w:hyperlink>
        </w:p>
        <w:p w14:paraId="1969D4C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8" w:history="1">
            <w:r w:rsidR="008F5159" w:rsidRPr="00F86CA9">
              <w:rPr>
                <w:rStyle w:val="Hyperlink"/>
                <w:noProof/>
              </w:rPr>
              <w:t>11.1 Age Discrimination—Disparate Treatment—Elements and Burden of Proof</w:t>
            </w:r>
            <w:r w:rsidR="008F5159">
              <w:rPr>
                <w:noProof/>
                <w:webHidden/>
              </w:rPr>
              <w:tab/>
            </w:r>
            <w:r w:rsidR="008F5159">
              <w:rPr>
                <w:noProof/>
                <w:webHidden/>
              </w:rPr>
              <w:fldChar w:fldCharType="begin"/>
            </w:r>
            <w:r w:rsidR="008F5159">
              <w:rPr>
                <w:noProof/>
                <w:webHidden/>
              </w:rPr>
              <w:instrText xml:space="preserve"> PAGEREF _Toc117512488 \h </w:instrText>
            </w:r>
            <w:r w:rsidR="008F5159">
              <w:rPr>
                <w:noProof/>
                <w:webHidden/>
              </w:rPr>
            </w:r>
            <w:r w:rsidR="008F5159">
              <w:rPr>
                <w:noProof/>
                <w:webHidden/>
              </w:rPr>
              <w:fldChar w:fldCharType="separate"/>
            </w:r>
            <w:r w:rsidR="008F5159">
              <w:rPr>
                <w:noProof/>
                <w:webHidden/>
              </w:rPr>
              <w:t>269</w:t>
            </w:r>
            <w:r w:rsidR="008F5159">
              <w:rPr>
                <w:noProof/>
                <w:webHidden/>
              </w:rPr>
              <w:fldChar w:fldCharType="end"/>
            </w:r>
          </w:hyperlink>
        </w:p>
        <w:p w14:paraId="0C1404D9" w14:textId="77777777" w:rsidR="008F5159" w:rsidRDefault="00703520" w:rsidP="00BC4302">
          <w:pPr>
            <w:pStyle w:val="TOC2"/>
            <w:spacing w:before="40" w:afterLines="40" w:after="96"/>
            <w:rPr>
              <w:rFonts w:asciiTheme="minorHAnsi" w:eastAsiaTheme="minorEastAsia" w:hAnsiTheme="minorHAnsi"/>
              <w:noProof/>
              <w:sz w:val="22"/>
            </w:rPr>
          </w:pPr>
          <w:hyperlink w:anchor="_Toc117512489" w:history="1">
            <w:r w:rsidR="008F5159" w:rsidRPr="00F86CA9">
              <w:rPr>
                <w:rStyle w:val="Hyperlink"/>
                <w:noProof/>
              </w:rPr>
              <w:t>11.2 Age Discrimination—Hostile Work Environment</w:t>
            </w:r>
            <w:r w:rsidR="008F5159">
              <w:rPr>
                <w:noProof/>
                <w:webHidden/>
              </w:rPr>
              <w:tab/>
            </w:r>
            <w:r w:rsidR="008F5159">
              <w:rPr>
                <w:noProof/>
                <w:webHidden/>
              </w:rPr>
              <w:fldChar w:fldCharType="begin"/>
            </w:r>
            <w:r w:rsidR="008F5159">
              <w:rPr>
                <w:noProof/>
                <w:webHidden/>
              </w:rPr>
              <w:instrText xml:space="preserve"> PAGEREF _Toc117512489 \h </w:instrText>
            </w:r>
            <w:r w:rsidR="008F5159">
              <w:rPr>
                <w:noProof/>
                <w:webHidden/>
              </w:rPr>
            </w:r>
            <w:r w:rsidR="008F5159">
              <w:rPr>
                <w:noProof/>
                <w:webHidden/>
              </w:rPr>
              <w:fldChar w:fldCharType="separate"/>
            </w:r>
            <w:r w:rsidR="008F5159">
              <w:rPr>
                <w:noProof/>
                <w:webHidden/>
              </w:rPr>
              <w:t>271</w:t>
            </w:r>
            <w:r w:rsidR="008F5159">
              <w:rPr>
                <w:noProof/>
                <w:webHidden/>
              </w:rPr>
              <w:fldChar w:fldCharType="end"/>
            </w:r>
          </w:hyperlink>
        </w:p>
        <w:p w14:paraId="770AC1A9"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0" w:history="1">
            <w:r w:rsidR="008F5159" w:rsidRPr="00F86CA9">
              <w:rPr>
                <w:rStyle w:val="Hyperlink"/>
                <w:noProof/>
              </w:rPr>
              <w:t>11.3 Age Discrimination—Retaliation</w:t>
            </w:r>
            <w:r w:rsidR="008F5159">
              <w:rPr>
                <w:noProof/>
                <w:webHidden/>
              </w:rPr>
              <w:tab/>
            </w:r>
            <w:r w:rsidR="008F5159">
              <w:rPr>
                <w:noProof/>
                <w:webHidden/>
              </w:rPr>
              <w:fldChar w:fldCharType="begin"/>
            </w:r>
            <w:r w:rsidR="008F5159">
              <w:rPr>
                <w:noProof/>
                <w:webHidden/>
              </w:rPr>
              <w:instrText xml:space="preserve"> PAGEREF _Toc117512490 \h </w:instrText>
            </w:r>
            <w:r w:rsidR="008F5159">
              <w:rPr>
                <w:noProof/>
                <w:webHidden/>
              </w:rPr>
            </w:r>
            <w:r w:rsidR="008F5159">
              <w:rPr>
                <w:noProof/>
                <w:webHidden/>
              </w:rPr>
              <w:fldChar w:fldCharType="separate"/>
            </w:r>
            <w:r w:rsidR="008F5159">
              <w:rPr>
                <w:noProof/>
                <w:webHidden/>
              </w:rPr>
              <w:t>272</w:t>
            </w:r>
            <w:r w:rsidR="008F5159">
              <w:rPr>
                <w:noProof/>
                <w:webHidden/>
              </w:rPr>
              <w:fldChar w:fldCharType="end"/>
            </w:r>
          </w:hyperlink>
        </w:p>
        <w:p w14:paraId="72B45F8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1" w:history="1">
            <w:r w:rsidR="008F5159" w:rsidRPr="00F86CA9">
              <w:rPr>
                <w:rStyle w:val="Hyperlink"/>
                <w:noProof/>
              </w:rPr>
              <w:t>11.4 Age Discrimination—Disparate Impact—Elements</w:t>
            </w:r>
            <w:r w:rsidR="008F5159">
              <w:rPr>
                <w:noProof/>
                <w:webHidden/>
              </w:rPr>
              <w:tab/>
            </w:r>
            <w:r w:rsidR="008F5159">
              <w:rPr>
                <w:noProof/>
                <w:webHidden/>
              </w:rPr>
              <w:fldChar w:fldCharType="begin"/>
            </w:r>
            <w:r w:rsidR="008F5159">
              <w:rPr>
                <w:noProof/>
                <w:webHidden/>
              </w:rPr>
              <w:instrText xml:space="preserve"> PAGEREF _Toc117512491 \h </w:instrText>
            </w:r>
            <w:r w:rsidR="008F5159">
              <w:rPr>
                <w:noProof/>
                <w:webHidden/>
              </w:rPr>
            </w:r>
            <w:r w:rsidR="008F5159">
              <w:rPr>
                <w:noProof/>
                <w:webHidden/>
              </w:rPr>
              <w:fldChar w:fldCharType="separate"/>
            </w:r>
            <w:r w:rsidR="008F5159">
              <w:rPr>
                <w:noProof/>
                <w:webHidden/>
              </w:rPr>
              <w:t>273</w:t>
            </w:r>
            <w:r w:rsidR="008F5159">
              <w:rPr>
                <w:noProof/>
                <w:webHidden/>
              </w:rPr>
              <w:fldChar w:fldCharType="end"/>
            </w:r>
          </w:hyperlink>
        </w:p>
        <w:p w14:paraId="0CC10CD2"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2" w:history="1">
            <w:r w:rsidR="008F5159" w:rsidRPr="00F86CA9">
              <w:rPr>
                <w:rStyle w:val="Hyperlink"/>
                <w:noProof/>
              </w:rPr>
              <w:t>11.5 Age Discrimination—Definition of Common Terms</w:t>
            </w:r>
            <w:r w:rsidR="008F5159">
              <w:rPr>
                <w:noProof/>
                <w:webHidden/>
              </w:rPr>
              <w:tab/>
            </w:r>
            <w:r w:rsidR="008F5159">
              <w:rPr>
                <w:noProof/>
                <w:webHidden/>
              </w:rPr>
              <w:fldChar w:fldCharType="begin"/>
            </w:r>
            <w:r w:rsidR="008F5159">
              <w:rPr>
                <w:noProof/>
                <w:webHidden/>
              </w:rPr>
              <w:instrText xml:space="preserve"> PAGEREF _Toc117512492 \h </w:instrText>
            </w:r>
            <w:r w:rsidR="008F5159">
              <w:rPr>
                <w:noProof/>
                <w:webHidden/>
              </w:rPr>
            </w:r>
            <w:r w:rsidR="008F5159">
              <w:rPr>
                <w:noProof/>
                <w:webHidden/>
              </w:rPr>
              <w:fldChar w:fldCharType="separate"/>
            </w:r>
            <w:r w:rsidR="008F5159">
              <w:rPr>
                <w:noProof/>
                <w:webHidden/>
              </w:rPr>
              <w:t>275</w:t>
            </w:r>
            <w:r w:rsidR="008F5159">
              <w:rPr>
                <w:noProof/>
                <w:webHidden/>
              </w:rPr>
              <w:fldChar w:fldCharType="end"/>
            </w:r>
          </w:hyperlink>
        </w:p>
        <w:p w14:paraId="65157AE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3" w:history="1">
            <w:r w:rsidR="008F5159" w:rsidRPr="00F86CA9">
              <w:rPr>
                <w:rStyle w:val="Hyperlink"/>
                <w:noProof/>
              </w:rPr>
              <w:t>11.6 Age Discrimination—Defenses</w:t>
            </w:r>
            <w:r w:rsidR="008F5159">
              <w:rPr>
                <w:noProof/>
                <w:webHidden/>
              </w:rPr>
              <w:tab/>
            </w:r>
            <w:r w:rsidR="008F5159">
              <w:rPr>
                <w:noProof/>
                <w:webHidden/>
              </w:rPr>
              <w:fldChar w:fldCharType="begin"/>
            </w:r>
            <w:r w:rsidR="008F5159">
              <w:rPr>
                <w:noProof/>
                <w:webHidden/>
              </w:rPr>
              <w:instrText xml:space="preserve"> PAGEREF _Toc117512493 \h </w:instrText>
            </w:r>
            <w:r w:rsidR="008F5159">
              <w:rPr>
                <w:noProof/>
                <w:webHidden/>
              </w:rPr>
            </w:r>
            <w:r w:rsidR="008F5159">
              <w:rPr>
                <w:noProof/>
                <w:webHidden/>
              </w:rPr>
              <w:fldChar w:fldCharType="separate"/>
            </w:r>
            <w:r w:rsidR="008F5159">
              <w:rPr>
                <w:noProof/>
                <w:webHidden/>
              </w:rPr>
              <w:t>276</w:t>
            </w:r>
            <w:r w:rsidR="008F5159">
              <w:rPr>
                <w:noProof/>
                <w:webHidden/>
              </w:rPr>
              <w:fldChar w:fldCharType="end"/>
            </w:r>
          </w:hyperlink>
        </w:p>
        <w:p w14:paraId="0417D21F"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4" w:history="1">
            <w:r w:rsidR="008F5159" w:rsidRPr="00F86CA9">
              <w:rPr>
                <w:rStyle w:val="Hyperlink"/>
                <w:noProof/>
              </w:rPr>
              <w:t>11.7 Age Discrimination—Defenses—Bona Fide Occupational Qualification</w:t>
            </w:r>
            <w:r w:rsidR="008F5159">
              <w:rPr>
                <w:noProof/>
                <w:webHidden/>
              </w:rPr>
              <w:tab/>
            </w:r>
            <w:r w:rsidR="008F5159">
              <w:rPr>
                <w:noProof/>
                <w:webHidden/>
              </w:rPr>
              <w:fldChar w:fldCharType="begin"/>
            </w:r>
            <w:r w:rsidR="008F5159">
              <w:rPr>
                <w:noProof/>
                <w:webHidden/>
              </w:rPr>
              <w:instrText xml:space="preserve"> PAGEREF _Toc117512494 \h </w:instrText>
            </w:r>
            <w:r w:rsidR="008F5159">
              <w:rPr>
                <w:noProof/>
                <w:webHidden/>
              </w:rPr>
            </w:r>
            <w:r w:rsidR="008F5159">
              <w:rPr>
                <w:noProof/>
                <w:webHidden/>
              </w:rPr>
              <w:fldChar w:fldCharType="separate"/>
            </w:r>
            <w:r w:rsidR="008F5159">
              <w:rPr>
                <w:noProof/>
                <w:webHidden/>
              </w:rPr>
              <w:t>277</w:t>
            </w:r>
            <w:r w:rsidR="008F5159">
              <w:rPr>
                <w:noProof/>
                <w:webHidden/>
              </w:rPr>
              <w:fldChar w:fldCharType="end"/>
            </w:r>
          </w:hyperlink>
        </w:p>
        <w:p w14:paraId="20E4B49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5" w:history="1">
            <w:r w:rsidR="008F5159" w:rsidRPr="00F86CA9">
              <w:rPr>
                <w:rStyle w:val="Hyperlink"/>
                <w:noProof/>
              </w:rPr>
              <w:t>11.8 Age Discrimination—Defenses—Bona Fide Seniority System</w:t>
            </w:r>
            <w:r w:rsidR="008F5159">
              <w:rPr>
                <w:noProof/>
                <w:webHidden/>
              </w:rPr>
              <w:tab/>
            </w:r>
            <w:r w:rsidR="008F5159">
              <w:rPr>
                <w:noProof/>
                <w:webHidden/>
              </w:rPr>
              <w:fldChar w:fldCharType="begin"/>
            </w:r>
            <w:r w:rsidR="008F5159">
              <w:rPr>
                <w:noProof/>
                <w:webHidden/>
              </w:rPr>
              <w:instrText xml:space="preserve"> PAGEREF _Toc117512495 \h </w:instrText>
            </w:r>
            <w:r w:rsidR="008F5159">
              <w:rPr>
                <w:noProof/>
                <w:webHidden/>
              </w:rPr>
            </w:r>
            <w:r w:rsidR="008F5159">
              <w:rPr>
                <w:noProof/>
                <w:webHidden/>
              </w:rPr>
              <w:fldChar w:fldCharType="separate"/>
            </w:r>
            <w:r w:rsidR="008F5159">
              <w:rPr>
                <w:noProof/>
                <w:webHidden/>
              </w:rPr>
              <w:t>278</w:t>
            </w:r>
            <w:r w:rsidR="008F5159">
              <w:rPr>
                <w:noProof/>
                <w:webHidden/>
              </w:rPr>
              <w:fldChar w:fldCharType="end"/>
            </w:r>
          </w:hyperlink>
        </w:p>
        <w:p w14:paraId="00F01F8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6" w:history="1">
            <w:r w:rsidR="008F5159" w:rsidRPr="00F86CA9">
              <w:rPr>
                <w:rStyle w:val="Hyperlink"/>
                <w:noProof/>
              </w:rPr>
              <w:t>11.9 Age Discrimination—Defenses—After-Acquired Evidence</w:t>
            </w:r>
            <w:r w:rsidR="008F5159">
              <w:rPr>
                <w:noProof/>
                <w:webHidden/>
              </w:rPr>
              <w:tab/>
            </w:r>
            <w:r w:rsidR="008F5159">
              <w:rPr>
                <w:noProof/>
                <w:webHidden/>
              </w:rPr>
              <w:fldChar w:fldCharType="begin"/>
            </w:r>
            <w:r w:rsidR="008F5159">
              <w:rPr>
                <w:noProof/>
                <w:webHidden/>
              </w:rPr>
              <w:instrText xml:space="preserve"> PAGEREF _Toc117512496 \h </w:instrText>
            </w:r>
            <w:r w:rsidR="008F5159">
              <w:rPr>
                <w:noProof/>
                <w:webHidden/>
              </w:rPr>
            </w:r>
            <w:r w:rsidR="008F5159">
              <w:rPr>
                <w:noProof/>
                <w:webHidden/>
              </w:rPr>
              <w:fldChar w:fldCharType="separate"/>
            </w:r>
            <w:r w:rsidR="008F5159">
              <w:rPr>
                <w:noProof/>
                <w:webHidden/>
              </w:rPr>
              <w:t>280</w:t>
            </w:r>
            <w:r w:rsidR="008F5159">
              <w:rPr>
                <w:noProof/>
                <w:webHidden/>
              </w:rPr>
              <w:fldChar w:fldCharType="end"/>
            </w:r>
          </w:hyperlink>
        </w:p>
        <w:p w14:paraId="16F74E40"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7" w:history="1">
            <w:r w:rsidR="008F5159" w:rsidRPr="00F86CA9">
              <w:rPr>
                <w:rStyle w:val="Hyperlink"/>
                <w:noProof/>
              </w:rPr>
              <w:t>11.10 Age Discrimination—Defenses—Bona Fide Employee Benefit Plan</w:t>
            </w:r>
            <w:r w:rsidR="008F5159">
              <w:rPr>
                <w:noProof/>
                <w:webHidden/>
              </w:rPr>
              <w:tab/>
            </w:r>
            <w:r w:rsidR="008F5159">
              <w:rPr>
                <w:noProof/>
                <w:webHidden/>
              </w:rPr>
              <w:fldChar w:fldCharType="begin"/>
            </w:r>
            <w:r w:rsidR="008F5159">
              <w:rPr>
                <w:noProof/>
                <w:webHidden/>
              </w:rPr>
              <w:instrText xml:space="preserve"> PAGEREF _Toc117512497 \h </w:instrText>
            </w:r>
            <w:r w:rsidR="008F5159">
              <w:rPr>
                <w:noProof/>
                <w:webHidden/>
              </w:rPr>
            </w:r>
            <w:r w:rsidR="008F5159">
              <w:rPr>
                <w:noProof/>
                <w:webHidden/>
              </w:rPr>
              <w:fldChar w:fldCharType="separate"/>
            </w:r>
            <w:r w:rsidR="008F5159">
              <w:rPr>
                <w:noProof/>
                <w:webHidden/>
              </w:rPr>
              <w:t>281</w:t>
            </w:r>
            <w:r w:rsidR="008F5159">
              <w:rPr>
                <w:noProof/>
                <w:webHidden/>
              </w:rPr>
              <w:fldChar w:fldCharType="end"/>
            </w:r>
          </w:hyperlink>
        </w:p>
        <w:p w14:paraId="2881A18E"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8" w:history="1">
            <w:r w:rsidR="008F5159" w:rsidRPr="00F86CA9">
              <w:rPr>
                <w:rStyle w:val="Hyperlink"/>
                <w:noProof/>
              </w:rPr>
              <w:t>11.11 Age Discrimination—Defenses—Reasonable Factor Other Than Age</w:t>
            </w:r>
            <w:r w:rsidR="008F5159">
              <w:rPr>
                <w:noProof/>
                <w:webHidden/>
              </w:rPr>
              <w:tab/>
            </w:r>
            <w:r w:rsidR="008F5159">
              <w:rPr>
                <w:noProof/>
                <w:webHidden/>
              </w:rPr>
              <w:fldChar w:fldCharType="begin"/>
            </w:r>
            <w:r w:rsidR="008F5159">
              <w:rPr>
                <w:noProof/>
                <w:webHidden/>
              </w:rPr>
              <w:instrText xml:space="preserve"> PAGEREF _Toc117512498 \h </w:instrText>
            </w:r>
            <w:r w:rsidR="008F5159">
              <w:rPr>
                <w:noProof/>
                <w:webHidden/>
              </w:rPr>
            </w:r>
            <w:r w:rsidR="008F5159">
              <w:rPr>
                <w:noProof/>
                <w:webHidden/>
              </w:rPr>
              <w:fldChar w:fldCharType="separate"/>
            </w:r>
            <w:r w:rsidR="008F5159">
              <w:rPr>
                <w:noProof/>
                <w:webHidden/>
              </w:rPr>
              <w:t>284</w:t>
            </w:r>
            <w:r w:rsidR="008F5159">
              <w:rPr>
                <w:noProof/>
                <w:webHidden/>
              </w:rPr>
              <w:fldChar w:fldCharType="end"/>
            </w:r>
          </w:hyperlink>
        </w:p>
        <w:p w14:paraId="101F7B53" w14:textId="77777777" w:rsidR="008F5159" w:rsidRDefault="00703520" w:rsidP="00BC4302">
          <w:pPr>
            <w:pStyle w:val="TOC2"/>
            <w:spacing w:before="40" w:afterLines="40" w:after="96"/>
            <w:rPr>
              <w:rFonts w:asciiTheme="minorHAnsi" w:eastAsiaTheme="minorEastAsia" w:hAnsiTheme="minorHAnsi"/>
              <w:noProof/>
              <w:sz w:val="22"/>
            </w:rPr>
          </w:pPr>
          <w:hyperlink w:anchor="_Toc117512499" w:history="1">
            <w:r w:rsidR="008F5159" w:rsidRPr="00F86CA9">
              <w:rPr>
                <w:rStyle w:val="Hyperlink"/>
                <w:noProof/>
              </w:rPr>
              <w:t>11.12 Age Discrimination—Damages</w:t>
            </w:r>
            <w:r w:rsidR="008F5159">
              <w:rPr>
                <w:noProof/>
                <w:webHidden/>
              </w:rPr>
              <w:tab/>
            </w:r>
            <w:r w:rsidR="008F5159">
              <w:rPr>
                <w:noProof/>
                <w:webHidden/>
              </w:rPr>
              <w:fldChar w:fldCharType="begin"/>
            </w:r>
            <w:r w:rsidR="008F5159">
              <w:rPr>
                <w:noProof/>
                <w:webHidden/>
              </w:rPr>
              <w:instrText xml:space="preserve"> PAGEREF _Toc117512499 \h </w:instrText>
            </w:r>
            <w:r w:rsidR="008F5159">
              <w:rPr>
                <w:noProof/>
                <w:webHidden/>
              </w:rPr>
            </w:r>
            <w:r w:rsidR="008F5159">
              <w:rPr>
                <w:noProof/>
                <w:webHidden/>
              </w:rPr>
              <w:fldChar w:fldCharType="separate"/>
            </w:r>
            <w:r w:rsidR="008F5159">
              <w:rPr>
                <w:noProof/>
                <w:webHidden/>
              </w:rPr>
              <w:t>286</w:t>
            </w:r>
            <w:r w:rsidR="008F5159">
              <w:rPr>
                <w:noProof/>
                <w:webHidden/>
              </w:rPr>
              <w:fldChar w:fldCharType="end"/>
            </w:r>
          </w:hyperlink>
        </w:p>
        <w:p w14:paraId="22CAD9DC"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0" w:history="1">
            <w:r w:rsidR="008F5159" w:rsidRPr="00F86CA9">
              <w:rPr>
                <w:rStyle w:val="Hyperlink"/>
                <w:noProof/>
              </w:rPr>
              <w:t>11.13 Age Discrimination—Damages—Back Pay—Mitigation</w:t>
            </w:r>
            <w:r w:rsidR="008F5159">
              <w:rPr>
                <w:noProof/>
                <w:webHidden/>
              </w:rPr>
              <w:tab/>
            </w:r>
            <w:r w:rsidR="008F5159">
              <w:rPr>
                <w:noProof/>
                <w:webHidden/>
              </w:rPr>
              <w:fldChar w:fldCharType="begin"/>
            </w:r>
            <w:r w:rsidR="008F5159">
              <w:rPr>
                <w:noProof/>
                <w:webHidden/>
              </w:rPr>
              <w:instrText xml:space="preserve"> PAGEREF _Toc117512500 \h </w:instrText>
            </w:r>
            <w:r w:rsidR="008F5159">
              <w:rPr>
                <w:noProof/>
                <w:webHidden/>
              </w:rPr>
            </w:r>
            <w:r w:rsidR="008F5159">
              <w:rPr>
                <w:noProof/>
                <w:webHidden/>
              </w:rPr>
              <w:fldChar w:fldCharType="separate"/>
            </w:r>
            <w:r w:rsidR="008F5159">
              <w:rPr>
                <w:noProof/>
                <w:webHidden/>
              </w:rPr>
              <w:t>287</w:t>
            </w:r>
            <w:r w:rsidR="008F5159">
              <w:rPr>
                <w:noProof/>
                <w:webHidden/>
              </w:rPr>
              <w:fldChar w:fldCharType="end"/>
            </w:r>
          </w:hyperlink>
        </w:p>
        <w:p w14:paraId="5B149FAE"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1" w:history="1">
            <w:r w:rsidR="008F5159" w:rsidRPr="00F86CA9">
              <w:rPr>
                <w:rStyle w:val="Hyperlink"/>
                <w:noProof/>
              </w:rPr>
              <w:t>11.14 Age Discrimination—Damages—Willful Discrimination—Liquidated Damages</w:t>
            </w:r>
            <w:r w:rsidR="008F5159">
              <w:rPr>
                <w:noProof/>
                <w:webHidden/>
              </w:rPr>
              <w:tab/>
            </w:r>
            <w:r w:rsidR="008F5159">
              <w:rPr>
                <w:noProof/>
                <w:webHidden/>
              </w:rPr>
              <w:fldChar w:fldCharType="begin"/>
            </w:r>
            <w:r w:rsidR="008F5159">
              <w:rPr>
                <w:noProof/>
                <w:webHidden/>
              </w:rPr>
              <w:instrText xml:space="preserve"> PAGEREF _Toc117512501 \h </w:instrText>
            </w:r>
            <w:r w:rsidR="008F5159">
              <w:rPr>
                <w:noProof/>
                <w:webHidden/>
              </w:rPr>
            </w:r>
            <w:r w:rsidR="008F5159">
              <w:rPr>
                <w:noProof/>
                <w:webHidden/>
              </w:rPr>
              <w:fldChar w:fldCharType="separate"/>
            </w:r>
            <w:r w:rsidR="008F5159">
              <w:rPr>
                <w:noProof/>
                <w:webHidden/>
              </w:rPr>
              <w:t>290</w:t>
            </w:r>
            <w:r w:rsidR="008F5159">
              <w:rPr>
                <w:noProof/>
                <w:webHidden/>
              </w:rPr>
              <w:fldChar w:fldCharType="end"/>
            </w:r>
          </w:hyperlink>
        </w:p>
        <w:p w14:paraId="413EB4BC" w14:textId="77777777" w:rsidR="008F5159" w:rsidRDefault="00703520" w:rsidP="00340019">
          <w:pPr>
            <w:pStyle w:val="TOC1"/>
            <w:rPr>
              <w:rFonts w:asciiTheme="minorHAnsi" w:eastAsiaTheme="minorEastAsia" w:hAnsiTheme="minorHAnsi"/>
              <w:noProof/>
              <w:sz w:val="22"/>
            </w:rPr>
          </w:pPr>
          <w:hyperlink w:anchor="_Toc117512502" w:history="1">
            <w:r w:rsidR="008F5159" w:rsidRPr="00F86CA9">
              <w:rPr>
                <w:rStyle w:val="Hyperlink"/>
                <w:noProof/>
              </w:rPr>
              <w:t>12.  AMERICANS WITH DISABILITIES ACT</w:t>
            </w:r>
            <w:r w:rsidR="008F5159">
              <w:rPr>
                <w:noProof/>
                <w:webHidden/>
              </w:rPr>
              <w:tab/>
            </w:r>
            <w:r w:rsidR="008F5159">
              <w:rPr>
                <w:noProof/>
                <w:webHidden/>
              </w:rPr>
              <w:fldChar w:fldCharType="begin"/>
            </w:r>
            <w:r w:rsidR="008F5159">
              <w:rPr>
                <w:noProof/>
                <w:webHidden/>
              </w:rPr>
              <w:instrText xml:space="preserve"> PAGEREF _Toc117512502 \h </w:instrText>
            </w:r>
            <w:r w:rsidR="008F5159">
              <w:rPr>
                <w:noProof/>
                <w:webHidden/>
              </w:rPr>
            </w:r>
            <w:r w:rsidR="008F5159">
              <w:rPr>
                <w:noProof/>
                <w:webHidden/>
              </w:rPr>
              <w:fldChar w:fldCharType="separate"/>
            </w:r>
            <w:r w:rsidR="008F5159">
              <w:rPr>
                <w:noProof/>
                <w:webHidden/>
              </w:rPr>
              <w:t>291</w:t>
            </w:r>
            <w:r w:rsidR="008F5159">
              <w:rPr>
                <w:noProof/>
                <w:webHidden/>
              </w:rPr>
              <w:fldChar w:fldCharType="end"/>
            </w:r>
          </w:hyperlink>
          <w:r w:rsidR="008F5159">
            <w:rPr>
              <w:rFonts w:asciiTheme="minorHAnsi" w:eastAsiaTheme="minorEastAsia" w:hAnsiTheme="minorHAnsi"/>
              <w:noProof/>
              <w:sz w:val="22"/>
            </w:rPr>
            <w:br/>
          </w:r>
          <w:hyperlink w:anchor="_Toc117512503"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_Toc117512503 \h </w:instrText>
            </w:r>
            <w:r w:rsidR="008F5159">
              <w:rPr>
                <w:noProof/>
                <w:webHidden/>
              </w:rPr>
            </w:r>
            <w:r w:rsidR="008F5159">
              <w:rPr>
                <w:noProof/>
                <w:webHidden/>
              </w:rPr>
              <w:fldChar w:fldCharType="separate"/>
            </w:r>
            <w:r w:rsidR="008F5159">
              <w:rPr>
                <w:noProof/>
                <w:webHidden/>
              </w:rPr>
              <w:t>291</w:t>
            </w:r>
            <w:r w:rsidR="008F5159">
              <w:rPr>
                <w:noProof/>
                <w:webHidden/>
              </w:rPr>
              <w:fldChar w:fldCharType="end"/>
            </w:r>
          </w:hyperlink>
        </w:p>
        <w:p w14:paraId="1DA85C47"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4" w:history="1">
            <w:r w:rsidR="008F5159" w:rsidRPr="00F86CA9">
              <w:rPr>
                <w:rStyle w:val="Hyperlink"/>
                <w:noProof/>
              </w:rPr>
              <w:t>12.1A ADA Employment Actions—Actual Disability—Elements</w:t>
            </w:r>
            <w:r w:rsidR="008F5159">
              <w:rPr>
                <w:noProof/>
                <w:webHidden/>
              </w:rPr>
              <w:tab/>
            </w:r>
            <w:r w:rsidR="008F5159">
              <w:rPr>
                <w:noProof/>
                <w:webHidden/>
              </w:rPr>
              <w:fldChar w:fldCharType="begin"/>
            </w:r>
            <w:r w:rsidR="008F5159">
              <w:rPr>
                <w:noProof/>
                <w:webHidden/>
              </w:rPr>
              <w:instrText xml:space="preserve"> PAGEREF _Toc117512504 \h </w:instrText>
            </w:r>
            <w:r w:rsidR="008F5159">
              <w:rPr>
                <w:noProof/>
                <w:webHidden/>
              </w:rPr>
            </w:r>
            <w:r w:rsidR="008F5159">
              <w:rPr>
                <w:noProof/>
                <w:webHidden/>
              </w:rPr>
              <w:fldChar w:fldCharType="separate"/>
            </w:r>
            <w:r w:rsidR="008F5159">
              <w:rPr>
                <w:noProof/>
                <w:webHidden/>
              </w:rPr>
              <w:t>294</w:t>
            </w:r>
            <w:r w:rsidR="008F5159">
              <w:rPr>
                <w:noProof/>
                <w:webHidden/>
              </w:rPr>
              <w:fldChar w:fldCharType="end"/>
            </w:r>
          </w:hyperlink>
        </w:p>
        <w:p w14:paraId="5EE8CA4F"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5" w:history="1">
            <w:r w:rsidR="008F5159" w:rsidRPr="00F86CA9">
              <w:rPr>
                <w:rStyle w:val="Hyperlink"/>
                <w:noProof/>
              </w:rPr>
              <w:t>12.1B ADA Employment Actions—Record of Disability—Elements</w:t>
            </w:r>
            <w:r w:rsidR="008F5159">
              <w:rPr>
                <w:noProof/>
                <w:webHidden/>
              </w:rPr>
              <w:tab/>
            </w:r>
            <w:r w:rsidR="008F5159">
              <w:rPr>
                <w:noProof/>
                <w:webHidden/>
              </w:rPr>
              <w:fldChar w:fldCharType="begin"/>
            </w:r>
            <w:r w:rsidR="008F5159">
              <w:rPr>
                <w:noProof/>
                <w:webHidden/>
              </w:rPr>
              <w:instrText xml:space="preserve"> PAGEREF _Toc117512505 \h </w:instrText>
            </w:r>
            <w:r w:rsidR="008F5159">
              <w:rPr>
                <w:noProof/>
                <w:webHidden/>
              </w:rPr>
            </w:r>
            <w:r w:rsidR="008F5159">
              <w:rPr>
                <w:noProof/>
                <w:webHidden/>
              </w:rPr>
              <w:fldChar w:fldCharType="separate"/>
            </w:r>
            <w:r w:rsidR="008F5159">
              <w:rPr>
                <w:noProof/>
                <w:webHidden/>
              </w:rPr>
              <w:t>297</w:t>
            </w:r>
            <w:r w:rsidR="008F5159">
              <w:rPr>
                <w:noProof/>
                <w:webHidden/>
              </w:rPr>
              <w:fldChar w:fldCharType="end"/>
            </w:r>
          </w:hyperlink>
        </w:p>
        <w:p w14:paraId="23A63395"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6" w:history="1">
            <w:r w:rsidR="008F5159" w:rsidRPr="00F86CA9">
              <w:rPr>
                <w:rStyle w:val="Hyperlink"/>
                <w:noProof/>
              </w:rPr>
              <w:t>12.1C ADA Employment Actions—Regarded as Disability—Elements</w:t>
            </w:r>
            <w:r w:rsidR="008F5159">
              <w:rPr>
                <w:noProof/>
                <w:webHidden/>
              </w:rPr>
              <w:tab/>
            </w:r>
            <w:r w:rsidR="008F5159">
              <w:rPr>
                <w:noProof/>
                <w:webHidden/>
              </w:rPr>
              <w:fldChar w:fldCharType="begin"/>
            </w:r>
            <w:r w:rsidR="008F5159">
              <w:rPr>
                <w:noProof/>
                <w:webHidden/>
              </w:rPr>
              <w:instrText xml:space="preserve"> PAGEREF _Toc117512506 \h </w:instrText>
            </w:r>
            <w:r w:rsidR="008F5159">
              <w:rPr>
                <w:noProof/>
                <w:webHidden/>
              </w:rPr>
            </w:r>
            <w:r w:rsidR="008F5159">
              <w:rPr>
                <w:noProof/>
                <w:webHidden/>
              </w:rPr>
              <w:fldChar w:fldCharType="separate"/>
            </w:r>
            <w:r w:rsidR="008F5159">
              <w:rPr>
                <w:noProof/>
                <w:webHidden/>
              </w:rPr>
              <w:t>298</w:t>
            </w:r>
            <w:r w:rsidR="008F5159">
              <w:rPr>
                <w:noProof/>
                <w:webHidden/>
              </w:rPr>
              <w:fldChar w:fldCharType="end"/>
            </w:r>
          </w:hyperlink>
        </w:p>
        <w:p w14:paraId="3A15B0C6"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7" w:history="1">
            <w:r w:rsidR="008F5159" w:rsidRPr="00F86CA9">
              <w:rPr>
                <w:rStyle w:val="Hyperlink"/>
                <w:noProof/>
                <w:highlight w:val="white"/>
              </w:rPr>
              <w:t xml:space="preserve">12.2 </w:t>
            </w:r>
            <w:r w:rsidR="008F5159" w:rsidRPr="00F86CA9">
              <w:rPr>
                <w:rStyle w:val="Hyperlink"/>
                <w:noProof/>
              </w:rPr>
              <w:t>ADA—Physical or Mental Impairment</w:t>
            </w:r>
            <w:r w:rsidR="008F5159">
              <w:rPr>
                <w:noProof/>
                <w:webHidden/>
              </w:rPr>
              <w:tab/>
            </w:r>
            <w:r w:rsidR="008F5159">
              <w:rPr>
                <w:noProof/>
                <w:webHidden/>
              </w:rPr>
              <w:fldChar w:fldCharType="begin"/>
            </w:r>
            <w:r w:rsidR="008F5159">
              <w:rPr>
                <w:noProof/>
                <w:webHidden/>
              </w:rPr>
              <w:instrText xml:space="preserve"> PAGEREF _Toc117512507 \h </w:instrText>
            </w:r>
            <w:r w:rsidR="008F5159">
              <w:rPr>
                <w:noProof/>
                <w:webHidden/>
              </w:rPr>
            </w:r>
            <w:r w:rsidR="008F5159">
              <w:rPr>
                <w:noProof/>
                <w:webHidden/>
              </w:rPr>
              <w:fldChar w:fldCharType="separate"/>
            </w:r>
            <w:r w:rsidR="008F5159">
              <w:rPr>
                <w:noProof/>
                <w:webHidden/>
              </w:rPr>
              <w:t>299</w:t>
            </w:r>
            <w:r w:rsidR="008F5159">
              <w:rPr>
                <w:noProof/>
                <w:webHidden/>
              </w:rPr>
              <w:fldChar w:fldCharType="end"/>
            </w:r>
          </w:hyperlink>
        </w:p>
        <w:p w14:paraId="6D2B6701"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8" w:history="1">
            <w:r w:rsidR="008F5159" w:rsidRPr="00F86CA9">
              <w:rPr>
                <w:rStyle w:val="Hyperlink"/>
                <w:noProof/>
              </w:rPr>
              <w:t>12.3 ADA—Work as a Major Life Activity</w:t>
            </w:r>
            <w:r w:rsidR="008F5159">
              <w:rPr>
                <w:noProof/>
                <w:webHidden/>
              </w:rPr>
              <w:tab/>
            </w:r>
            <w:r w:rsidR="008F5159">
              <w:rPr>
                <w:noProof/>
                <w:webHidden/>
              </w:rPr>
              <w:fldChar w:fldCharType="begin"/>
            </w:r>
            <w:r w:rsidR="008F5159">
              <w:rPr>
                <w:noProof/>
                <w:webHidden/>
              </w:rPr>
              <w:instrText xml:space="preserve"> PAGEREF _Toc117512508 \h </w:instrText>
            </w:r>
            <w:r w:rsidR="008F5159">
              <w:rPr>
                <w:noProof/>
                <w:webHidden/>
              </w:rPr>
            </w:r>
            <w:r w:rsidR="008F5159">
              <w:rPr>
                <w:noProof/>
                <w:webHidden/>
              </w:rPr>
              <w:fldChar w:fldCharType="separate"/>
            </w:r>
            <w:r w:rsidR="008F5159">
              <w:rPr>
                <w:noProof/>
                <w:webHidden/>
              </w:rPr>
              <w:t>300</w:t>
            </w:r>
            <w:r w:rsidR="008F5159">
              <w:rPr>
                <w:noProof/>
                <w:webHidden/>
              </w:rPr>
              <w:fldChar w:fldCharType="end"/>
            </w:r>
          </w:hyperlink>
        </w:p>
        <w:p w14:paraId="351B91B7" w14:textId="77777777" w:rsidR="008F5159" w:rsidRDefault="00703520" w:rsidP="00BC4302">
          <w:pPr>
            <w:pStyle w:val="TOC2"/>
            <w:spacing w:before="40" w:afterLines="40" w:after="96"/>
            <w:rPr>
              <w:rFonts w:asciiTheme="minorHAnsi" w:eastAsiaTheme="minorEastAsia" w:hAnsiTheme="minorHAnsi"/>
              <w:noProof/>
              <w:sz w:val="22"/>
            </w:rPr>
          </w:pPr>
          <w:hyperlink w:anchor="_Toc117512509" w:history="1">
            <w:r w:rsidR="008F5159" w:rsidRPr="00F86CA9">
              <w:rPr>
                <w:rStyle w:val="Hyperlink"/>
                <w:noProof/>
              </w:rPr>
              <w:t>12.4 ADA—Interacting with Others as Major Life Activity</w:t>
            </w:r>
            <w:r w:rsidR="008F5159">
              <w:rPr>
                <w:noProof/>
                <w:webHidden/>
              </w:rPr>
              <w:tab/>
            </w:r>
            <w:r w:rsidR="008F5159">
              <w:rPr>
                <w:noProof/>
                <w:webHidden/>
              </w:rPr>
              <w:fldChar w:fldCharType="begin"/>
            </w:r>
            <w:r w:rsidR="008F5159">
              <w:rPr>
                <w:noProof/>
                <w:webHidden/>
              </w:rPr>
              <w:instrText xml:space="preserve"> PAGEREF _Toc117512509 \h </w:instrText>
            </w:r>
            <w:r w:rsidR="008F5159">
              <w:rPr>
                <w:noProof/>
                <w:webHidden/>
              </w:rPr>
            </w:r>
            <w:r w:rsidR="008F5159">
              <w:rPr>
                <w:noProof/>
                <w:webHidden/>
              </w:rPr>
              <w:fldChar w:fldCharType="separate"/>
            </w:r>
            <w:r w:rsidR="008F5159">
              <w:rPr>
                <w:noProof/>
                <w:webHidden/>
              </w:rPr>
              <w:t>301</w:t>
            </w:r>
            <w:r w:rsidR="008F5159">
              <w:rPr>
                <w:noProof/>
                <w:webHidden/>
              </w:rPr>
              <w:fldChar w:fldCharType="end"/>
            </w:r>
          </w:hyperlink>
        </w:p>
        <w:p w14:paraId="7DB1F929"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0" w:history="1">
            <w:r w:rsidR="008F5159" w:rsidRPr="00F86CA9">
              <w:rPr>
                <w:rStyle w:val="Hyperlink"/>
                <w:noProof/>
              </w:rPr>
              <w:t>12.5 ADA—Qualified Individual</w:t>
            </w:r>
            <w:r w:rsidR="008F5159">
              <w:rPr>
                <w:noProof/>
                <w:webHidden/>
              </w:rPr>
              <w:tab/>
            </w:r>
            <w:r w:rsidR="008F5159">
              <w:rPr>
                <w:noProof/>
                <w:webHidden/>
              </w:rPr>
              <w:fldChar w:fldCharType="begin"/>
            </w:r>
            <w:r w:rsidR="008F5159">
              <w:rPr>
                <w:noProof/>
                <w:webHidden/>
              </w:rPr>
              <w:instrText xml:space="preserve"> PAGEREF _Toc117512510 \h </w:instrText>
            </w:r>
            <w:r w:rsidR="008F5159">
              <w:rPr>
                <w:noProof/>
                <w:webHidden/>
              </w:rPr>
            </w:r>
            <w:r w:rsidR="008F5159">
              <w:rPr>
                <w:noProof/>
                <w:webHidden/>
              </w:rPr>
              <w:fldChar w:fldCharType="separate"/>
            </w:r>
            <w:r w:rsidR="008F5159">
              <w:rPr>
                <w:noProof/>
                <w:webHidden/>
              </w:rPr>
              <w:t>302</w:t>
            </w:r>
            <w:r w:rsidR="008F5159">
              <w:rPr>
                <w:noProof/>
                <w:webHidden/>
              </w:rPr>
              <w:fldChar w:fldCharType="end"/>
            </w:r>
          </w:hyperlink>
        </w:p>
        <w:p w14:paraId="2FB09860"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1" w:history="1">
            <w:r w:rsidR="008F5159" w:rsidRPr="00F86CA9">
              <w:rPr>
                <w:rStyle w:val="Hyperlink"/>
                <w:noProof/>
              </w:rPr>
              <w:t>12.6 ADA—Ability to Perform Essential Functions—Factors</w:t>
            </w:r>
            <w:r w:rsidR="008F5159">
              <w:rPr>
                <w:noProof/>
                <w:webHidden/>
              </w:rPr>
              <w:tab/>
            </w:r>
            <w:r w:rsidR="008F5159">
              <w:rPr>
                <w:noProof/>
                <w:webHidden/>
              </w:rPr>
              <w:fldChar w:fldCharType="begin"/>
            </w:r>
            <w:r w:rsidR="008F5159">
              <w:rPr>
                <w:noProof/>
                <w:webHidden/>
              </w:rPr>
              <w:instrText xml:space="preserve"> PAGEREF _Toc117512511 \h </w:instrText>
            </w:r>
            <w:r w:rsidR="008F5159">
              <w:rPr>
                <w:noProof/>
                <w:webHidden/>
              </w:rPr>
            </w:r>
            <w:r w:rsidR="008F5159">
              <w:rPr>
                <w:noProof/>
                <w:webHidden/>
              </w:rPr>
              <w:fldChar w:fldCharType="separate"/>
            </w:r>
            <w:r w:rsidR="008F5159">
              <w:rPr>
                <w:noProof/>
                <w:webHidden/>
              </w:rPr>
              <w:t>303</w:t>
            </w:r>
            <w:r w:rsidR="008F5159">
              <w:rPr>
                <w:noProof/>
                <w:webHidden/>
              </w:rPr>
              <w:fldChar w:fldCharType="end"/>
            </w:r>
          </w:hyperlink>
        </w:p>
        <w:p w14:paraId="24D265BB"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2" w:history="1">
            <w:r w:rsidR="008F5159" w:rsidRPr="00F86CA9">
              <w:rPr>
                <w:rStyle w:val="Hyperlink"/>
                <w:noProof/>
              </w:rPr>
              <w:t>12.7 ADA—Reasonable Accommodation</w:t>
            </w:r>
            <w:r w:rsidR="008F5159">
              <w:rPr>
                <w:noProof/>
                <w:webHidden/>
              </w:rPr>
              <w:tab/>
            </w:r>
            <w:r w:rsidR="008F5159">
              <w:rPr>
                <w:noProof/>
                <w:webHidden/>
              </w:rPr>
              <w:fldChar w:fldCharType="begin"/>
            </w:r>
            <w:r w:rsidR="008F5159">
              <w:rPr>
                <w:noProof/>
                <w:webHidden/>
              </w:rPr>
              <w:instrText xml:space="preserve"> PAGEREF _Toc117512512 \h </w:instrText>
            </w:r>
            <w:r w:rsidR="008F5159">
              <w:rPr>
                <w:noProof/>
                <w:webHidden/>
              </w:rPr>
            </w:r>
            <w:r w:rsidR="008F5159">
              <w:rPr>
                <w:noProof/>
                <w:webHidden/>
              </w:rPr>
              <w:fldChar w:fldCharType="separate"/>
            </w:r>
            <w:r w:rsidR="008F5159">
              <w:rPr>
                <w:noProof/>
                <w:webHidden/>
              </w:rPr>
              <w:t>305</w:t>
            </w:r>
            <w:r w:rsidR="008F5159">
              <w:rPr>
                <w:noProof/>
                <w:webHidden/>
              </w:rPr>
              <w:fldChar w:fldCharType="end"/>
            </w:r>
          </w:hyperlink>
        </w:p>
        <w:p w14:paraId="36957C05"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3" w:history="1">
            <w:r w:rsidR="008F5159" w:rsidRPr="00F86CA9">
              <w:rPr>
                <w:rStyle w:val="Hyperlink"/>
                <w:noProof/>
              </w:rPr>
              <w:t>12.8 ADA—Undue Hardship</w:t>
            </w:r>
            <w:r w:rsidR="008F5159">
              <w:rPr>
                <w:noProof/>
                <w:webHidden/>
              </w:rPr>
              <w:tab/>
            </w:r>
            <w:r w:rsidR="008F5159">
              <w:rPr>
                <w:noProof/>
                <w:webHidden/>
              </w:rPr>
              <w:fldChar w:fldCharType="begin"/>
            </w:r>
            <w:r w:rsidR="008F5159">
              <w:rPr>
                <w:noProof/>
                <w:webHidden/>
              </w:rPr>
              <w:instrText xml:space="preserve"> PAGEREF _Toc117512513 \h </w:instrText>
            </w:r>
            <w:r w:rsidR="008F5159">
              <w:rPr>
                <w:noProof/>
                <w:webHidden/>
              </w:rPr>
            </w:r>
            <w:r w:rsidR="008F5159">
              <w:rPr>
                <w:noProof/>
                <w:webHidden/>
              </w:rPr>
              <w:fldChar w:fldCharType="separate"/>
            </w:r>
            <w:r w:rsidR="008F5159">
              <w:rPr>
                <w:noProof/>
                <w:webHidden/>
              </w:rPr>
              <w:t>308</w:t>
            </w:r>
            <w:r w:rsidR="008F5159">
              <w:rPr>
                <w:noProof/>
                <w:webHidden/>
              </w:rPr>
              <w:fldChar w:fldCharType="end"/>
            </w:r>
          </w:hyperlink>
        </w:p>
        <w:p w14:paraId="1FC3916D"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4" w:history="1">
            <w:r w:rsidR="008F5159" w:rsidRPr="00F86CA9">
              <w:rPr>
                <w:rStyle w:val="Hyperlink"/>
                <w:noProof/>
              </w:rPr>
              <w:t>12.9 ADA—Retaliation</w:t>
            </w:r>
            <w:r w:rsidR="008F5159">
              <w:rPr>
                <w:noProof/>
                <w:webHidden/>
              </w:rPr>
              <w:tab/>
            </w:r>
            <w:r w:rsidR="008F5159">
              <w:rPr>
                <w:noProof/>
                <w:webHidden/>
              </w:rPr>
              <w:fldChar w:fldCharType="begin"/>
            </w:r>
            <w:r w:rsidR="008F5159">
              <w:rPr>
                <w:noProof/>
                <w:webHidden/>
              </w:rPr>
              <w:instrText xml:space="preserve"> PAGEREF _Toc117512514 \h </w:instrText>
            </w:r>
            <w:r w:rsidR="008F5159">
              <w:rPr>
                <w:noProof/>
                <w:webHidden/>
              </w:rPr>
            </w:r>
            <w:r w:rsidR="008F5159">
              <w:rPr>
                <w:noProof/>
                <w:webHidden/>
              </w:rPr>
              <w:fldChar w:fldCharType="separate"/>
            </w:r>
            <w:r w:rsidR="008F5159">
              <w:rPr>
                <w:noProof/>
                <w:webHidden/>
              </w:rPr>
              <w:t>310</w:t>
            </w:r>
            <w:r w:rsidR="008F5159">
              <w:rPr>
                <w:noProof/>
                <w:webHidden/>
              </w:rPr>
              <w:fldChar w:fldCharType="end"/>
            </w:r>
          </w:hyperlink>
        </w:p>
        <w:p w14:paraId="2CAED29F"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5" w:history="1">
            <w:r w:rsidR="008F5159" w:rsidRPr="00F86CA9">
              <w:rPr>
                <w:rStyle w:val="Hyperlink"/>
                <w:noProof/>
              </w:rPr>
              <w:t>12.10 ADA—Defenses—Business Necessity</w:t>
            </w:r>
            <w:r w:rsidR="008F5159">
              <w:rPr>
                <w:noProof/>
                <w:webHidden/>
              </w:rPr>
              <w:tab/>
            </w:r>
            <w:r w:rsidR="008F5159">
              <w:rPr>
                <w:noProof/>
                <w:webHidden/>
              </w:rPr>
              <w:fldChar w:fldCharType="begin"/>
            </w:r>
            <w:r w:rsidR="008F5159">
              <w:rPr>
                <w:noProof/>
                <w:webHidden/>
              </w:rPr>
              <w:instrText xml:space="preserve"> PAGEREF _Toc117512515 \h </w:instrText>
            </w:r>
            <w:r w:rsidR="008F5159">
              <w:rPr>
                <w:noProof/>
                <w:webHidden/>
              </w:rPr>
            </w:r>
            <w:r w:rsidR="008F5159">
              <w:rPr>
                <w:noProof/>
                <w:webHidden/>
              </w:rPr>
              <w:fldChar w:fldCharType="separate"/>
            </w:r>
            <w:r w:rsidR="008F5159">
              <w:rPr>
                <w:noProof/>
                <w:webHidden/>
              </w:rPr>
              <w:t>311</w:t>
            </w:r>
            <w:r w:rsidR="008F5159">
              <w:rPr>
                <w:noProof/>
                <w:webHidden/>
              </w:rPr>
              <w:fldChar w:fldCharType="end"/>
            </w:r>
          </w:hyperlink>
        </w:p>
        <w:p w14:paraId="49D2F74D"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6" w:history="1">
            <w:r w:rsidR="008F5159" w:rsidRPr="00F86CA9">
              <w:rPr>
                <w:rStyle w:val="Hyperlink"/>
                <w:noProof/>
              </w:rPr>
              <w:t>12.11 ADA—Defenses—Direct Threat</w:t>
            </w:r>
            <w:r w:rsidR="008F5159">
              <w:rPr>
                <w:noProof/>
                <w:webHidden/>
              </w:rPr>
              <w:tab/>
            </w:r>
            <w:r w:rsidR="008F5159">
              <w:rPr>
                <w:noProof/>
                <w:webHidden/>
              </w:rPr>
              <w:fldChar w:fldCharType="begin"/>
            </w:r>
            <w:r w:rsidR="008F5159">
              <w:rPr>
                <w:noProof/>
                <w:webHidden/>
              </w:rPr>
              <w:instrText xml:space="preserve"> PAGEREF _Toc117512516 \h </w:instrText>
            </w:r>
            <w:r w:rsidR="008F5159">
              <w:rPr>
                <w:noProof/>
                <w:webHidden/>
              </w:rPr>
            </w:r>
            <w:r w:rsidR="008F5159">
              <w:rPr>
                <w:noProof/>
                <w:webHidden/>
              </w:rPr>
              <w:fldChar w:fldCharType="separate"/>
            </w:r>
            <w:r w:rsidR="008F5159">
              <w:rPr>
                <w:noProof/>
                <w:webHidden/>
              </w:rPr>
              <w:t>312</w:t>
            </w:r>
            <w:r w:rsidR="008F5159">
              <w:rPr>
                <w:noProof/>
                <w:webHidden/>
              </w:rPr>
              <w:fldChar w:fldCharType="end"/>
            </w:r>
          </w:hyperlink>
        </w:p>
        <w:p w14:paraId="3D662123" w14:textId="53375137" w:rsidR="008F5159" w:rsidRDefault="00703520" w:rsidP="00BC4302">
          <w:pPr>
            <w:pStyle w:val="TOC2"/>
            <w:spacing w:before="40" w:afterLines="40" w:after="96"/>
            <w:rPr>
              <w:noProof/>
            </w:rPr>
          </w:pPr>
          <w:hyperlink w:anchor="_Toc117512517" w:history="1">
            <w:r w:rsidR="008F5159" w:rsidRPr="00F86CA9">
              <w:rPr>
                <w:rStyle w:val="Hyperlink"/>
                <w:noProof/>
              </w:rPr>
              <w:t>12.12 ADA—Damages</w:t>
            </w:r>
            <w:r w:rsidR="008F5159">
              <w:rPr>
                <w:noProof/>
                <w:webHidden/>
              </w:rPr>
              <w:tab/>
            </w:r>
            <w:r w:rsidR="008F5159">
              <w:rPr>
                <w:noProof/>
                <w:webHidden/>
              </w:rPr>
              <w:fldChar w:fldCharType="begin"/>
            </w:r>
            <w:r w:rsidR="008F5159">
              <w:rPr>
                <w:noProof/>
                <w:webHidden/>
              </w:rPr>
              <w:instrText xml:space="preserve"> PAGEREF _Toc117512517 \h </w:instrText>
            </w:r>
            <w:r w:rsidR="008F5159">
              <w:rPr>
                <w:noProof/>
                <w:webHidden/>
              </w:rPr>
            </w:r>
            <w:r w:rsidR="008F5159">
              <w:rPr>
                <w:noProof/>
                <w:webHidden/>
              </w:rPr>
              <w:fldChar w:fldCharType="separate"/>
            </w:r>
            <w:r w:rsidR="008F5159">
              <w:rPr>
                <w:noProof/>
                <w:webHidden/>
              </w:rPr>
              <w:t>313</w:t>
            </w:r>
            <w:r w:rsidR="008F5159">
              <w:rPr>
                <w:noProof/>
                <w:webHidden/>
              </w:rPr>
              <w:fldChar w:fldCharType="end"/>
            </w:r>
          </w:hyperlink>
        </w:p>
        <w:p w14:paraId="0C338E90" w14:textId="30F0ED26" w:rsidR="0015107E" w:rsidRDefault="0015107E" w:rsidP="0015107E"/>
        <w:p w14:paraId="25C6A58B" w14:textId="77777777" w:rsidR="0015107E" w:rsidRPr="0015107E" w:rsidRDefault="0015107E" w:rsidP="0015107E"/>
        <w:p w14:paraId="1211FF3A" w14:textId="77777777" w:rsidR="008F5159" w:rsidRDefault="00703520" w:rsidP="00340019">
          <w:pPr>
            <w:pStyle w:val="TOC1"/>
            <w:rPr>
              <w:rFonts w:asciiTheme="minorHAnsi" w:eastAsiaTheme="minorEastAsia" w:hAnsiTheme="minorHAnsi"/>
              <w:noProof/>
              <w:sz w:val="22"/>
            </w:rPr>
          </w:pPr>
          <w:hyperlink w:anchor="_Toc117512518" w:history="1">
            <w:r w:rsidR="008F5159" w:rsidRPr="00F86CA9">
              <w:rPr>
                <w:rStyle w:val="Hyperlink"/>
                <w:noProof/>
              </w:rPr>
              <w:t>13.  LABOR (INCLUDING FAIR REPRESENTATION)</w:t>
            </w:r>
            <w:r w:rsidR="008F5159">
              <w:rPr>
                <w:noProof/>
                <w:webHidden/>
              </w:rPr>
              <w:tab/>
            </w:r>
            <w:r w:rsidR="008F5159">
              <w:rPr>
                <w:noProof/>
                <w:webHidden/>
              </w:rPr>
              <w:fldChar w:fldCharType="begin"/>
            </w:r>
            <w:r w:rsidR="008F5159">
              <w:rPr>
                <w:noProof/>
                <w:webHidden/>
              </w:rPr>
              <w:instrText xml:space="preserve"> PAGEREF _Toc117512518 \h </w:instrText>
            </w:r>
            <w:r w:rsidR="008F5159">
              <w:rPr>
                <w:noProof/>
                <w:webHidden/>
              </w:rPr>
            </w:r>
            <w:r w:rsidR="008F5159">
              <w:rPr>
                <w:noProof/>
                <w:webHidden/>
              </w:rPr>
              <w:fldChar w:fldCharType="separate"/>
            </w:r>
            <w:r w:rsidR="008F5159">
              <w:rPr>
                <w:noProof/>
                <w:webHidden/>
              </w:rPr>
              <w:t>314</w:t>
            </w:r>
            <w:r w:rsidR="008F5159">
              <w:rPr>
                <w:noProof/>
                <w:webHidden/>
              </w:rPr>
              <w:fldChar w:fldCharType="end"/>
            </w:r>
          </w:hyperlink>
        </w:p>
        <w:p w14:paraId="577920CC" w14:textId="77777777" w:rsidR="008F5159" w:rsidRDefault="00703520" w:rsidP="00BC4302">
          <w:pPr>
            <w:pStyle w:val="TOC2"/>
            <w:spacing w:before="40" w:afterLines="40" w:after="96"/>
            <w:rPr>
              <w:rFonts w:asciiTheme="minorHAnsi" w:eastAsiaTheme="minorEastAsia" w:hAnsiTheme="minorHAnsi"/>
              <w:noProof/>
              <w:sz w:val="22"/>
            </w:rPr>
          </w:pPr>
          <w:hyperlink w:anchor="_Toc117512519" w:history="1">
            <w:r w:rsidR="008F5159" w:rsidRPr="00F86CA9">
              <w:rPr>
                <w:rStyle w:val="Hyperlink"/>
                <w:noProof/>
              </w:rPr>
              <w:t>13.1 Employee Claim Against Union and/or Employer—Labor Management Relations Act (LMRA) § 301 (29 U.S.C. § 185)</w:t>
            </w:r>
            <w:r w:rsidR="008F5159">
              <w:rPr>
                <w:noProof/>
                <w:webHidden/>
              </w:rPr>
              <w:tab/>
            </w:r>
            <w:r w:rsidR="008F5159">
              <w:rPr>
                <w:noProof/>
                <w:webHidden/>
              </w:rPr>
              <w:fldChar w:fldCharType="begin"/>
            </w:r>
            <w:r w:rsidR="008F5159">
              <w:rPr>
                <w:noProof/>
                <w:webHidden/>
              </w:rPr>
              <w:instrText xml:space="preserve"> PAGEREF _Toc117512519 \h </w:instrText>
            </w:r>
            <w:r w:rsidR="008F5159">
              <w:rPr>
                <w:noProof/>
                <w:webHidden/>
              </w:rPr>
            </w:r>
            <w:r w:rsidR="008F5159">
              <w:rPr>
                <w:noProof/>
                <w:webHidden/>
              </w:rPr>
              <w:fldChar w:fldCharType="separate"/>
            </w:r>
            <w:r w:rsidR="008F5159">
              <w:rPr>
                <w:noProof/>
                <w:webHidden/>
              </w:rPr>
              <w:t>315</w:t>
            </w:r>
            <w:r w:rsidR="008F5159">
              <w:rPr>
                <w:noProof/>
                <w:webHidden/>
              </w:rPr>
              <w:fldChar w:fldCharType="end"/>
            </w:r>
          </w:hyperlink>
        </w:p>
        <w:p w14:paraId="5CEC0BF2" w14:textId="77777777" w:rsidR="008F5159" w:rsidRDefault="00703520" w:rsidP="00BC4302">
          <w:pPr>
            <w:pStyle w:val="TOC2"/>
            <w:spacing w:before="40" w:afterLines="40" w:after="96"/>
            <w:rPr>
              <w:rFonts w:asciiTheme="minorHAnsi" w:eastAsiaTheme="minorEastAsia" w:hAnsiTheme="minorHAnsi"/>
              <w:noProof/>
              <w:sz w:val="22"/>
            </w:rPr>
          </w:pPr>
          <w:hyperlink w:anchor="_Toc117512520" w:history="1">
            <w:r w:rsidR="008F5159" w:rsidRPr="00F86CA9">
              <w:rPr>
                <w:rStyle w:val="Hyperlink"/>
                <w:noProof/>
              </w:rPr>
              <w:t>13.2 LMRA § 301—Damages (29 U.S.C. § 185)</w:t>
            </w:r>
            <w:r w:rsidR="008F5159">
              <w:rPr>
                <w:noProof/>
                <w:webHidden/>
              </w:rPr>
              <w:tab/>
            </w:r>
            <w:r w:rsidR="008F5159">
              <w:rPr>
                <w:noProof/>
                <w:webHidden/>
              </w:rPr>
              <w:fldChar w:fldCharType="begin"/>
            </w:r>
            <w:r w:rsidR="008F5159">
              <w:rPr>
                <w:noProof/>
                <w:webHidden/>
              </w:rPr>
              <w:instrText xml:space="preserve"> PAGEREF _Toc117512520 \h </w:instrText>
            </w:r>
            <w:r w:rsidR="008F5159">
              <w:rPr>
                <w:noProof/>
                <w:webHidden/>
              </w:rPr>
            </w:r>
            <w:r w:rsidR="008F5159">
              <w:rPr>
                <w:noProof/>
                <w:webHidden/>
              </w:rPr>
              <w:fldChar w:fldCharType="separate"/>
            </w:r>
            <w:r w:rsidR="008F5159">
              <w:rPr>
                <w:noProof/>
                <w:webHidden/>
              </w:rPr>
              <w:t>317</w:t>
            </w:r>
            <w:r w:rsidR="008F5159">
              <w:rPr>
                <w:noProof/>
                <w:webHidden/>
              </w:rPr>
              <w:fldChar w:fldCharType="end"/>
            </w:r>
          </w:hyperlink>
        </w:p>
        <w:p w14:paraId="66933AF2" w14:textId="77777777" w:rsidR="008F5159" w:rsidRDefault="00703520" w:rsidP="00340019">
          <w:pPr>
            <w:pStyle w:val="TOC1"/>
            <w:rPr>
              <w:rFonts w:asciiTheme="minorHAnsi" w:eastAsiaTheme="minorEastAsia" w:hAnsiTheme="minorHAnsi"/>
              <w:noProof/>
              <w:sz w:val="22"/>
            </w:rPr>
          </w:pPr>
          <w:hyperlink w:anchor="_Toc117512521" w:history="1">
            <w:r w:rsidR="008F5159" w:rsidRPr="00F86CA9">
              <w:rPr>
                <w:rStyle w:val="Hyperlink"/>
                <w:noProof/>
              </w:rPr>
              <w:t>14.  ANTITRUST</w:t>
            </w:r>
            <w:r w:rsidR="008F5159">
              <w:rPr>
                <w:noProof/>
                <w:webHidden/>
              </w:rPr>
              <w:tab/>
            </w:r>
            <w:r w:rsidR="008F5159">
              <w:rPr>
                <w:noProof/>
                <w:webHidden/>
              </w:rPr>
              <w:fldChar w:fldCharType="begin"/>
            </w:r>
            <w:r w:rsidR="008F5159">
              <w:rPr>
                <w:noProof/>
                <w:webHidden/>
              </w:rPr>
              <w:instrText xml:space="preserve"> PAGEREF _Toc117512521 \h </w:instrText>
            </w:r>
            <w:r w:rsidR="008F5159">
              <w:rPr>
                <w:noProof/>
                <w:webHidden/>
              </w:rPr>
            </w:r>
            <w:r w:rsidR="008F5159">
              <w:rPr>
                <w:noProof/>
                <w:webHidden/>
              </w:rPr>
              <w:fldChar w:fldCharType="separate"/>
            </w:r>
            <w:r w:rsidR="008F5159">
              <w:rPr>
                <w:noProof/>
                <w:webHidden/>
              </w:rPr>
              <w:t>320</w:t>
            </w:r>
            <w:r w:rsidR="008F5159">
              <w:rPr>
                <w:noProof/>
                <w:webHidden/>
              </w:rPr>
              <w:fldChar w:fldCharType="end"/>
            </w:r>
          </w:hyperlink>
        </w:p>
        <w:p w14:paraId="394955AB" w14:textId="77777777" w:rsidR="008F5159" w:rsidRDefault="00703520" w:rsidP="00340019">
          <w:pPr>
            <w:pStyle w:val="TOC1"/>
            <w:rPr>
              <w:rFonts w:asciiTheme="minorHAnsi" w:eastAsiaTheme="minorEastAsia" w:hAnsiTheme="minorHAnsi"/>
              <w:noProof/>
              <w:sz w:val="22"/>
            </w:rPr>
          </w:pPr>
          <w:hyperlink w:anchor="_Toc117512522" w:history="1">
            <w:r w:rsidR="008F5159" w:rsidRPr="00F86CA9">
              <w:rPr>
                <w:rStyle w:val="Hyperlink"/>
                <w:noProof/>
              </w:rPr>
              <w:t>15. TRADEMARK</w:t>
            </w:r>
            <w:r w:rsidR="008F5159">
              <w:rPr>
                <w:noProof/>
                <w:webHidden/>
              </w:rPr>
              <w:tab/>
            </w:r>
            <w:r w:rsidR="008F5159">
              <w:rPr>
                <w:noProof/>
                <w:webHidden/>
              </w:rPr>
              <w:fldChar w:fldCharType="begin"/>
            </w:r>
            <w:r w:rsidR="008F5159">
              <w:rPr>
                <w:noProof/>
                <w:webHidden/>
              </w:rPr>
              <w:instrText xml:space="preserve"> PAGEREF _Toc117512522 \h </w:instrText>
            </w:r>
            <w:r w:rsidR="008F5159">
              <w:rPr>
                <w:noProof/>
                <w:webHidden/>
              </w:rPr>
            </w:r>
            <w:r w:rsidR="008F5159">
              <w:rPr>
                <w:noProof/>
                <w:webHidden/>
              </w:rPr>
              <w:fldChar w:fldCharType="separate"/>
            </w:r>
            <w:r w:rsidR="008F5159">
              <w:rPr>
                <w:noProof/>
                <w:webHidden/>
              </w:rPr>
              <w:t>321</w:t>
            </w:r>
            <w:r w:rsidR="008F5159">
              <w:rPr>
                <w:noProof/>
                <w:webHidden/>
              </w:rPr>
              <w:fldChar w:fldCharType="end"/>
            </w:r>
          </w:hyperlink>
        </w:p>
        <w:p w14:paraId="4D684F59" w14:textId="77777777" w:rsidR="008F5159" w:rsidRDefault="00703520" w:rsidP="00BC4302">
          <w:pPr>
            <w:pStyle w:val="TOC2"/>
            <w:spacing w:before="40" w:afterLines="40" w:after="96"/>
            <w:rPr>
              <w:rFonts w:asciiTheme="minorHAnsi" w:eastAsiaTheme="minorEastAsia" w:hAnsiTheme="minorHAnsi"/>
              <w:noProof/>
              <w:sz w:val="22"/>
            </w:rPr>
          </w:pPr>
          <w:hyperlink w:anchor="_Toc117512523" w:history="1">
            <w:r w:rsidR="008F5159" w:rsidRPr="00F86CA9">
              <w:rPr>
                <w:rStyle w:val="Hyperlink"/>
                <w:noProof/>
              </w:rPr>
              <w:t>15.1 Preliminary Instruction—Trademark</w:t>
            </w:r>
            <w:r w:rsidR="008F5159">
              <w:rPr>
                <w:noProof/>
                <w:webHidden/>
              </w:rPr>
              <w:tab/>
            </w:r>
            <w:r w:rsidR="008F5159">
              <w:rPr>
                <w:noProof/>
                <w:webHidden/>
              </w:rPr>
              <w:fldChar w:fldCharType="begin"/>
            </w:r>
            <w:r w:rsidR="008F5159">
              <w:rPr>
                <w:noProof/>
                <w:webHidden/>
              </w:rPr>
              <w:instrText xml:space="preserve"> PAGEREF _Toc117512523 \h </w:instrText>
            </w:r>
            <w:r w:rsidR="008F5159">
              <w:rPr>
                <w:noProof/>
                <w:webHidden/>
              </w:rPr>
            </w:r>
            <w:r w:rsidR="008F5159">
              <w:rPr>
                <w:noProof/>
                <w:webHidden/>
              </w:rPr>
              <w:fldChar w:fldCharType="separate"/>
            </w:r>
            <w:r w:rsidR="008F5159">
              <w:rPr>
                <w:noProof/>
                <w:webHidden/>
              </w:rPr>
              <w:t>322</w:t>
            </w:r>
            <w:r w:rsidR="008F5159">
              <w:rPr>
                <w:noProof/>
                <w:webHidden/>
              </w:rPr>
              <w:fldChar w:fldCharType="end"/>
            </w:r>
          </w:hyperlink>
        </w:p>
        <w:p w14:paraId="35B8D516" w14:textId="77777777" w:rsidR="008F5159" w:rsidRDefault="00703520" w:rsidP="00BC4302">
          <w:pPr>
            <w:pStyle w:val="TOC2"/>
            <w:spacing w:before="40" w:afterLines="40" w:after="96"/>
            <w:rPr>
              <w:rFonts w:asciiTheme="minorHAnsi" w:eastAsiaTheme="minorEastAsia" w:hAnsiTheme="minorHAnsi"/>
              <w:noProof/>
              <w:sz w:val="22"/>
            </w:rPr>
          </w:pPr>
          <w:hyperlink w:anchor="_Toc117512524" w:history="1">
            <w:r w:rsidR="008F5159" w:rsidRPr="00F86CA9">
              <w:rPr>
                <w:rStyle w:val="Hyperlink"/>
                <w:noProof/>
              </w:rPr>
              <w:t>15.2 Definition—Trademark (15 U.S.C. § 1127)</w:t>
            </w:r>
            <w:r w:rsidR="008F5159">
              <w:rPr>
                <w:noProof/>
                <w:webHidden/>
              </w:rPr>
              <w:tab/>
            </w:r>
            <w:r w:rsidR="008F5159">
              <w:rPr>
                <w:noProof/>
                <w:webHidden/>
              </w:rPr>
              <w:fldChar w:fldCharType="begin"/>
            </w:r>
            <w:r w:rsidR="008F5159">
              <w:rPr>
                <w:noProof/>
                <w:webHidden/>
              </w:rPr>
              <w:instrText xml:space="preserve"> PAGEREF _Toc117512524 \h </w:instrText>
            </w:r>
            <w:r w:rsidR="008F5159">
              <w:rPr>
                <w:noProof/>
                <w:webHidden/>
              </w:rPr>
            </w:r>
            <w:r w:rsidR="008F5159">
              <w:rPr>
                <w:noProof/>
                <w:webHidden/>
              </w:rPr>
              <w:fldChar w:fldCharType="separate"/>
            </w:r>
            <w:r w:rsidR="008F5159">
              <w:rPr>
                <w:noProof/>
                <w:webHidden/>
              </w:rPr>
              <w:t>325</w:t>
            </w:r>
            <w:r w:rsidR="008F5159">
              <w:rPr>
                <w:noProof/>
                <w:webHidden/>
              </w:rPr>
              <w:fldChar w:fldCharType="end"/>
            </w:r>
          </w:hyperlink>
        </w:p>
        <w:p w14:paraId="0ED378F9" w14:textId="77777777" w:rsidR="008F5159" w:rsidRDefault="00703520" w:rsidP="00BC4302">
          <w:pPr>
            <w:pStyle w:val="TOC2"/>
            <w:spacing w:before="40" w:afterLines="40" w:after="96"/>
            <w:rPr>
              <w:rFonts w:asciiTheme="minorHAnsi" w:eastAsiaTheme="minorEastAsia" w:hAnsiTheme="minorHAnsi"/>
              <w:noProof/>
              <w:sz w:val="22"/>
            </w:rPr>
          </w:pPr>
          <w:hyperlink w:anchor="_Toc117512525" w:history="1">
            <w:r w:rsidR="008F5159" w:rsidRPr="00F86CA9">
              <w:rPr>
                <w:rStyle w:val="Hyperlink"/>
                <w:noProof/>
              </w:rPr>
              <w:t>15.3 Definition—Trade Dress (15 U.S.C. § 1125(a))</w:t>
            </w:r>
            <w:r w:rsidR="008F5159">
              <w:rPr>
                <w:noProof/>
                <w:webHidden/>
              </w:rPr>
              <w:tab/>
            </w:r>
            <w:r w:rsidR="008F5159">
              <w:rPr>
                <w:noProof/>
                <w:webHidden/>
              </w:rPr>
              <w:fldChar w:fldCharType="begin"/>
            </w:r>
            <w:r w:rsidR="008F5159">
              <w:rPr>
                <w:noProof/>
                <w:webHidden/>
              </w:rPr>
              <w:instrText xml:space="preserve"> PAGEREF _Toc117512525 \h </w:instrText>
            </w:r>
            <w:r w:rsidR="008F5159">
              <w:rPr>
                <w:noProof/>
                <w:webHidden/>
              </w:rPr>
            </w:r>
            <w:r w:rsidR="008F5159">
              <w:rPr>
                <w:noProof/>
                <w:webHidden/>
              </w:rPr>
              <w:fldChar w:fldCharType="separate"/>
            </w:r>
            <w:r w:rsidR="008F5159">
              <w:rPr>
                <w:noProof/>
                <w:webHidden/>
              </w:rPr>
              <w:t>328</w:t>
            </w:r>
            <w:r w:rsidR="008F5159">
              <w:rPr>
                <w:noProof/>
                <w:webHidden/>
              </w:rPr>
              <w:fldChar w:fldCharType="end"/>
            </w:r>
          </w:hyperlink>
        </w:p>
        <w:p w14:paraId="357D2557" w14:textId="4BDC3AFC" w:rsidR="008F5159" w:rsidRDefault="00703520" w:rsidP="00BC4302">
          <w:pPr>
            <w:pStyle w:val="TOC2"/>
            <w:spacing w:before="40" w:afterLines="40" w:after="96"/>
            <w:rPr>
              <w:rFonts w:asciiTheme="minorHAnsi" w:eastAsiaTheme="minorEastAsia" w:hAnsiTheme="minorHAnsi"/>
              <w:noProof/>
              <w:sz w:val="22"/>
            </w:rPr>
          </w:pPr>
          <w:hyperlink w:anchor="_Toc117512526" w:history="1">
            <w:r w:rsidR="008F5159" w:rsidRPr="00F86CA9">
              <w:rPr>
                <w:rStyle w:val="Hyperlink"/>
                <w:noProof/>
              </w:rPr>
              <w:t>15.4 Definition—Trade Name/Commercial Name</w:t>
            </w:r>
          </w:hyperlink>
          <w:r w:rsidR="008F5159">
            <w:rPr>
              <w:rStyle w:val="Hyperlink"/>
              <w:noProof/>
            </w:rPr>
            <w:t xml:space="preserve"> </w:t>
          </w:r>
          <w:hyperlink w:anchor="_Toc117512527" w:history="1">
            <w:r w:rsidR="008F5159" w:rsidRPr="00F86CA9">
              <w:rPr>
                <w:rStyle w:val="Hyperlink"/>
                <w:noProof/>
              </w:rPr>
              <w:t>(15 U.S.C. § 1127)</w:t>
            </w:r>
            <w:r w:rsidR="008F5159">
              <w:rPr>
                <w:noProof/>
                <w:webHidden/>
              </w:rPr>
              <w:tab/>
            </w:r>
            <w:r w:rsidR="008F5159">
              <w:rPr>
                <w:noProof/>
                <w:webHidden/>
              </w:rPr>
              <w:fldChar w:fldCharType="begin"/>
            </w:r>
            <w:r w:rsidR="008F5159">
              <w:rPr>
                <w:noProof/>
                <w:webHidden/>
              </w:rPr>
              <w:instrText xml:space="preserve"> PAGEREF _Toc117512527 \h </w:instrText>
            </w:r>
            <w:r w:rsidR="008F5159">
              <w:rPr>
                <w:noProof/>
                <w:webHidden/>
              </w:rPr>
            </w:r>
            <w:r w:rsidR="008F5159">
              <w:rPr>
                <w:noProof/>
                <w:webHidden/>
              </w:rPr>
              <w:fldChar w:fldCharType="separate"/>
            </w:r>
            <w:r w:rsidR="008F5159">
              <w:rPr>
                <w:noProof/>
                <w:webHidden/>
              </w:rPr>
              <w:t>330</w:t>
            </w:r>
            <w:r w:rsidR="008F5159">
              <w:rPr>
                <w:noProof/>
                <w:webHidden/>
              </w:rPr>
              <w:fldChar w:fldCharType="end"/>
            </w:r>
          </w:hyperlink>
        </w:p>
        <w:p w14:paraId="49297254" w14:textId="58941DA8" w:rsidR="008F5159" w:rsidRDefault="00703520" w:rsidP="00BC4302">
          <w:pPr>
            <w:pStyle w:val="TOC2"/>
            <w:spacing w:before="40" w:afterLines="40" w:after="96"/>
            <w:rPr>
              <w:rFonts w:asciiTheme="minorHAnsi" w:eastAsiaTheme="minorEastAsia" w:hAnsiTheme="minorHAnsi"/>
              <w:noProof/>
              <w:sz w:val="22"/>
            </w:rPr>
          </w:pPr>
          <w:hyperlink w:anchor="_Toc117512528" w:history="1">
            <w:r w:rsidR="008F5159" w:rsidRPr="00F86CA9">
              <w:rPr>
                <w:rStyle w:val="Hyperlink"/>
                <w:noProof/>
              </w:rPr>
              <w:t>15.5 Trademark Liability—Theories and Policies</w:t>
            </w:r>
          </w:hyperlink>
          <w:r w:rsidR="008F5159">
            <w:rPr>
              <w:rStyle w:val="Hyperlink"/>
              <w:noProof/>
            </w:rPr>
            <w:t xml:space="preserve"> </w:t>
          </w:r>
          <w:hyperlink w:anchor="_Toc117512529" w:history="1">
            <w:r w:rsidR="008F5159" w:rsidRPr="00F86CA9">
              <w:rPr>
                <w:rStyle w:val="Hyperlink"/>
                <w:noProof/>
              </w:rPr>
              <w:t>(15 U.S.C. §§ 1114(1), 1125(a))</w:t>
            </w:r>
            <w:r w:rsidR="008F5159">
              <w:rPr>
                <w:noProof/>
                <w:webHidden/>
              </w:rPr>
              <w:tab/>
            </w:r>
            <w:r w:rsidR="008F5159">
              <w:rPr>
                <w:noProof/>
                <w:webHidden/>
              </w:rPr>
              <w:fldChar w:fldCharType="begin"/>
            </w:r>
            <w:r w:rsidR="008F5159">
              <w:rPr>
                <w:noProof/>
                <w:webHidden/>
              </w:rPr>
              <w:instrText xml:space="preserve"> PAGEREF _Toc117512529 \h </w:instrText>
            </w:r>
            <w:r w:rsidR="008F5159">
              <w:rPr>
                <w:noProof/>
                <w:webHidden/>
              </w:rPr>
            </w:r>
            <w:r w:rsidR="008F5159">
              <w:rPr>
                <w:noProof/>
                <w:webHidden/>
              </w:rPr>
              <w:fldChar w:fldCharType="separate"/>
            </w:r>
            <w:r w:rsidR="008F5159">
              <w:rPr>
                <w:noProof/>
                <w:webHidden/>
              </w:rPr>
              <w:t>331</w:t>
            </w:r>
            <w:r w:rsidR="008F5159">
              <w:rPr>
                <w:noProof/>
                <w:webHidden/>
              </w:rPr>
              <w:fldChar w:fldCharType="end"/>
            </w:r>
          </w:hyperlink>
        </w:p>
        <w:p w14:paraId="5613DA81" w14:textId="280313C0" w:rsidR="008F5159" w:rsidRDefault="00703520" w:rsidP="00BC4302">
          <w:pPr>
            <w:pStyle w:val="TOC2"/>
            <w:spacing w:before="40" w:afterLines="40" w:after="96"/>
            <w:rPr>
              <w:rFonts w:asciiTheme="minorHAnsi" w:eastAsiaTheme="minorEastAsia" w:hAnsiTheme="minorHAnsi"/>
              <w:noProof/>
              <w:sz w:val="22"/>
            </w:rPr>
          </w:pPr>
          <w:hyperlink w:anchor="_Toc117512530" w:history="1">
            <w:r w:rsidR="008F5159" w:rsidRPr="00F86CA9">
              <w:rPr>
                <w:rStyle w:val="Hyperlink"/>
                <w:noProof/>
              </w:rPr>
              <w:t>15.6 Infringement—Elements and Burden of Proof—Trademark</w:t>
            </w:r>
          </w:hyperlink>
        </w:p>
        <w:p w14:paraId="52B26679" w14:textId="19197E5A"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531" w:history="1">
            <w:r w:rsidRPr="00F86CA9">
              <w:rPr>
                <w:rStyle w:val="Hyperlink"/>
                <w:noProof/>
              </w:rPr>
              <w:t>(15 U.S.C. § 1114(1))</w:t>
            </w:r>
            <w:r>
              <w:rPr>
                <w:noProof/>
                <w:webHidden/>
              </w:rPr>
              <w:tab/>
            </w:r>
            <w:r>
              <w:rPr>
                <w:noProof/>
                <w:webHidden/>
              </w:rPr>
              <w:fldChar w:fldCharType="begin"/>
            </w:r>
            <w:r>
              <w:rPr>
                <w:noProof/>
                <w:webHidden/>
              </w:rPr>
              <w:instrText xml:space="preserve"> PAGEREF _Toc117512531 \h </w:instrText>
            </w:r>
            <w:r>
              <w:rPr>
                <w:noProof/>
                <w:webHidden/>
              </w:rPr>
            </w:r>
            <w:r>
              <w:rPr>
                <w:noProof/>
                <w:webHidden/>
              </w:rPr>
              <w:fldChar w:fldCharType="separate"/>
            </w:r>
            <w:r>
              <w:rPr>
                <w:noProof/>
                <w:webHidden/>
              </w:rPr>
              <w:t>333</w:t>
            </w:r>
            <w:r>
              <w:rPr>
                <w:noProof/>
                <w:webHidden/>
              </w:rPr>
              <w:fldChar w:fldCharType="end"/>
            </w:r>
          </w:hyperlink>
        </w:p>
        <w:p w14:paraId="2112011B" w14:textId="77777777" w:rsidR="008F5159" w:rsidRDefault="00703520" w:rsidP="00BC4302">
          <w:pPr>
            <w:pStyle w:val="TOC2"/>
            <w:spacing w:before="40" w:afterLines="40" w:after="96"/>
            <w:rPr>
              <w:rFonts w:asciiTheme="minorHAnsi" w:eastAsiaTheme="minorEastAsia" w:hAnsiTheme="minorHAnsi"/>
              <w:noProof/>
              <w:sz w:val="22"/>
            </w:rPr>
          </w:pPr>
          <w:hyperlink w:anchor="_Toc117512532" w:history="1">
            <w:r w:rsidR="008F5159" w:rsidRPr="00F86CA9">
              <w:rPr>
                <w:rStyle w:val="Hyperlink"/>
                <w:noProof/>
              </w:rPr>
              <w:t>15.7 Infringement—Elements and Burden of Proof—Trade Dress (15 U.S.C. § 1125(a)(1))</w:t>
            </w:r>
            <w:r w:rsidR="008F5159">
              <w:rPr>
                <w:noProof/>
                <w:webHidden/>
              </w:rPr>
              <w:tab/>
            </w:r>
            <w:r w:rsidR="008F5159">
              <w:rPr>
                <w:noProof/>
                <w:webHidden/>
              </w:rPr>
              <w:fldChar w:fldCharType="begin"/>
            </w:r>
            <w:r w:rsidR="008F5159">
              <w:rPr>
                <w:noProof/>
                <w:webHidden/>
              </w:rPr>
              <w:instrText xml:space="preserve"> PAGEREF _Toc117512532 \h </w:instrText>
            </w:r>
            <w:r w:rsidR="008F5159">
              <w:rPr>
                <w:noProof/>
                <w:webHidden/>
              </w:rPr>
            </w:r>
            <w:r w:rsidR="008F5159">
              <w:rPr>
                <w:noProof/>
                <w:webHidden/>
              </w:rPr>
              <w:fldChar w:fldCharType="separate"/>
            </w:r>
            <w:r w:rsidR="008F5159">
              <w:rPr>
                <w:noProof/>
                <w:webHidden/>
              </w:rPr>
              <w:t>335</w:t>
            </w:r>
            <w:r w:rsidR="008F5159">
              <w:rPr>
                <w:noProof/>
                <w:webHidden/>
              </w:rPr>
              <w:fldChar w:fldCharType="end"/>
            </w:r>
          </w:hyperlink>
        </w:p>
        <w:p w14:paraId="4AC137C8" w14:textId="77777777" w:rsidR="008F5159" w:rsidRDefault="00703520" w:rsidP="00BC4302">
          <w:pPr>
            <w:pStyle w:val="TOC2"/>
            <w:spacing w:before="40" w:afterLines="40" w:after="96"/>
            <w:rPr>
              <w:rFonts w:asciiTheme="minorHAnsi" w:eastAsiaTheme="minorEastAsia" w:hAnsiTheme="minorHAnsi"/>
              <w:noProof/>
              <w:sz w:val="22"/>
            </w:rPr>
          </w:pPr>
          <w:hyperlink w:anchor="_Toc117512533" w:history="1">
            <w:r w:rsidR="008F5159" w:rsidRPr="00F86CA9">
              <w:rPr>
                <w:rStyle w:val="Hyperlink"/>
                <w:noProof/>
              </w:rPr>
              <w:t>15.8 Infringement—Elements—Presumed Validity and Ownership—Registered Trademark (15 U.S.C. §§ 1057, 1065 and 1115)</w:t>
            </w:r>
            <w:r w:rsidR="008F5159">
              <w:rPr>
                <w:noProof/>
                <w:webHidden/>
              </w:rPr>
              <w:tab/>
            </w:r>
            <w:r w:rsidR="008F5159">
              <w:rPr>
                <w:noProof/>
                <w:webHidden/>
              </w:rPr>
              <w:fldChar w:fldCharType="begin"/>
            </w:r>
            <w:r w:rsidR="008F5159">
              <w:rPr>
                <w:noProof/>
                <w:webHidden/>
              </w:rPr>
              <w:instrText xml:space="preserve"> PAGEREF _Toc117512533 \h </w:instrText>
            </w:r>
            <w:r w:rsidR="008F5159">
              <w:rPr>
                <w:noProof/>
                <w:webHidden/>
              </w:rPr>
            </w:r>
            <w:r w:rsidR="008F5159">
              <w:rPr>
                <w:noProof/>
                <w:webHidden/>
              </w:rPr>
              <w:fldChar w:fldCharType="separate"/>
            </w:r>
            <w:r w:rsidR="008F5159">
              <w:rPr>
                <w:noProof/>
                <w:webHidden/>
              </w:rPr>
              <w:t>336</w:t>
            </w:r>
            <w:r w:rsidR="008F5159">
              <w:rPr>
                <w:noProof/>
                <w:webHidden/>
              </w:rPr>
              <w:fldChar w:fldCharType="end"/>
            </w:r>
          </w:hyperlink>
        </w:p>
        <w:p w14:paraId="7185DEBA" w14:textId="77777777" w:rsidR="008F5159" w:rsidRDefault="00703520" w:rsidP="00BC4302">
          <w:pPr>
            <w:pStyle w:val="TOC2"/>
            <w:spacing w:before="40" w:afterLines="40" w:after="96"/>
            <w:rPr>
              <w:rFonts w:asciiTheme="minorHAnsi" w:eastAsiaTheme="minorEastAsia" w:hAnsiTheme="minorHAnsi"/>
              <w:noProof/>
              <w:sz w:val="22"/>
            </w:rPr>
          </w:pPr>
          <w:hyperlink w:anchor="_Toc117512534" w:history="1">
            <w:r w:rsidR="008F5159" w:rsidRPr="00F86CA9">
              <w:rPr>
                <w:rStyle w:val="Hyperlink"/>
                <w:noProof/>
              </w:rPr>
              <w:t>15.9 Infringement—Elements—Validity—Unregistered Marks</w:t>
            </w:r>
            <w:r w:rsidR="008F5159">
              <w:rPr>
                <w:noProof/>
                <w:webHidden/>
              </w:rPr>
              <w:tab/>
            </w:r>
            <w:r w:rsidR="008F5159">
              <w:rPr>
                <w:noProof/>
                <w:webHidden/>
              </w:rPr>
              <w:fldChar w:fldCharType="begin"/>
            </w:r>
            <w:r w:rsidR="008F5159">
              <w:rPr>
                <w:noProof/>
                <w:webHidden/>
              </w:rPr>
              <w:instrText xml:space="preserve"> PAGEREF _Toc117512534 \h </w:instrText>
            </w:r>
            <w:r w:rsidR="008F5159">
              <w:rPr>
                <w:noProof/>
                <w:webHidden/>
              </w:rPr>
            </w:r>
            <w:r w:rsidR="008F5159">
              <w:rPr>
                <w:noProof/>
                <w:webHidden/>
              </w:rPr>
              <w:fldChar w:fldCharType="separate"/>
            </w:r>
            <w:r w:rsidR="008F5159">
              <w:rPr>
                <w:noProof/>
                <w:webHidden/>
              </w:rPr>
              <w:t>341</w:t>
            </w:r>
            <w:r w:rsidR="008F5159">
              <w:rPr>
                <w:noProof/>
                <w:webHidden/>
              </w:rPr>
              <w:fldChar w:fldCharType="end"/>
            </w:r>
          </w:hyperlink>
        </w:p>
        <w:p w14:paraId="37BE7510" w14:textId="77777777" w:rsidR="008F5159" w:rsidRDefault="00703520" w:rsidP="00BC4302">
          <w:pPr>
            <w:pStyle w:val="TOC2"/>
            <w:spacing w:before="40" w:afterLines="40" w:after="96"/>
            <w:rPr>
              <w:rFonts w:asciiTheme="minorHAnsi" w:eastAsiaTheme="minorEastAsia" w:hAnsiTheme="minorHAnsi"/>
              <w:noProof/>
              <w:sz w:val="22"/>
            </w:rPr>
          </w:pPr>
          <w:hyperlink w:anchor="_Toc117512535" w:history="1">
            <w:r w:rsidR="008F5159" w:rsidRPr="00F86CA9">
              <w:rPr>
                <w:rStyle w:val="Hyperlink"/>
                <w:noProof/>
              </w:rPr>
              <w:t>15.10 Infringement—Elements—Validity—Unregistered Mark—Distinctiveness</w:t>
            </w:r>
            <w:r w:rsidR="008F5159">
              <w:rPr>
                <w:noProof/>
                <w:webHidden/>
              </w:rPr>
              <w:tab/>
            </w:r>
            <w:r w:rsidR="008F5159">
              <w:rPr>
                <w:noProof/>
                <w:webHidden/>
              </w:rPr>
              <w:fldChar w:fldCharType="begin"/>
            </w:r>
            <w:r w:rsidR="008F5159">
              <w:rPr>
                <w:noProof/>
                <w:webHidden/>
              </w:rPr>
              <w:instrText xml:space="preserve"> PAGEREF _Toc117512535 \h </w:instrText>
            </w:r>
            <w:r w:rsidR="008F5159">
              <w:rPr>
                <w:noProof/>
                <w:webHidden/>
              </w:rPr>
            </w:r>
            <w:r w:rsidR="008F5159">
              <w:rPr>
                <w:noProof/>
                <w:webHidden/>
              </w:rPr>
              <w:fldChar w:fldCharType="separate"/>
            </w:r>
            <w:r w:rsidR="008F5159">
              <w:rPr>
                <w:noProof/>
                <w:webHidden/>
              </w:rPr>
              <w:t>342</w:t>
            </w:r>
            <w:r w:rsidR="008F5159">
              <w:rPr>
                <w:noProof/>
                <w:webHidden/>
              </w:rPr>
              <w:fldChar w:fldCharType="end"/>
            </w:r>
          </w:hyperlink>
        </w:p>
        <w:p w14:paraId="209DCB72" w14:textId="77777777" w:rsidR="008F5159" w:rsidRDefault="00703520" w:rsidP="00BC4302">
          <w:pPr>
            <w:pStyle w:val="TOC2"/>
            <w:spacing w:before="40" w:afterLines="40" w:after="96"/>
            <w:rPr>
              <w:rFonts w:asciiTheme="minorHAnsi" w:eastAsiaTheme="minorEastAsia" w:hAnsiTheme="minorHAnsi"/>
              <w:noProof/>
              <w:sz w:val="22"/>
            </w:rPr>
          </w:pPr>
          <w:hyperlink w:anchor="_Toc117512536" w:history="1">
            <w:r w:rsidR="008F5159" w:rsidRPr="00F86CA9">
              <w:rPr>
                <w:rStyle w:val="Hyperlink"/>
                <w:noProof/>
              </w:rPr>
              <w:t>15.11 Infringement—Elements—Validity—Distinctiveness—Secondary Meaning</w:t>
            </w:r>
            <w:r w:rsidR="008F5159">
              <w:rPr>
                <w:noProof/>
                <w:webHidden/>
              </w:rPr>
              <w:tab/>
            </w:r>
            <w:r w:rsidR="008F5159">
              <w:rPr>
                <w:noProof/>
                <w:webHidden/>
              </w:rPr>
              <w:fldChar w:fldCharType="begin"/>
            </w:r>
            <w:r w:rsidR="008F5159">
              <w:rPr>
                <w:noProof/>
                <w:webHidden/>
              </w:rPr>
              <w:instrText xml:space="preserve"> PAGEREF _Toc117512536 \h </w:instrText>
            </w:r>
            <w:r w:rsidR="008F5159">
              <w:rPr>
                <w:noProof/>
                <w:webHidden/>
              </w:rPr>
            </w:r>
            <w:r w:rsidR="008F5159">
              <w:rPr>
                <w:noProof/>
                <w:webHidden/>
              </w:rPr>
              <w:fldChar w:fldCharType="separate"/>
            </w:r>
            <w:r w:rsidR="008F5159">
              <w:rPr>
                <w:noProof/>
                <w:webHidden/>
              </w:rPr>
              <w:t>349</w:t>
            </w:r>
            <w:r w:rsidR="008F5159">
              <w:rPr>
                <w:noProof/>
                <w:webHidden/>
              </w:rPr>
              <w:fldChar w:fldCharType="end"/>
            </w:r>
          </w:hyperlink>
        </w:p>
        <w:p w14:paraId="7020AB3F" w14:textId="5C7D5E3F" w:rsidR="008F5159" w:rsidRDefault="00703520" w:rsidP="00BC4302">
          <w:pPr>
            <w:pStyle w:val="TOC2"/>
            <w:spacing w:before="40" w:afterLines="40" w:after="96"/>
            <w:rPr>
              <w:rFonts w:asciiTheme="minorHAnsi" w:eastAsiaTheme="minorEastAsia" w:hAnsiTheme="minorHAnsi"/>
              <w:noProof/>
              <w:sz w:val="22"/>
            </w:rPr>
          </w:pPr>
          <w:hyperlink w:anchor="_Toc117512537" w:history="1">
            <w:r w:rsidR="008F5159" w:rsidRPr="00F86CA9">
              <w:rPr>
                <w:rStyle w:val="Hyperlink"/>
                <w:noProof/>
              </w:rPr>
              <w:t>15.12 Infringement—Elements—Validity—Trade Dress</w:t>
            </w:r>
          </w:hyperlink>
          <w:hyperlink w:anchor="_Toc117512538" w:history="1">
            <w:r w:rsidR="008F5159" w:rsidRPr="00F86CA9">
              <w:rPr>
                <w:rStyle w:val="Hyperlink"/>
                <w:noProof/>
              </w:rPr>
              <w:t>—Non-Functionality Requirement</w:t>
            </w:r>
            <w:r w:rsidR="008F5159">
              <w:rPr>
                <w:noProof/>
                <w:webHidden/>
              </w:rPr>
              <w:tab/>
            </w:r>
            <w:r w:rsidR="008F5159">
              <w:rPr>
                <w:noProof/>
                <w:webHidden/>
              </w:rPr>
              <w:fldChar w:fldCharType="begin"/>
            </w:r>
            <w:r w:rsidR="008F5159">
              <w:rPr>
                <w:noProof/>
                <w:webHidden/>
              </w:rPr>
              <w:instrText xml:space="preserve"> PAGEREF _Toc117512538 \h </w:instrText>
            </w:r>
            <w:r w:rsidR="008F5159">
              <w:rPr>
                <w:noProof/>
                <w:webHidden/>
              </w:rPr>
            </w:r>
            <w:r w:rsidR="008F5159">
              <w:rPr>
                <w:noProof/>
                <w:webHidden/>
              </w:rPr>
              <w:fldChar w:fldCharType="separate"/>
            </w:r>
            <w:r w:rsidR="008F5159">
              <w:rPr>
                <w:noProof/>
                <w:webHidden/>
              </w:rPr>
              <w:t>352</w:t>
            </w:r>
            <w:r w:rsidR="008F5159">
              <w:rPr>
                <w:noProof/>
                <w:webHidden/>
              </w:rPr>
              <w:fldChar w:fldCharType="end"/>
            </w:r>
          </w:hyperlink>
        </w:p>
        <w:p w14:paraId="30569410" w14:textId="77777777" w:rsidR="008F5159" w:rsidRDefault="00703520" w:rsidP="00BC4302">
          <w:pPr>
            <w:pStyle w:val="TOC2"/>
            <w:spacing w:before="40" w:afterLines="40" w:after="96"/>
            <w:rPr>
              <w:rFonts w:asciiTheme="minorHAnsi" w:eastAsiaTheme="minorEastAsia" w:hAnsiTheme="minorHAnsi"/>
              <w:noProof/>
              <w:sz w:val="22"/>
            </w:rPr>
          </w:pPr>
          <w:hyperlink w:anchor="_Toc117512539" w:history="1">
            <w:r w:rsidR="008F5159" w:rsidRPr="00F86CA9">
              <w:rPr>
                <w:rStyle w:val="Hyperlink"/>
                <w:noProof/>
              </w:rPr>
              <w:t>15.13 Infringement—Elements—Ownership—Generally</w:t>
            </w:r>
            <w:r w:rsidR="008F5159">
              <w:rPr>
                <w:noProof/>
                <w:webHidden/>
              </w:rPr>
              <w:tab/>
            </w:r>
            <w:r w:rsidR="008F5159">
              <w:rPr>
                <w:noProof/>
                <w:webHidden/>
              </w:rPr>
              <w:fldChar w:fldCharType="begin"/>
            </w:r>
            <w:r w:rsidR="008F5159">
              <w:rPr>
                <w:noProof/>
                <w:webHidden/>
              </w:rPr>
              <w:instrText xml:space="preserve"> PAGEREF _Toc117512539 \h </w:instrText>
            </w:r>
            <w:r w:rsidR="008F5159">
              <w:rPr>
                <w:noProof/>
                <w:webHidden/>
              </w:rPr>
            </w:r>
            <w:r w:rsidR="008F5159">
              <w:rPr>
                <w:noProof/>
                <w:webHidden/>
              </w:rPr>
              <w:fldChar w:fldCharType="separate"/>
            </w:r>
            <w:r w:rsidR="008F5159">
              <w:rPr>
                <w:noProof/>
                <w:webHidden/>
              </w:rPr>
              <w:t>355</w:t>
            </w:r>
            <w:r w:rsidR="008F5159">
              <w:rPr>
                <w:noProof/>
                <w:webHidden/>
              </w:rPr>
              <w:fldChar w:fldCharType="end"/>
            </w:r>
          </w:hyperlink>
        </w:p>
        <w:p w14:paraId="047AED2D" w14:textId="77777777" w:rsidR="008F5159" w:rsidRDefault="00703520" w:rsidP="00BC4302">
          <w:pPr>
            <w:pStyle w:val="TOC2"/>
            <w:spacing w:before="40" w:afterLines="40" w:after="96"/>
            <w:rPr>
              <w:rFonts w:asciiTheme="minorHAnsi" w:eastAsiaTheme="minorEastAsia" w:hAnsiTheme="minorHAnsi"/>
              <w:noProof/>
              <w:sz w:val="22"/>
            </w:rPr>
          </w:pPr>
          <w:hyperlink w:anchor="_Toc117512540" w:history="1">
            <w:r w:rsidR="008F5159" w:rsidRPr="00F86CA9">
              <w:rPr>
                <w:rStyle w:val="Hyperlink"/>
                <w:noProof/>
              </w:rPr>
              <w:t>15.14 Infringement—Elements—Ownership—Priority Through Tacking</w:t>
            </w:r>
            <w:r w:rsidR="008F5159">
              <w:rPr>
                <w:noProof/>
                <w:webHidden/>
              </w:rPr>
              <w:tab/>
            </w:r>
            <w:r w:rsidR="008F5159">
              <w:rPr>
                <w:noProof/>
                <w:webHidden/>
              </w:rPr>
              <w:fldChar w:fldCharType="begin"/>
            </w:r>
            <w:r w:rsidR="008F5159">
              <w:rPr>
                <w:noProof/>
                <w:webHidden/>
              </w:rPr>
              <w:instrText xml:space="preserve"> PAGEREF _Toc117512540 \h </w:instrText>
            </w:r>
            <w:r w:rsidR="008F5159">
              <w:rPr>
                <w:noProof/>
                <w:webHidden/>
              </w:rPr>
            </w:r>
            <w:r w:rsidR="008F5159">
              <w:rPr>
                <w:noProof/>
                <w:webHidden/>
              </w:rPr>
              <w:fldChar w:fldCharType="separate"/>
            </w:r>
            <w:r w:rsidR="008F5159">
              <w:rPr>
                <w:noProof/>
                <w:webHidden/>
              </w:rPr>
              <w:t>358</w:t>
            </w:r>
            <w:r w:rsidR="008F5159">
              <w:rPr>
                <w:noProof/>
                <w:webHidden/>
              </w:rPr>
              <w:fldChar w:fldCharType="end"/>
            </w:r>
          </w:hyperlink>
        </w:p>
        <w:p w14:paraId="6E319ECB" w14:textId="77D8B17F" w:rsidR="008F5159" w:rsidRDefault="00703520" w:rsidP="00BC4302">
          <w:pPr>
            <w:pStyle w:val="TOC2"/>
            <w:spacing w:before="40" w:afterLines="40" w:after="96"/>
            <w:rPr>
              <w:rFonts w:asciiTheme="minorHAnsi" w:eastAsiaTheme="minorEastAsia" w:hAnsiTheme="minorHAnsi"/>
              <w:noProof/>
              <w:sz w:val="22"/>
            </w:rPr>
          </w:pPr>
          <w:hyperlink w:anchor="_Toc117512541" w:history="1">
            <w:r w:rsidR="008F5159" w:rsidRPr="00F86CA9">
              <w:rPr>
                <w:rStyle w:val="Hyperlink"/>
                <w:noProof/>
              </w:rPr>
              <w:t>15.15 Trademark Ownership—Assignee</w:t>
            </w:r>
          </w:hyperlink>
          <w:r w:rsidR="008F5159">
            <w:rPr>
              <w:rStyle w:val="Hyperlink"/>
              <w:noProof/>
            </w:rPr>
            <w:t xml:space="preserve"> </w:t>
          </w:r>
          <w:hyperlink w:anchor="_Toc117512542" w:history="1">
            <w:r w:rsidR="008F5159" w:rsidRPr="00F86CA9">
              <w:rPr>
                <w:rStyle w:val="Hyperlink"/>
                <w:noProof/>
              </w:rPr>
              <w:t>(15 U.S.C. § 1060)</w:t>
            </w:r>
            <w:r w:rsidR="008F5159">
              <w:rPr>
                <w:noProof/>
                <w:webHidden/>
              </w:rPr>
              <w:tab/>
            </w:r>
            <w:r w:rsidR="008F5159">
              <w:rPr>
                <w:noProof/>
                <w:webHidden/>
              </w:rPr>
              <w:fldChar w:fldCharType="begin"/>
            </w:r>
            <w:r w:rsidR="008F5159">
              <w:rPr>
                <w:noProof/>
                <w:webHidden/>
              </w:rPr>
              <w:instrText xml:space="preserve"> PAGEREF _Toc117512542 \h </w:instrText>
            </w:r>
            <w:r w:rsidR="008F5159">
              <w:rPr>
                <w:noProof/>
                <w:webHidden/>
              </w:rPr>
            </w:r>
            <w:r w:rsidR="008F5159">
              <w:rPr>
                <w:noProof/>
                <w:webHidden/>
              </w:rPr>
              <w:fldChar w:fldCharType="separate"/>
            </w:r>
            <w:r w:rsidR="008F5159">
              <w:rPr>
                <w:noProof/>
                <w:webHidden/>
              </w:rPr>
              <w:t>359</w:t>
            </w:r>
            <w:r w:rsidR="008F5159">
              <w:rPr>
                <w:noProof/>
                <w:webHidden/>
              </w:rPr>
              <w:fldChar w:fldCharType="end"/>
            </w:r>
          </w:hyperlink>
        </w:p>
        <w:p w14:paraId="00A5C91C" w14:textId="77777777" w:rsidR="008F5159" w:rsidRDefault="00703520" w:rsidP="00BC4302">
          <w:pPr>
            <w:pStyle w:val="TOC2"/>
            <w:spacing w:before="40" w:afterLines="40" w:after="96"/>
            <w:rPr>
              <w:rFonts w:asciiTheme="minorHAnsi" w:eastAsiaTheme="minorEastAsia" w:hAnsiTheme="minorHAnsi"/>
              <w:noProof/>
              <w:sz w:val="22"/>
            </w:rPr>
          </w:pPr>
          <w:hyperlink w:anchor="_Toc117512543" w:history="1">
            <w:r w:rsidR="008F5159" w:rsidRPr="00F86CA9">
              <w:rPr>
                <w:rStyle w:val="Hyperlink"/>
                <w:noProof/>
              </w:rPr>
              <w:t>15.16 Trademark Ownership—Licensee</w:t>
            </w:r>
            <w:r w:rsidR="008F5159">
              <w:rPr>
                <w:noProof/>
                <w:webHidden/>
              </w:rPr>
              <w:tab/>
            </w:r>
            <w:r w:rsidR="008F5159">
              <w:rPr>
                <w:noProof/>
                <w:webHidden/>
              </w:rPr>
              <w:fldChar w:fldCharType="begin"/>
            </w:r>
            <w:r w:rsidR="008F5159">
              <w:rPr>
                <w:noProof/>
                <w:webHidden/>
              </w:rPr>
              <w:instrText xml:space="preserve"> PAGEREF _Toc117512543 \h </w:instrText>
            </w:r>
            <w:r w:rsidR="008F5159">
              <w:rPr>
                <w:noProof/>
                <w:webHidden/>
              </w:rPr>
            </w:r>
            <w:r w:rsidR="008F5159">
              <w:rPr>
                <w:noProof/>
                <w:webHidden/>
              </w:rPr>
              <w:fldChar w:fldCharType="separate"/>
            </w:r>
            <w:r w:rsidR="008F5159">
              <w:rPr>
                <w:noProof/>
                <w:webHidden/>
              </w:rPr>
              <w:t>360</w:t>
            </w:r>
            <w:r w:rsidR="008F5159">
              <w:rPr>
                <w:noProof/>
                <w:webHidden/>
              </w:rPr>
              <w:fldChar w:fldCharType="end"/>
            </w:r>
          </w:hyperlink>
        </w:p>
        <w:p w14:paraId="7320F848" w14:textId="77777777" w:rsidR="008F5159" w:rsidRDefault="00703520" w:rsidP="00BC4302">
          <w:pPr>
            <w:pStyle w:val="TOC2"/>
            <w:spacing w:before="40" w:afterLines="40" w:after="96"/>
            <w:rPr>
              <w:rFonts w:asciiTheme="minorHAnsi" w:eastAsiaTheme="minorEastAsia" w:hAnsiTheme="minorHAnsi"/>
              <w:noProof/>
              <w:sz w:val="22"/>
            </w:rPr>
          </w:pPr>
          <w:hyperlink w:anchor="_Toc117512544" w:history="1">
            <w:r w:rsidR="008F5159" w:rsidRPr="00F86CA9">
              <w:rPr>
                <w:rStyle w:val="Hyperlink"/>
                <w:noProof/>
              </w:rPr>
              <w:t>15.17 Trademark Ownership—Merchant or Distributor</w:t>
            </w:r>
            <w:r w:rsidR="008F5159">
              <w:rPr>
                <w:noProof/>
                <w:webHidden/>
              </w:rPr>
              <w:tab/>
            </w:r>
            <w:r w:rsidR="008F5159">
              <w:rPr>
                <w:noProof/>
                <w:webHidden/>
              </w:rPr>
              <w:fldChar w:fldCharType="begin"/>
            </w:r>
            <w:r w:rsidR="008F5159">
              <w:rPr>
                <w:noProof/>
                <w:webHidden/>
              </w:rPr>
              <w:instrText xml:space="preserve"> PAGEREF _Toc117512544 \h </w:instrText>
            </w:r>
            <w:r w:rsidR="008F5159">
              <w:rPr>
                <w:noProof/>
                <w:webHidden/>
              </w:rPr>
            </w:r>
            <w:r w:rsidR="008F5159">
              <w:rPr>
                <w:noProof/>
                <w:webHidden/>
              </w:rPr>
              <w:fldChar w:fldCharType="separate"/>
            </w:r>
            <w:r w:rsidR="008F5159">
              <w:rPr>
                <w:noProof/>
                <w:webHidden/>
              </w:rPr>
              <w:t>361</w:t>
            </w:r>
            <w:r w:rsidR="008F5159">
              <w:rPr>
                <w:noProof/>
                <w:webHidden/>
              </w:rPr>
              <w:fldChar w:fldCharType="end"/>
            </w:r>
          </w:hyperlink>
        </w:p>
        <w:p w14:paraId="52E1DC71" w14:textId="5A6EF455" w:rsidR="008F5159" w:rsidRDefault="00703520" w:rsidP="00BC4302">
          <w:pPr>
            <w:pStyle w:val="TOC2"/>
            <w:spacing w:before="40" w:afterLines="40" w:after="96"/>
            <w:rPr>
              <w:rFonts w:asciiTheme="minorHAnsi" w:eastAsiaTheme="minorEastAsia" w:hAnsiTheme="minorHAnsi"/>
              <w:noProof/>
              <w:sz w:val="22"/>
            </w:rPr>
          </w:pPr>
          <w:hyperlink w:anchor="_Toc117512545" w:history="1">
            <w:r w:rsidR="008F5159" w:rsidRPr="00F86CA9">
              <w:rPr>
                <w:rStyle w:val="Hyperlink"/>
                <w:noProof/>
              </w:rPr>
              <w:t>15.18 Infringement—Likelihood of Confusion—Factors—</w:t>
            </w:r>
            <w:r w:rsidR="008F5159" w:rsidRPr="00F86CA9">
              <w:rPr>
                <w:rStyle w:val="Hyperlink"/>
                <w:i/>
                <w:iCs/>
                <w:noProof/>
              </w:rPr>
              <w:t>Sleekcraft</w:t>
            </w:r>
            <w:r w:rsidR="008F5159" w:rsidRPr="00F86CA9">
              <w:rPr>
                <w:rStyle w:val="Hyperlink"/>
                <w:noProof/>
              </w:rPr>
              <w:t xml:space="preserve"> Test</w:t>
            </w:r>
          </w:hyperlink>
        </w:p>
        <w:p w14:paraId="3DD2AADA" w14:textId="6DA04E46"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546" w:history="1">
            <w:r w:rsidRPr="00F86CA9">
              <w:rPr>
                <w:rStyle w:val="Hyperlink"/>
                <w:noProof/>
              </w:rPr>
              <w:t>(15 U.S.C. §§ 1114(1) and 1125(a))</w:t>
            </w:r>
            <w:r>
              <w:rPr>
                <w:noProof/>
                <w:webHidden/>
              </w:rPr>
              <w:tab/>
            </w:r>
            <w:r>
              <w:rPr>
                <w:noProof/>
                <w:webHidden/>
              </w:rPr>
              <w:fldChar w:fldCharType="begin"/>
            </w:r>
            <w:r>
              <w:rPr>
                <w:noProof/>
                <w:webHidden/>
              </w:rPr>
              <w:instrText xml:space="preserve"> PAGEREF _Toc117512546 \h </w:instrText>
            </w:r>
            <w:r>
              <w:rPr>
                <w:noProof/>
                <w:webHidden/>
              </w:rPr>
            </w:r>
            <w:r>
              <w:rPr>
                <w:noProof/>
                <w:webHidden/>
              </w:rPr>
              <w:fldChar w:fldCharType="separate"/>
            </w:r>
            <w:r>
              <w:rPr>
                <w:noProof/>
                <w:webHidden/>
              </w:rPr>
              <w:t>362</w:t>
            </w:r>
            <w:r>
              <w:rPr>
                <w:noProof/>
                <w:webHidden/>
              </w:rPr>
              <w:fldChar w:fldCharType="end"/>
            </w:r>
          </w:hyperlink>
        </w:p>
        <w:p w14:paraId="55F131D4" w14:textId="090E74E2" w:rsidR="008F5159" w:rsidRDefault="00703520" w:rsidP="00BC4302">
          <w:pPr>
            <w:pStyle w:val="TOC2"/>
            <w:spacing w:before="40" w:afterLines="40" w:after="96"/>
            <w:rPr>
              <w:rFonts w:asciiTheme="minorHAnsi" w:eastAsiaTheme="minorEastAsia" w:hAnsiTheme="minorHAnsi"/>
              <w:noProof/>
              <w:sz w:val="22"/>
            </w:rPr>
          </w:pPr>
          <w:hyperlink w:anchor="_Toc117512547" w:history="1">
            <w:r w:rsidR="008F5159" w:rsidRPr="00F86CA9">
              <w:rPr>
                <w:rStyle w:val="Hyperlink"/>
                <w:noProof/>
                <w:highlight w:val="white"/>
              </w:rPr>
              <w:t xml:space="preserve">15.19 </w:t>
            </w:r>
            <w:r w:rsidR="008F5159" w:rsidRPr="00F86CA9">
              <w:rPr>
                <w:rStyle w:val="Hyperlink"/>
                <w:noProof/>
              </w:rPr>
              <w:t>Infringement—Likelihood of Confusion—Factor—Strength of Trademark</w:t>
            </w:r>
          </w:hyperlink>
        </w:p>
        <w:p w14:paraId="21117A8B" w14:textId="0AA6C5FD" w:rsidR="008F5159" w:rsidRDefault="008F5159" w:rsidP="00BC4302">
          <w:pPr>
            <w:pStyle w:val="TOC2"/>
            <w:spacing w:before="40" w:afterLines="40" w:after="96"/>
            <w:rPr>
              <w:rFonts w:asciiTheme="minorHAnsi" w:eastAsiaTheme="minorEastAsia" w:hAnsiTheme="minorHAnsi"/>
              <w:noProof/>
              <w:sz w:val="22"/>
            </w:rPr>
          </w:pPr>
          <w:r w:rsidRPr="008F5159">
            <w:rPr>
              <w:rStyle w:val="Hyperlink"/>
              <w:noProof/>
              <w:u w:val="none"/>
            </w:rPr>
            <w:tab/>
          </w:r>
          <w:hyperlink w:anchor="_Toc117512548" w:history="1">
            <w:r w:rsidRPr="00F86CA9">
              <w:rPr>
                <w:rStyle w:val="Hyperlink"/>
                <w:noProof/>
              </w:rPr>
              <w:t>Strength as a Factor for Evaluating Likelihood of Confusion</w:t>
            </w:r>
            <w:r>
              <w:rPr>
                <w:noProof/>
                <w:webHidden/>
              </w:rPr>
              <w:tab/>
            </w:r>
            <w:r>
              <w:rPr>
                <w:noProof/>
                <w:webHidden/>
              </w:rPr>
              <w:fldChar w:fldCharType="begin"/>
            </w:r>
            <w:r>
              <w:rPr>
                <w:noProof/>
                <w:webHidden/>
              </w:rPr>
              <w:instrText xml:space="preserve"> PAGEREF _Toc117512548 \h </w:instrText>
            </w:r>
            <w:r>
              <w:rPr>
                <w:noProof/>
                <w:webHidden/>
              </w:rPr>
            </w:r>
            <w:r>
              <w:rPr>
                <w:noProof/>
                <w:webHidden/>
              </w:rPr>
              <w:fldChar w:fldCharType="separate"/>
            </w:r>
            <w:r>
              <w:rPr>
                <w:noProof/>
                <w:webHidden/>
              </w:rPr>
              <w:t>366</w:t>
            </w:r>
            <w:r>
              <w:rPr>
                <w:noProof/>
                <w:webHidden/>
              </w:rPr>
              <w:fldChar w:fldCharType="end"/>
            </w:r>
          </w:hyperlink>
        </w:p>
        <w:p w14:paraId="3696E8E2" w14:textId="77777777" w:rsidR="008F5159" w:rsidRDefault="00703520" w:rsidP="00BC4302">
          <w:pPr>
            <w:pStyle w:val="TOC2"/>
            <w:spacing w:before="40" w:afterLines="40" w:after="96"/>
            <w:rPr>
              <w:rFonts w:asciiTheme="minorHAnsi" w:eastAsiaTheme="minorEastAsia" w:hAnsiTheme="minorHAnsi"/>
              <w:noProof/>
              <w:sz w:val="22"/>
            </w:rPr>
          </w:pPr>
          <w:hyperlink w:anchor="_Toc117512549" w:history="1">
            <w:r w:rsidR="008F5159" w:rsidRPr="00F86CA9">
              <w:rPr>
                <w:rStyle w:val="Hyperlink"/>
                <w:noProof/>
              </w:rPr>
              <w:t>15.19A Expressive Works</w:t>
            </w:r>
            <w:r w:rsidR="008F5159">
              <w:rPr>
                <w:noProof/>
                <w:webHidden/>
              </w:rPr>
              <w:tab/>
            </w:r>
            <w:r w:rsidR="008F5159">
              <w:rPr>
                <w:noProof/>
                <w:webHidden/>
              </w:rPr>
              <w:fldChar w:fldCharType="begin"/>
            </w:r>
            <w:r w:rsidR="008F5159">
              <w:rPr>
                <w:noProof/>
                <w:webHidden/>
              </w:rPr>
              <w:instrText xml:space="preserve"> PAGEREF _Toc117512549 \h </w:instrText>
            </w:r>
            <w:r w:rsidR="008F5159">
              <w:rPr>
                <w:noProof/>
                <w:webHidden/>
              </w:rPr>
            </w:r>
            <w:r w:rsidR="008F5159">
              <w:rPr>
                <w:noProof/>
                <w:webHidden/>
              </w:rPr>
              <w:fldChar w:fldCharType="separate"/>
            </w:r>
            <w:r w:rsidR="008F5159">
              <w:rPr>
                <w:noProof/>
                <w:webHidden/>
              </w:rPr>
              <w:t>370</w:t>
            </w:r>
            <w:r w:rsidR="008F5159">
              <w:rPr>
                <w:noProof/>
                <w:webHidden/>
              </w:rPr>
              <w:fldChar w:fldCharType="end"/>
            </w:r>
          </w:hyperlink>
        </w:p>
        <w:p w14:paraId="5670FD64" w14:textId="77777777" w:rsidR="008F5159" w:rsidRDefault="00703520" w:rsidP="00BC4302">
          <w:pPr>
            <w:pStyle w:val="TOC2"/>
            <w:spacing w:before="40" w:afterLines="40" w:after="96"/>
            <w:rPr>
              <w:rFonts w:asciiTheme="minorHAnsi" w:eastAsiaTheme="minorEastAsia" w:hAnsiTheme="minorHAnsi"/>
              <w:noProof/>
              <w:sz w:val="22"/>
            </w:rPr>
          </w:pPr>
          <w:hyperlink w:anchor="_Toc117512550" w:history="1">
            <w:r w:rsidR="008F5159" w:rsidRPr="00F86CA9">
              <w:rPr>
                <w:rStyle w:val="Hyperlink"/>
                <w:noProof/>
              </w:rPr>
              <w:t>15.20 Derivative Liability—Inducing Infringement</w:t>
            </w:r>
            <w:r w:rsidR="008F5159">
              <w:rPr>
                <w:noProof/>
                <w:webHidden/>
              </w:rPr>
              <w:tab/>
            </w:r>
            <w:r w:rsidR="008F5159">
              <w:rPr>
                <w:noProof/>
                <w:webHidden/>
              </w:rPr>
              <w:fldChar w:fldCharType="begin"/>
            </w:r>
            <w:r w:rsidR="008F5159">
              <w:rPr>
                <w:noProof/>
                <w:webHidden/>
              </w:rPr>
              <w:instrText xml:space="preserve"> PAGEREF _Toc117512550 \h </w:instrText>
            </w:r>
            <w:r w:rsidR="008F5159">
              <w:rPr>
                <w:noProof/>
                <w:webHidden/>
              </w:rPr>
            </w:r>
            <w:r w:rsidR="008F5159">
              <w:rPr>
                <w:noProof/>
                <w:webHidden/>
              </w:rPr>
              <w:fldChar w:fldCharType="separate"/>
            </w:r>
            <w:r w:rsidR="008F5159">
              <w:rPr>
                <w:noProof/>
                <w:webHidden/>
              </w:rPr>
              <w:t>372</w:t>
            </w:r>
            <w:r w:rsidR="008F5159">
              <w:rPr>
                <w:noProof/>
                <w:webHidden/>
              </w:rPr>
              <w:fldChar w:fldCharType="end"/>
            </w:r>
          </w:hyperlink>
        </w:p>
        <w:p w14:paraId="47B5D69F" w14:textId="77777777" w:rsidR="008F5159" w:rsidRDefault="00703520" w:rsidP="00BC4302">
          <w:pPr>
            <w:pStyle w:val="TOC2"/>
            <w:spacing w:before="40" w:afterLines="40" w:after="96"/>
            <w:rPr>
              <w:rFonts w:asciiTheme="minorHAnsi" w:eastAsiaTheme="minorEastAsia" w:hAnsiTheme="minorHAnsi"/>
              <w:noProof/>
              <w:sz w:val="22"/>
            </w:rPr>
          </w:pPr>
          <w:hyperlink w:anchor="_Toc117512551" w:history="1">
            <w:r w:rsidR="008F5159" w:rsidRPr="00F86CA9">
              <w:rPr>
                <w:rStyle w:val="Hyperlink"/>
                <w:noProof/>
              </w:rPr>
              <w:t>15.21 Derivative Liability—Contributory Infringement</w:t>
            </w:r>
            <w:r w:rsidR="008F5159">
              <w:rPr>
                <w:noProof/>
                <w:webHidden/>
              </w:rPr>
              <w:tab/>
            </w:r>
            <w:r w:rsidR="008F5159">
              <w:rPr>
                <w:noProof/>
                <w:webHidden/>
              </w:rPr>
              <w:fldChar w:fldCharType="begin"/>
            </w:r>
            <w:r w:rsidR="008F5159">
              <w:rPr>
                <w:noProof/>
                <w:webHidden/>
              </w:rPr>
              <w:instrText xml:space="preserve"> PAGEREF _Toc117512551 \h </w:instrText>
            </w:r>
            <w:r w:rsidR="008F5159">
              <w:rPr>
                <w:noProof/>
                <w:webHidden/>
              </w:rPr>
            </w:r>
            <w:r w:rsidR="008F5159">
              <w:rPr>
                <w:noProof/>
                <w:webHidden/>
              </w:rPr>
              <w:fldChar w:fldCharType="separate"/>
            </w:r>
            <w:r w:rsidR="008F5159">
              <w:rPr>
                <w:noProof/>
                <w:webHidden/>
              </w:rPr>
              <w:t>373</w:t>
            </w:r>
            <w:r w:rsidR="008F5159">
              <w:rPr>
                <w:noProof/>
                <w:webHidden/>
              </w:rPr>
              <w:fldChar w:fldCharType="end"/>
            </w:r>
          </w:hyperlink>
        </w:p>
        <w:p w14:paraId="1DD6DC6A" w14:textId="6D955669" w:rsidR="008F5159" w:rsidRDefault="00703520" w:rsidP="00BC4302">
          <w:pPr>
            <w:pStyle w:val="TOC2"/>
            <w:spacing w:before="40" w:afterLines="40" w:after="96"/>
            <w:rPr>
              <w:rFonts w:asciiTheme="minorHAnsi" w:eastAsiaTheme="minorEastAsia" w:hAnsiTheme="minorHAnsi"/>
              <w:noProof/>
              <w:sz w:val="22"/>
            </w:rPr>
          </w:pPr>
          <w:hyperlink w:anchor="_Toc117512552" w:history="1">
            <w:r w:rsidR="008F5159" w:rsidRPr="00F86CA9">
              <w:rPr>
                <w:rStyle w:val="Hyperlink"/>
                <w:noProof/>
              </w:rPr>
              <w:t>15.22 Defenses—Abandonment—Affirmative Defense—Defendant’s Burden of Proof</w:t>
            </w:r>
          </w:hyperlink>
          <w:r w:rsidR="008F5159">
            <w:rPr>
              <w:rStyle w:val="Hyperlink"/>
              <w:noProof/>
            </w:rPr>
            <w:t xml:space="preserve"> </w:t>
          </w:r>
          <w:hyperlink w:anchor="_Toc117512553" w:history="1">
            <w:r w:rsidR="008F5159" w:rsidRPr="00F86CA9">
              <w:rPr>
                <w:rStyle w:val="Hyperlink"/>
                <w:noProof/>
              </w:rPr>
              <w:t>(15 U.S.C. § 1127)</w:t>
            </w:r>
            <w:r w:rsidR="008F5159">
              <w:rPr>
                <w:noProof/>
                <w:webHidden/>
              </w:rPr>
              <w:tab/>
            </w:r>
            <w:r w:rsidR="008F5159">
              <w:rPr>
                <w:noProof/>
                <w:webHidden/>
              </w:rPr>
              <w:fldChar w:fldCharType="begin"/>
            </w:r>
            <w:r w:rsidR="008F5159">
              <w:rPr>
                <w:noProof/>
                <w:webHidden/>
              </w:rPr>
              <w:instrText xml:space="preserve"> PAGEREF _Toc117512553 \h </w:instrText>
            </w:r>
            <w:r w:rsidR="008F5159">
              <w:rPr>
                <w:noProof/>
                <w:webHidden/>
              </w:rPr>
            </w:r>
            <w:r w:rsidR="008F5159">
              <w:rPr>
                <w:noProof/>
                <w:webHidden/>
              </w:rPr>
              <w:fldChar w:fldCharType="separate"/>
            </w:r>
            <w:r w:rsidR="008F5159">
              <w:rPr>
                <w:noProof/>
                <w:webHidden/>
              </w:rPr>
              <w:t>375</w:t>
            </w:r>
            <w:r w:rsidR="008F5159">
              <w:rPr>
                <w:noProof/>
                <w:webHidden/>
              </w:rPr>
              <w:fldChar w:fldCharType="end"/>
            </w:r>
          </w:hyperlink>
        </w:p>
        <w:p w14:paraId="6927004C" w14:textId="11321761" w:rsidR="008F5159" w:rsidRDefault="00703520" w:rsidP="00BC4302">
          <w:pPr>
            <w:pStyle w:val="TOC2"/>
            <w:spacing w:before="40" w:afterLines="40" w:after="96"/>
            <w:rPr>
              <w:rFonts w:asciiTheme="minorHAnsi" w:eastAsiaTheme="minorEastAsia" w:hAnsiTheme="minorHAnsi"/>
              <w:noProof/>
              <w:sz w:val="22"/>
            </w:rPr>
          </w:pPr>
          <w:hyperlink w:anchor="_Toc117512554" w:history="1">
            <w:r w:rsidR="008F5159" w:rsidRPr="00F86CA9">
              <w:rPr>
                <w:rStyle w:val="Hyperlink"/>
                <w:noProof/>
              </w:rPr>
              <w:t>15.23 Defenses—Continuous Prior Use Within Remote Geographic</w:t>
            </w:r>
          </w:hyperlink>
          <w:r w:rsidR="008F5159">
            <w:rPr>
              <w:rStyle w:val="Hyperlink"/>
              <w:noProof/>
            </w:rPr>
            <w:t xml:space="preserve"> </w:t>
          </w:r>
          <w:hyperlink w:anchor="_Toc117512555" w:history="1">
            <w:r w:rsidR="008F5159" w:rsidRPr="00F86CA9">
              <w:rPr>
                <w:rStyle w:val="Hyperlink"/>
                <w:noProof/>
              </w:rPr>
              <w:t>Area—Affirmative Defense (15 U.S.C. § 1115(b)(5))</w:t>
            </w:r>
            <w:r w:rsidR="008F5159">
              <w:rPr>
                <w:noProof/>
                <w:webHidden/>
              </w:rPr>
              <w:tab/>
            </w:r>
            <w:r w:rsidR="008F5159">
              <w:rPr>
                <w:noProof/>
                <w:webHidden/>
              </w:rPr>
              <w:fldChar w:fldCharType="begin"/>
            </w:r>
            <w:r w:rsidR="008F5159">
              <w:rPr>
                <w:noProof/>
                <w:webHidden/>
              </w:rPr>
              <w:instrText xml:space="preserve"> PAGEREF _Toc117512555 \h </w:instrText>
            </w:r>
            <w:r w:rsidR="008F5159">
              <w:rPr>
                <w:noProof/>
                <w:webHidden/>
              </w:rPr>
            </w:r>
            <w:r w:rsidR="008F5159">
              <w:rPr>
                <w:noProof/>
                <w:webHidden/>
              </w:rPr>
              <w:fldChar w:fldCharType="separate"/>
            </w:r>
            <w:r w:rsidR="008F5159">
              <w:rPr>
                <w:noProof/>
                <w:webHidden/>
              </w:rPr>
              <w:t>377</w:t>
            </w:r>
            <w:r w:rsidR="008F5159">
              <w:rPr>
                <w:noProof/>
                <w:webHidden/>
              </w:rPr>
              <w:fldChar w:fldCharType="end"/>
            </w:r>
          </w:hyperlink>
        </w:p>
        <w:p w14:paraId="699B93CA" w14:textId="0E45B4C7" w:rsidR="008F5159" w:rsidRDefault="00703520" w:rsidP="00BC4302">
          <w:pPr>
            <w:pStyle w:val="TOC2"/>
            <w:spacing w:before="40" w:afterLines="40" w:after="96"/>
            <w:rPr>
              <w:rFonts w:asciiTheme="minorHAnsi" w:eastAsiaTheme="minorEastAsia" w:hAnsiTheme="minorHAnsi"/>
              <w:noProof/>
              <w:sz w:val="22"/>
            </w:rPr>
          </w:pPr>
          <w:hyperlink w:anchor="_Toc117512556" w:history="1">
            <w:r w:rsidR="008F5159" w:rsidRPr="00F86CA9">
              <w:rPr>
                <w:rStyle w:val="Hyperlink"/>
                <w:noProof/>
              </w:rPr>
              <w:t>15.24 Defenses— “Classic” Fair Use</w:t>
            </w:r>
          </w:hyperlink>
          <w:r w:rsidR="008F5159">
            <w:rPr>
              <w:rStyle w:val="Hyperlink"/>
              <w:noProof/>
            </w:rPr>
            <w:t xml:space="preserve"> </w:t>
          </w:r>
          <w:hyperlink w:anchor="_Toc117512557" w:history="1">
            <w:r w:rsidR="008F5159" w:rsidRPr="00F86CA9">
              <w:rPr>
                <w:rStyle w:val="Hyperlink"/>
                <w:noProof/>
              </w:rPr>
              <w:t>(15 U.S.C. § 1115(b)(4))</w:t>
            </w:r>
            <w:r w:rsidR="008F5159">
              <w:rPr>
                <w:noProof/>
                <w:webHidden/>
              </w:rPr>
              <w:tab/>
            </w:r>
            <w:r w:rsidR="008F5159">
              <w:rPr>
                <w:noProof/>
                <w:webHidden/>
              </w:rPr>
              <w:fldChar w:fldCharType="begin"/>
            </w:r>
            <w:r w:rsidR="008F5159">
              <w:rPr>
                <w:noProof/>
                <w:webHidden/>
              </w:rPr>
              <w:instrText xml:space="preserve"> PAGEREF _Toc117512557 \h </w:instrText>
            </w:r>
            <w:r w:rsidR="008F5159">
              <w:rPr>
                <w:noProof/>
                <w:webHidden/>
              </w:rPr>
            </w:r>
            <w:r w:rsidR="008F5159">
              <w:rPr>
                <w:noProof/>
                <w:webHidden/>
              </w:rPr>
              <w:fldChar w:fldCharType="separate"/>
            </w:r>
            <w:r w:rsidR="008F5159">
              <w:rPr>
                <w:noProof/>
                <w:webHidden/>
              </w:rPr>
              <w:t>379</w:t>
            </w:r>
            <w:r w:rsidR="008F5159">
              <w:rPr>
                <w:noProof/>
                <w:webHidden/>
              </w:rPr>
              <w:fldChar w:fldCharType="end"/>
            </w:r>
          </w:hyperlink>
        </w:p>
        <w:p w14:paraId="10818DDE" w14:textId="77777777" w:rsidR="008F5159" w:rsidRDefault="00703520" w:rsidP="00340019">
          <w:pPr>
            <w:pStyle w:val="TOC2"/>
            <w:spacing w:before="40"/>
            <w:rPr>
              <w:rFonts w:asciiTheme="minorHAnsi" w:eastAsiaTheme="minorEastAsia" w:hAnsiTheme="minorHAnsi"/>
              <w:noProof/>
              <w:sz w:val="22"/>
            </w:rPr>
          </w:pPr>
          <w:hyperlink w:anchor="_Toc117512558" w:history="1">
            <w:r w:rsidR="008F5159" w:rsidRPr="00F86CA9">
              <w:rPr>
                <w:rStyle w:val="Hyperlink"/>
                <w:noProof/>
              </w:rPr>
              <w:t>15.25 Defenses—Nominative Fair Use</w:t>
            </w:r>
            <w:r w:rsidR="008F5159">
              <w:rPr>
                <w:noProof/>
                <w:webHidden/>
              </w:rPr>
              <w:tab/>
            </w:r>
            <w:r w:rsidR="008F5159">
              <w:rPr>
                <w:noProof/>
                <w:webHidden/>
              </w:rPr>
              <w:fldChar w:fldCharType="begin"/>
            </w:r>
            <w:r w:rsidR="008F5159">
              <w:rPr>
                <w:noProof/>
                <w:webHidden/>
              </w:rPr>
              <w:instrText xml:space="preserve"> PAGEREF _Toc117512558 \h </w:instrText>
            </w:r>
            <w:r w:rsidR="008F5159">
              <w:rPr>
                <w:noProof/>
                <w:webHidden/>
              </w:rPr>
            </w:r>
            <w:r w:rsidR="008F5159">
              <w:rPr>
                <w:noProof/>
                <w:webHidden/>
              </w:rPr>
              <w:fldChar w:fldCharType="separate"/>
            </w:r>
            <w:r w:rsidR="008F5159">
              <w:rPr>
                <w:noProof/>
                <w:webHidden/>
              </w:rPr>
              <w:t>382</w:t>
            </w:r>
            <w:r w:rsidR="008F5159">
              <w:rPr>
                <w:noProof/>
                <w:webHidden/>
              </w:rPr>
              <w:fldChar w:fldCharType="end"/>
            </w:r>
          </w:hyperlink>
        </w:p>
        <w:p w14:paraId="552C3D30" w14:textId="11B579E8" w:rsidR="008F5159" w:rsidRPr="00F422E6" w:rsidRDefault="00D1021C" w:rsidP="00340019">
          <w:pPr>
            <w:pStyle w:val="TOC1"/>
            <w:rPr>
              <w:rFonts w:asciiTheme="minorHAnsi" w:eastAsiaTheme="minorEastAsia" w:hAnsiTheme="minorHAnsi"/>
              <w:noProof/>
              <w:sz w:val="22"/>
            </w:rPr>
          </w:pPr>
          <w:r w:rsidRPr="00D1021C">
            <w:rPr>
              <w:rStyle w:val="Hyperlink"/>
              <w:noProof/>
              <w:u w:val="none"/>
            </w:rPr>
            <w:t xml:space="preserve">            </w:t>
          </w:r>
          <w:hyperlink w:anchor="_Toc117512559" w:history="1">
            <w:r w:rsidR="008F5159" w:rsidRPr="00F422E6">
              <w:rPr>
                <w:rStyle w:val="Hyperlink"/>
                <w:noProof/>
              </w:rPr>
              <w:t xml:space="preserve">15.25A </w:t>
            </w:r>
            <w:r w:rsidR="008F5159" w:rsidRPr="00F422E6">
              <w:rPr>
                <w:rStyle w:val="Hyperlink"/>
                <w:rFonts w:cs="Times New Roman"/>
                <w:noProof/>
              </w:rPr>
              <w:t>Defenses—First Sale</w:t>
            </w:r>
            <w:r w:rsidR="008F5159" w:rsidRPr="00F422E6">
              <w:rPr>
                <w:noProof/>
                <w:webHidden/>
              </w:rPr>
              <w:tab/>
            </w:r>
            <w:r w:rsidR="008F5159" w:rsidRPr="00F422E6">
              <w:rPr>
                <w:noProof/>
                <w:webHidden/>
              </w:rPr>
              <w:fldChar w:fldCharType="begin"/>
            </w:r>
            <w:r w:rsidR="008F5159" w:rsidRPr="00F422E6">
              <w:rPr>
                <w:noProof/>
                <w:webHidden/>
              </w:rPr>
              <w:instrText xml:space="preserve"> PAGEREF _Toc117512559 \h </w:instrText>
            </w:r>
            <w:r w:rsidR="008F5159" w:rsidRPr="00F422E6">
              <w:rPr>
                <w:noProof/>
                <w:webHidden/>
              </w:rPr>
            </w:r>
            <w:r w:rsidR="008F5159" w:rsidRPr="00F422E6">
              <w:rPr>
                <w:noProof/>
                <w:webHidden/>
              </w:rPr>
              <w:fldChar w:fldCharType="separate"/>
            </w:r>
            <w:r w:rsidR="008F5159" w:rsidRPr="00F422E6">
              <w:rPr>
                <w:noProof/>
                <w:webHidden/>
              </w:rPr>
              <w:t>385</w:t>
            </w:r>
            <w:r w:rsidR="008F5159" w:rsidRPr="00F422E6">
              <w:rPr>
                <w:noProof/>
                <w:webHidden/>
              </w:rPr>
              <w:fldChar w:fldCharType="end"/>
            </w:r>
          </w:hyperlink>
        </w:p>
        <w:p w14:paraId="1D34357A" w14:textId="77777777" w:rsidR="008F5159" w:rsidRPr="00F422E6" w:rsidRDefault="00703520" w:rsidP="00BC4302">
          <w:pPr>
            <w:pStyle w:val="TOC2"/>
            <w:spacing w:before="40" w:afterLines="40" w:after="96"/>
            <w:rPr>
              <w:rFonts w:asciiTheme="minorHAnsi" w:eastAsiaTheme="minorEastAsia" w:hAnsiTheme="minorHAnsi"/>
              <w:noProof/>
              <w:sz w:val="22"/>
            </w:rPr>
          </w:pPr>
          <w:hyperlink w:anchor="_Toc117512560" w:history="1">
            <w:r w:rsidR="008F5159" w:rsidRPr="00F422E6">
              <w:rPr>
                <w:rStyle w:val="Hyperlink"/>
                <w:rFonts w:cs="Times New Roman"/>
                <w:noProof/>
              </w:rPr>
              <w:t>15.26 Trademark Damages—Actual or Statutory Notice (15 U.S.C. § 1111)</w:t>
            </w:r>
            <w:r w:rsidR="008F5159" w:rsidRPr="00F422E6">
              <w:rPr>
                <w:noProof/>
                <w:webHidden/>
              </w:rPr>
              <w:tab/>
            </w:r>
            <w:r w:rsidR="008F5159" w:rsidRPr="00F422E6">
              <w:rPr>
                <w:noProof/>
                <w:webHidden/>
              </w:rPr>
              <w:fldChar w:fldCharType="begin"/>
            </w:r>
            <w:r w:rsidR="008F5159" w:rsidRPr="00F422E6">
              <w:rPr>
                <w:noProof/>
                <w:webHidden/>
              </w:rPr>
              <w:instrText xml:space="preserve"> PAGEREF _Toc117512560 \h </w:instrText>
            </w:r>
            <w:r w:rsidR="008F5159" w:rsidRPr="00F422E6">
              <w:rPr>
                <w:noProof/>
                <w:webHidden/>
              </w:rPr>
            </w:r>
            <w:r w:rsidR="008F5159" w:rsidRPr="00F422E6">
              <w:rPr>
                <w:noProof/>
                <w:webHidden/>
              </w:rPr>
              <w:fldChar w:fldCharType="separate"/>
            </w:r>
            <w:r w:rsidR="008F5159" w:rsidRPr="00F422E6">
              <w:rPr>
                <w:noProof/>
                <w:webHidden/>
              </w:rPr>
              <w:t>387</w:t>
            </w:r>
            <w:r w:rsidR="008F5159" w:rsidRPr="00F422E6">
              <w:rPr>
                <w:noProof/>
                <w:webHidden/>
              </w:rPr>
              <w:fldChar w:fldCharType="end"/>
            </w:r>
          </w:hyperlink>
        </w:p>
        <w:p w14:paraId="76F45764" w14:textId="77777777" w:rsidR="008F5159" w:rsidRDefault="00703520" w:rsidP="00BC4302">
          <w:pPr>
            <w:pStyle w:val="TOC2"/>
            <w:spacing w:before="40" w:afterLines="40" w:after="96"/>
            <w:rPr>
              <w:rFonts w:asciiTheme="minorHAnsi" w:eastAsiaTheme="minorEastAsia" w:hAnsiTheme="minorHAnsi"/>
              <w:noProof/>
              <w:sz w:val="22"/>
            </w:rPr>
          </w:pPr>
          <w:hyperlink w:anchor="_Toc117512561" w:history="1">
            <w:r w:rsidR="008F5159" w:rsidRPr="00F86CA9">
              <w:rPr>
                <w:rStyle w:val="Hyperlink"/>
                <w:noProof/>
              </w:rPr>
              <w:t>15.27 Trademark Damages—Plaintiff’s Actual Damages (15 U.S.C. § 1117(a))</w:t>
            </w:r>
            <w:r w:rsidR="008F5159">
              <w:rPr>
                <w:noProof/>
                <w:webHidden/>
              </w:rPr>
              <w:tab/>
            </w:r>
            <w:r w:rsidR="008F5159">
              <w:rPr>
                <w:noProof/>
                <w:webHidden/>
              </w:rPr>
              <w:fldChar w:fldCharType="begin"/>
            </w:r>
            <w:r w:rsidR="008F5159">
              <w:rPr>
                <w:noProof/>
                <w:webHidden/>
              </w:rPr>
              <w:instrText xml:space="preserve"> PAGEREF _Toc117512561 \h </w:instrText>
            </w:r>
            <w:r w:rsidR="008F5159">
              <w:rPr>
                <w:noProof/>
                <w:webHidden/>
              </w:rPr>
            </w:r>
            <w:r w:rsidR="008F5159">
              <w:rPr>
                <w:noProof/>
                <w:webHidden/>
              </w:rPr>
              <w:fldChar w:fldCharType="separate"/>
            </w:r>
            <w:r w:rsidR="008F5159">
              <w:rPr>
                <w:noProof/>
                <w:webHidden/>
              </w:rPr>
              <w:t>388</w:t>
            </w:r>
            <w:r w:rsidR="008F5159">
              <w:rPr>
                <w:noProof/>
                <w:webHidden/>
              </w:rPr>
              <w:fldChar w:fldCharType="end"/>
            </w:r>
          </w:hyperlink>
        </w:p>
        <w:p w14:paraId="5053BC4E" w14:textId="0F6C5E74" w:rsidR="008F5159" w:rsidRDefault="00703520" w:rsidP="00BC4302">
          <w:pPr>
            <w:pStyle w:val="TOC2"/>
            <w:spacing w:before="40" w:afterLines="40" w:after="96"/>
            <w:rPr>
              <w:rFonts w:asciiTheme="minorHAnsi" w:eastAsiaTheme="minorEastAsia" w:hAnsiTheme="minorHAnsi"/>
              <w:noProof/>
              <w:sz w:val="22"/>
            </w:rPr>
          </w:pPr>
          <w:hyperlink w:anchor="_Toc117512562" w:history="1">
            <w:r w:rsidR="008F5159" w:rsidRPr="00F86CA9">
              <w:rPr>
                <w:rStyle w:val="Hyperlink"/>
                <w:noProof/>
              </w:rPr>
              <w:t>15.28 Trademark Damages—Plaintiff’s Statutory Damages</w:t>
            </w:r>
          </w:hyperlink>
          <w:r w:rsidR="00D1021C">
            <w:rPr>
              <w:rStyle w:val="Hyperlink"/>
              <w:noProof/>
            </w:rPr>
            <w:t xml:space="preserve"> </w:t>
          </w:r>
          <w:hyperlink w:anchor="_Toc117512563" w:history="1">
            <w:r w:rsidR="008F5159" w:rsidRPr="00F86CA9">
              <w:rPr>
                <w:rStyle w:val="Hyperlink"/>
                <w:noProof/>
              </w:rPr>
              <w:t>(15 U.S.C. § 1117(c) and (d))</w:t>
            </w:r>
            <w:r w:rsidR="008F5159">
              <w:rPr>
                <w:noProof/>
                <w:webHidden/>
              </w:rPr>
              <w:tab/>
            </w:r>
            <w:r w:rsidR="008F5159">
              <w:rPr>
                <w:noProof/>
                <w:webHidden/>
              </w:rPr>
              <w:fldChar w:fldCharType="begin"/>
            </w:r>
            <w:r w:rsidR="008F5159">
              <w:rPr>
                <w:noProof/>
                <w:webHidden/>
              </w:rPr>
              <w:instrText xml:space="preserve"> PAGEREF _Toc117512563 \h </w:instrText>
            </w:r>
            <w:r w:rsidR="008F5159">
              <w:rPr>
                <w:noProof/>
                <w:webHidden/>
              </w:rPr>
            </w:r>
            <w:r w:rsidR="008F5159">
              <w:rPr>
                <w:noProof/>
                <w:webHidden/>
              </w:rPr>
              <w:fldChar w:fldCharType="separate"/>
            </w:r>
            <w:r w:rsidR="008F5159">
              <w:rPr>
                <w:noProof/>
                <w:webHidden/>
              </w:rPr>
              <w:t>390</w:t>
            </w:r>
            <w:r w:rsidR="008F5159">
              <w:rPr>
                <w:noProof/>
                <w:webHidden/>
              </w:rPr>
              <w:fldChar w:fldCharType="end"/>
            </w:r>
          </w:hyperlink>
        </w:p>
        <w:p w14:paraId="41011721" w14:textId="0FC47618" w:rsidR="008F5159" w:rsidRDefault="00703520" w:rsidP="00BC4302">
          <w:pPr>
            <w:pStyle w:val="TOC2"/>
            <w:spacing w:before="40" w:afterLines="40" w:after="96"/>
            <w:rPr>
              <w:rFonts w:asciiTheme="minorHAnsi" w:eastAsiaTheme="minorEastAsia" w:hAnsiTheme="minorHAnsi"/>
              <w:noProof/>
              <w:sz w:val="22"/>
            </w:rPr>
          </w:pPr>
          <w:hyperlink w:anchor="_Toc117512564" w:history="1">
            <w:r w:rsidR="008F5159" w:rsidRPr="00F86CA9">
              <w:rPr>
                <w:rStyle w:val="Hyperlink"/>
                <w:noProof/>
              </w:rPr>
              <w:t>15.29 Trademark Damages—Defendant’s Profits</w:t>
            </w:r>
          </w:hyperlink>
          <w:r w:rsidR="00D1021C">
            <w:rPr>
              <w:rStyle w:val="Hyperlink"/>
              <w:noProof/>
            </w:rPr>
            <w:t xml:space="preserve"> </w:t>
          </w:r>
          <w:hyperlink w:anchor="_Toc117512565" w:history="1">
            <w:r w:rsidR="008F5159" w:rsidRPr="00F86CA9">
              <w:rPr>
                <w:rStyle w:val="Hyperlink"/>
                <w:noProof/>
              </w:rPr>
              <w:t>(15 U.S.C. § 1117(a))</w:t>
            </w:r>
            <w:r w:rsidR="008F5159">
              <w:rPr>
                <w:noProof/>
                <w:webHidden/>
              </w:rPr>
              <w:tab/>
            </w:r>
            <w:r w:rsidR="008F5159">
              <w:rPr>
                <w:noProof/>
                <w:webHidden/>
              </w:rPr>
              <w:fldChar w:fldCharType="begin"/>
            </w:r>
            <w:r w:rsidR="008F5159">
              <w:rPr>
                <w:noProof/>
                <w:webHidden/>
              </w:rPr>
              <w:instrText xml:space="preserve"> PAGEREF _Toc117512565 \h </w:instrText>
            </w:r>
            <w:r w:rsidR="008F5159">
              <w:rPr>
                <w:noProof/>
                <w:webHidden/>
              </w:rPr>
            </w:r>
            <w:r w:rsidR="008F5159">
              <w:rPr>
                <w:noProof/>
                <w:webHidden/>
              </w:rPr>
              <w:fldChar w:fldCharType="separate"/>
            </w:r>
            <w:r w:rsidR="008F5159">
              <w:rPr>
                <w:noProof/>
                <w:webHidden/>
              </w:rPr>
              <w:t>391</w:t>
            </w:r>
            <w:r w:rsidR="008F5159">
              <w:rPr>
                <w:noProof/>
                <w:webHidden/>
              </w:rPr>
              <w:fldChar w:fldCharType="end"/>
            </w:r>
          </w:hyperlink>
        </w:p>
        <w:p w14:paraId="1576065F" w14:textId="5FAA2D36" w:rsidR="008F5159" w:rsidRDefault="00703520" w:rsidP="00BC4302">
          <w:pPr>
            <w:pStyle w:val="TOC2"/>
            <w:spacing w:before="40" w:afterLines="40" w:after="96"/>
            <w:rPr>
              <w:rFonts w:asciiTheme="minorHAnsi" w:eastAsiaTheme="minorEastAsia" w:hAnsiTheme="minorHAnsi"/>
              <w:noProof/>
              <w:sz w:val="22"/>
            </w:rPr>
          </w:pPr>
          <w:hyperlink w:anchor="_Toc117512566" w:history="1">
            <w:r w:rsidR="008F5159" w:rsidRPr="00F86CA9">
              <w:rPr>
                <w:rStyle w:val="Hyperlink"/>
                <w:noProof/>
              </w:rPr>
              <w:t>15.30 Trademark Dilution</w:t>
            </w:r>
          </w:hyperlink>
          <w:r w:rsidR="00D1021C">
            <w:rPr>
              <w:rStyle w:val="Hyperlink"/>
              <w:noProof/>
            </w:rPr>
            <w:t xml:space="preserve"> </w:t>
          </w:r>
          <w:hyperlink w:anchor="_Toc117512567" w:history="1">
            <w:r w:rsidR="008F5159" w:rsidRPr="00F86CA9">
              <w:rPr>
                <w:rStyle w:val="Hyperlink"/>
                <w:noProof/>
              </w:rPr>
              <w:t>(15 U.S.C. § 1125(c))</w:t>
            </w:r>
            <w:r w:rsidR="008F5159">
              <w:rPr>
                <w:noProof/>
                <w:webHidden/>
              </w:rPr>
              <w:tab/>
            </w:r>
            <w:r w:rsidR="008F5159">
              <w:rPr>
                <w:noProof/>
                <w:webHidden/>
              </w:rPr>
              <w:fldChar w:fldCharType="begin"/>
            </w:r>
            <w:r w:rsidR="008F5159">
              <w:rPr>
                <w:noProof/>
                <w:webHidden/>
              </w:rPr>
              <w:instrText xml:space="preserve"> PAGEREF _Toc117512567 \h </w:instrText>
            </w:r>
            <w:r w:rsidR="008F5159">
              <w:rPr>
                <w:noProof/>
                <w:webHidden/>
              </w:rPr>
            </w:r>
            <w:r w:rsidR="008F5159">
              <w:rPr>
                <w:noProof/>
                <w:webHidden/>
              </w:rPr>
              <w:fldChar w:fldCharType="separate"/>
            </w:r>
            <w:r w:rsidR="008F5159">
              <w:rPr>
                <w:noProof/>
                <w:webHidden/>
              </w:rPr>
              <w:t>393</w:t>
            </w:r>
            <w:r w:rsidR="008F5159">
              <w:rPr>
                <w:noProof/>
                <w:webHidden/>
              </w:rPr>
              <w:fldChar w:fldCharType="end"/>
            </w:r>
          </w:hyperlink>
        </w:p>
        <w:p w14:paraId="6BC48B1A" w14:textId="58FD6DD2" w:rsidR="008F5159" w:rsidRDefault="00703520" w:rsidP="00BC4302">
          <w:pPr>
            <w:pStyle w:val="TOC2"/>
            <w:spacing w:before="40" w:afterLines="40" w:after="96"/>
            <w:rPr>
              <w:rFonts w:asciiTheme="minorHAnsi" w:eastAsiaTheme="minorEastAsia" w:hAnsiTheme="minorHAnsi"/>
              <w:noProof/>
              <w:sz w:val="22"/>
            </w:rPr>
          </w:pPr>
          <w:hyperlink w:anchor="_Toc117512568" w:history="1">
            <w:r w:rsidR="008F5159" w:rsidRPr="00F86CA9">
              <w:rPr>
                <w:rStyle w:val="Hyperlink"/>
                <w:noProof/>
              </w:rPr>
              <w:t>15.31 Anti-Cybersquatting</w:t>
            </w:r>
          </w:hyperlink>
          <w:r w:rsidR="00D1021C">
            <w:rPr>
              <w:rStyle w:val="Hyperlink"/>
              <w:noProof/>
            </w:rPr>
            <w:t xml:space="preserve"> </w:t>
          </w:r>
          <w:hyperlink w:anchor="_Toc117512569" w:history="1">
            <w:r w:rsidR="008F5159" w:rsidRPr="00F86CA9">
              <w:rPr>
                <w:rStyle w:val="Hyperlink"/>
                <w:noProof/>
              </w:rPr>
              <w:t>(15 U.S.C. § 1125(d))</w:t>
            </w:r>
            <w:r w:rsidR="008F5159">
              <w:rPr>
                <w:noProof/>
                <w:webHidden/>
              </w:rPr>
              <w:tab/>
            </w:r>
            <w:r w:rsidR="008F5159">
              <w:rPr>
                <w:noProof/>
                <w:webHidden/>
              </w:rPr>
              <w:fldChar w:fldCharType="begin"/>
            </w:r>
            <w:r w:rsidR="008F5159">
              <w:rPr>
                <w:noProof/>
                <w:webHidden/>
              </w:rPr>
              <w:instrText xml:space="preserve"> PAGEREF _Toc117512569 \h </w:instrText>
            </w:r>
            <w:r w:rsidR="008F5159">
              <w:rPr>
                <w:noProof/>
                <w:webHidden/>
              </w:rPr>
            </w:r>
            <w:r w:rsidR="008F5159">
              <w:rPr>
                <w:noProof/>
                <w:webHidden/>
              </w:rPr>
              <w:fldChar w:fldCharType="separate"/>
            </w:r>
            <w:r w:rsidR="008F5159">
              <w:rPr>
                <w:noProof/>
                <w:webHidden/>
              </w:rPr>
              <w:t>394</w:t>
            </w:r>
            <w:r w:rsidR="008F5159">
              <w:rPr>
                <w:noProof/>
                <w:webHidden/>
              </w:rPr>
              <w:fldChar w:fldCharType="end"/>
            </w:r>
          </w:hyperlink>
        </w:p>
        <w:p w14:paraId="6E195E0D" w14:textId="77777777" w:rsidR="008F5159" w:rsidRDefault="00703520" w:rsidP="00340019">
          <w:pPr>
            <w:pStyle w:val="TOC1"/>
            <w:rPr>
              <w:rFonts w:asciiTheme="minorHAnsi" w:eastAsiaTheme="minorEastAsia" w:hAnsiTheme="minorHAnsi"/>
              <w:noProof/>
              <w:sz w:val="22"/>
            </w:rPr>
          </w:pPr>
          <w:hyperlink w:anchor="_Toc117512570" w:history="1">
            <w:r w:rsidR="008F5159" w:rsidRPr="00F86CA9">
              <w:rPr>
                <w:rStyle w:val="Hyperlink"/>
                <w:noProof/>
              </w:rPr>
              <w:t>16.  PATENTS</w:t>
            </w:r>
            <w:r w:rsidR="008F5159">
              <w:rPr>
                <w:noProof/>
                <w:webHidden/>
              </w:rPr>
              <w:tab/>
            </w:r>
            <w:r w:rsidR="008F5159">
              <w:rPr>
                <w:noProof/>
                <w:webHidden/>
              </w:rPr>
              <w:fldChar w:fldCharType="begin"/>
            </w:r>
            <w:r w:rsidR="008F5159">
              <w:rPr>
                <w:noProof/>
                <w:webHidden/>
              </w:rPr>
              <w:instrText xml:space="preserve"> PAGEREF _Toc117512570 \h </w:instrText>
            </w:r>
            <w:r w:rsidR="008F5159">
              <w:rPr>
                <w:noProof/>
                <w:webHidden/>
              </w:rPr>
            </w:r>
            <w:r w:rsidR="008F5159">
              <w:rPr>
                <w:noProof/>
                <w:webHidden/>
              </w:rPr>
              <w:fldChar w:fldCharType="separate"/>
            </w:r>
            <w:r w:rsidR="008F5159">
              <w:rPr>
                <w:noProof/>
                <w:webHidden/>
              </w:rPr>
              <w:t>395</w:t>
            </w:r>
            <w:r w:rsidR="008F5159">
              <w:rPr>
                <w:noProof/>
                <w:webHidden/>
              </w:rPr>
              <w:fldChar w:fldCharType="end"/>
            </w:r>
          </w:hyperlink>
        </w:p>
        <w:p w14:paraId="5E3A116E" w14:textId="77777777" w:rsidR="008F5159" w:rsidRDefault="00703520" w:rsidP="00340019">
          <w:pPr>
            <w:pStyle w:val="TOC1"/>
            <w:rPr>
              <w:rFonts w:asciiTheme="minorHAnsi" w:eastAsiaTheme="minorEastAsia" w:hAnsiTheme="minorHAnsi"/>
              <w:noProof/>
              <w:sz w:val="22"/>
            </w:rPr>
          </w:pPr>
          <w:hyperlink w:anchor="_Toc117512571" w:history="1">
            <w:r w:rsidR="008F5159" w:rsidRPr="00F86CA9">
              <w:rPr>
                <w:rStyle w:val="Hyperlink"/>
                <w:noProof/>
              </w:rPr>
              <w:t>17.  COPYRIGHT</w:t>
            </w:r>
            <w:r w:rsidR="008F5159">
              <w:rPr>
                <w:noProof/>
                <w:webHidden/>
              </w:rPr>
              <w:tab/>
            </w:r>
            <w:r w:rsidR="008F5159">
              <w:rPr>
                <w:noProof/>
                <w:webHidden/>
              </w:rPr>
              <w:fldChar w:fldCharType="begin"/>
            </w:r>
            <w:r w:rsidR="008F5159">
              <w:rPr>
                <w:noProof/>
                <w:webHidden/>
              </w:rPr>
              <w:instrText xml:space="preserve"> PAGEREF _Toc117512571 \h </w:instrText>
            </w:r>
            <w:r w:rsidR="008F5159">
              <w:rPr>
                <w:noProof/>
                <w:webHidden/>
              </w:rPr>
            </w:r>
            <w:r w:rsidR="008F5159">
              <w:rPr>
                <w:noProof/>
                <w:webHidden/>
              </w:rPr>
              <w:fldChar w:fldCharType="separate"/>
            </w:r>
            <w:r w:rsidR="008F5159">
              <w:rPr>
                <w:noProof/>
                <w:webHidden/>
              </w:rPr>
              <w:t>396</w:t>
            </w:r>
            <w:r w:rsidR="008F5159">
              <w:rPr>
                <w:noProof/>
                <w:webHidden/>
              </w:rPr>
              <w:fldChar w:fldCharType="end"/>
            </w:r>
          </w:hyperlink>
        </w:p>
        <w:p w14:paraId="74BB9AC6" w14:textId="77777777" w:rsidR="008F5159" w:rsidRDefault="00703520" w:rsidP="00BC4302">
          <w:pPr>
            <w:pStyle w:val="TOC2"/>
            <w:spacing w:before="40" w:afterLines="40" w:after="96"/>
            <w:rPr>
              <w:rFonts w:asciiTheme="minorHAnsi" w:eastAsiaTheme="minorEastAsia" w:hAnsiTheme="minorHAnsi"/>
              <w:noProof/>
              <w:sz w:val="22"/>
            </w:rPr>
          </w:pPr>
          <w:hyperlink w:anchor="_Toc117512572" w:history="1">
            <w:r w:rsidR="008F5159" w:rsidRPr="00F86CA9">
              <w:rPr>
                <w:rStyle w:val="Hyperlink"/>
                <w:noProof/>
              </w:rPr>
              <w:t>17.1 Preliminary Instruction—Copyright</w:t>
            </w:r>
            <w:r w:rsidR="008F5159">
              <w:rPr>
                <w:noProof/>
                <w:webHidden/>
              </w:rPr>
              <w:tab/>
            </w:r>
            <w:r w:rsidR="008F5159">
              <w:rPr>
                <w:noProof/>
                <w:webHidden/>
              </w:rPr>
              <w:fldChar w:fldCharType="begin"/>
            </w:r>
            <w:r w:rsidR="008F5159">
              <w:rPr>
                <w:noProof/>
                <w:webHidden/>
              </w:rPr>
              <w:instrText xml:space="preserve"> PAGEREF _Toc117512572 \h </w:instrText>
            </w:r>
            <w:r w:rsidR="008F5159">
              <w:rPr>
                <w:noProof/>
                <w:webHidden/>
              </w:rPr>
            </w:r>
            <w:r w:rsidR="008F5159">
              <w:rPr>
                <w:noProof/>
                <w:webHidden/>
              </w:rPr>
              <w:fldChar w:fldCharType="separate"/>
            </w:r>
            <w:r w:rsidR="008F5159">
              <w:rPr>
                <w:noProof/>
                <w:webHidden/>
              </w:rPr>
              <w:t>398</w:t>
            </w:r>
            <w:r w:rsidR="008F5159">
              <w:rPr>
                <w:noProof/>
                <w:webHidden/>
              </w:rPr>
              <w:fldChar w:fldCharType="end"/>
            </w:r>
          </w:hyperlink>
        </w:p>
        <w:p w14:paraId="5C2D9AC2" w14:textId="77777777" w:rsidR="008F5159" w:rsidRDefault="00703520" w:rsidP="00BC4302">
          <w:pPr>
            <w:pStyle w:val="TOC2"/>
            <w:spacing w:before="40" w:afterLines="40" w:after="96"/>
            <w:rPr>
              <w:rFonts w:asciiTheme="minorHAnsi" w:eastAsiaTheme="minorEastAsia" w:hAnsiTheme="minorHAnsi"/>
              <w:noProof/>
              <w:sz w:val="22"/>
            </w:rPr>
          </w:pPr>
          <w:hyperlink w:anchor="_Toc117512573" w:history="1">
            <w:r w:rsidR="008F5159" w:rsidRPr="00F86CA9">
              <w:rPr>
                <w:rStyle w:val="Hyperlink"/>
                <w:noProof/>
              </w:rPr>
              <w:t>17.2 Copyright—Defined (17 U.S.C. § 106)</w:t>
            </w:r>
            <w:r w:rsidR="008F5159">
              <w:rPr>
                <w:noProof/>
                <w:webHidden/>
              </w:rPr>
              <w:tab/>
            </w:r>
            <w:r w:rsidR="008F5159">
              <w:rPr>
                <w:noProof/>
                <w:webHidden/>
              </w:rPr>
              <w:fldChar w:fldCharType="begin"/>
            </w:r>
            <w:r w:rsidR="008F5159">
              <w:rPr>
                <w:noProof/>
                <w:webHidden/>
              </w:rPr>
              <w:instrText xml:space="preserve"> PAGEREF _Toc117512573 \h </w:instrText>
            </w:r>
            <w:r w:rsidR="008F5159">
              <w:rPr>
                <w:noProof/>
                <w:webHidden/>
              </w:rPr>
            </w:r>
            <w:r w:rsidR="008F5159">
              <w:rPr>
                <w:noProof/>
                <w:webHidden/>
              </w:rPr>
              <w:fldChar w:fldCharType="separate"/>
            </w:r>
            <w:r w:rsidR="008F5159">
              <w:rPr>
                <w:noProof/>
                <w:webHidden/>
              </w:rPr>
              <w:t>402</w:t>
            </w:r>
            <w:r w:rsidR="008F5159">
              <w:rPr>
                <w:noProof/>
                <w:webHidden/>
              </w:rPr>
              <w:fldChar w:fldCharType="end"/>
            </w:r>
          </w:hyperlink>
        </w:p>
        <w:p w14:paraId="5C96F5FE" w14:textId="77777777" w:rsidR="008F5159" w:rsidRDefault="00703520" w:rsidP="00BC4302">
          <w:pPr>
            <w:pStyle w:val="TOC2"/>
            <w:spacing w:before="40" w:afterLines="40" w:after="96"/>
            <w:rPr>
              <w:rFonts w:asciiTheme="minorHAnsi" w:eastAsiaTheme="minorEastAsia" w:hAnsiTheme="minorHAnsi"/>
              <w:noProof/>
              <w:sz w:val="22"/>
            </w:rPr>
          </w:pPr>
          <w:hyperlink w:anchor="_Toc117512574" w:history="1">
            <w:r w:rsidR="008F5159" w:rsidRPr="00F86CA9">
              <w:rPr>
                <w:rStyle w:val="Hyperlink"/>
                <w:noProof/>
              </w:rPr>
              <w:t>17.3 Copyright—Subject Matter—Generally (17 U.S.C. § 102)</w:t>
            </w:r>
            <w:r w:rsidR="008F5159">
              <w:rPr>
                <w:noProof/>
                <w:webHidden/>
              </w:rPr>
              <w:tab/>
            </w:r>
            <w:r w:rsidR="008F5159">
              <w:rPr>
                <w:noProof/>
                <w:webHidden/>
              </w:rPr>
              <w:fldChar w:fldCharType="begin"/>
            </w:r>
            <w:r w:rsidR="008F5159">
              <w:rPr>
                <w:noProof/>
                <w:webHidden/>
              </w:rPr>
              <w:instrText xml:space="preserve"> PAGEREF _Toc117512574 \h </w:instrText>
            </w:r>
            <w:r w:rsidR="008F5159">
              <w:rPr>
                <w:noProof/>
                <w:webHidden/>
              </w:rPr>
            </w:r>
            <w:r w:rsidR="008F5159">
              <w:rPr>
                <w:noProof/>
                <w:webHidden/>
              </w:rPr>
              <w:fldChar w:fldCharType="separate"/>
            </w:r>
            <w:r w:rsidR="008F5159">
              <w:rPr>
                <w:noProof/>
                <w:webHidden/>
              </w:rPr>
              <w:t>403</w:t>
            </w:r>
            <w:r w:rsidR="008F5159">
              <w:rPr>
                <w:noProof/>
                <w:webHidden/>
              </w:rPr>
              <w:fldChar w:fldCharType="end"/>
            </w:r>
          </w:hyperlink>
        </w:p>
        <w:p w14:paraId="7CC49CEB" w14:textId="6A8BB1F4" w:rsidR="008F5159" w:rsidRDefault="00703520" w:rsidP="00BC4302">
          <w:pPr>
            <w:pStyle w:val="TOC2"/>
            <w:spacing w:before="40" w:afterLines="40" w:after="96"/>
            <w:rPr>
              <w:rFonts w:asciiTheme="minorHAnsi" w:eastAsiaTheme="minorEastAsia" w:hAnsiTheme="minorHAnsi"/>
              <w:noProof/>
              <w:sz w:val="22"/>
            </w:rPr>
          </w:pPr>
          <w:hyperlink w:anchor="_Toc117512575" w:history="1">
            <w:r w:rsidR="008F5159" w:rsidRPr="00F86CA9">
              <w:rPr>
                <w:rStyle w:val="Hyperlink"/>
                <w:noProof/>
              </w:rPr>
              <w:t>17.4 Copyright—Subject Matter—Ideas and Expression</w:t>
            </w:r>
          </w:hyperlink>
          <w:r w:rsidR="00D1021C">
            <w:rPr>
              <w:rStyle w:val="Hyperlink"/>
              <w:noProof/>
            </w:rPr>
            <w:t xml:space="preserve"> </w:t>
          </w:r>
          <w:hyperlink w:anchor="_Toc117512576" w:history="1">
            <w:r w:rsidR="008F5159" w:rsidRPr="00F86CA9">
              <w:rPr>
                <w:rStyle w:val="Hyperlink"/>
                <w:noProof/>
              </w:rPr>
              <w:t>(17 U.S.C. § 102(b))</w:t>
            </w:r>
            <w:r w:rsidR="008F5159">
              <w:rPr>
                <w:noProof/>
                <w:webHidden/>
              </w:rPr>
              <w:tab/>
            </w:r>
            <w:r w:rsidR="008F5159">
              <w:rPr>
                <w:noProof/>
                <w:webHidden/>
              </w:rPr>
              <w:fldChar w:fldCharType="begin"/>
            </w:r>
            <w:r w:rsidR="008F5159">
              <w:rPr>
                <w:noProof/>
                <w:webHidden/>
              </w:rPr>
              <w:instrText xml:space="preserve"> PAGEREF _Toc117512576 \h </w:instrText>
            </w:r>
            <w:r w:rsidR="008F5159">
              <w:rPr>
                <w:noProof/>
                <w:webHidden/>
              </w:rPr>
            </w:r>
            <w:r w:rsidR="008F5159">
              <w:rPr>
                <w:noProof/>
                <w:webHidden/>
              </w:rPr>
              <w:fldChar w:fldCharType="separate"/>
            </w:r>
            <w:r w:rsidR="008F5159">
              <w:rPr>
                <w:noProof/>
                <w:webHidden/>
              </w:rPr>
              <w:t>405</w:t>
            </w:r>
            <w:r w:rsidR="008F5159">
              <w:rPr>
                <w:noProof/>
                <w:webHidden/>
              </w:rPr>
              <w:fldChar w:fldCharType="end"/>
            </w:r>
          </w:hyperlink>
        </w:p>
        <w:p w14:paraId="241C3E6E" w14:textId="22A04D81" w:rsidR="008F5159" w:rsidRDefault="00703520" w:rsidP="00BC4302">
          <w:pPr>
            <w:pStyle w:val="TOC2"/>
            <w:spacing w:before="40" w:afterLines="40" w:after="96"/>
            <w:rPr>
              <w:rFonts w:asciiTheme="minorHAnsi" w:eastAsiaTheme="minorEastAsia" w:hAnsiTheme="minorHAnsi"/>
              <w:noProof/>
              <w:sz w:val="22"/>
            </w:rPr>
          </w:pPr>
          <w:hyperlink w:anchor="_Toc117512577" w:history="1">
            <w:r w:rsidR="008F5159" w:rsidRPr="00F86CA9">
              <w:rPr>
                <w:rStyle w:val="Hyperlink"/>
                <w:noProof/>
              </w:rPr>
              <w:t>17.5 Copyright Infringement—Elements—Ownership and Copying</w:t>
            </w:r>
          </w:hyperlink>
          <w:r w:rsidR="00D1021C">
            <w:rPr>
              <w:rStyle w:val="Hyperlink"/>
              <w:noProof/>
            </w:rPr>
            <w:t xml:space="preserve"> </w:t>
          </w:r>
          <w:hyperlink w:anchor="_Toc117512578" w:history="1">
            <w:r w:rsidR="008F5159" w:rsidRPr="00F86CA9">
              <w:rPr>
                <w:rStyle w:val="Hyperlink"/>
                <w:noProof/>
              </w:rPr>
              <w:t>(17 U.S.C. § 501(a)–(b))</w:t>
            </w:r>
            <w:r w:rsidR="008F5159">
              <w:rPr>
                <w:noProof/>
                <w:webHidden/>
              </w:rPr>
              <w:tab/>
            </w:r>
            <w:r w:rsidR="008F5159">
              <w:rPr>
                <w:noProof/>
                <w:webHidden/>
              </w:rPr>
              <w:fldChar w:fldCharType="begin"/>
            </w:r>
            <w:r w:rsidR="008F5159">
              <w:rPr>
                <w:noProof/>
                <w:webHidden/>
              </w:rPr>
              <w:instrText xml:space="preserve"> PAGEREF _Toc117512578 \h </w:instrText>
            </w:r>
            <w:r w:rsidR="008F5159">
              <w:rPr>
                <w:noProof/>
                <w:webHidden/>
              </w:rPr>
            </w:r>
            <w:r w:rsidR="008F5159">
              <w:rPr>
                <w:noProof/>
                <w:webHidden/>
              </w:rPr>
              <w:fldChar w:fldCharType="separate"/>
            </w:r>
            <w:r w:rsidR="008F5159">
              <w:rPr>
                <w:noProof/>
                <w:webHidden/>
              </w:rPr>
              <w:t>406</w:t>
            </w:r>
            <w:r w:rsidR="008F5159">
              <w:rPr>
                <w:noProof/>
                <w:webHidden/>
              </w:rPr>
              <w:fldChar w:fldCharType="end"/>
            </w:r>
          </w:hyperlink>
        </w:p>
        <w:p w14:paraId="44E2BEF7" w14:textId="74978565" w:rsidR="008F5159" w:rsidRDefault="00703520" w:rsidP="00BC4302">
          <w:pPr>
            <w:pStyle w:val="TOC2"/>
            <w:spacing w:before="40" w:afterLines="40" w:after="96"/>
            <w:rPr>
              <w:rFonts w:asciiTheme="minorHAnsi" w:eastAsiaTheme="minorEastAsia" w:hAnsiTheme="minorHAnsi"/>
              <w:noProof/>
              <w:sz w:val="22"/>
            </w:rPr>
          </w:pPr>
          <w:hyperlink w:anchor="_Toc117512579" w:history="1">
            <w:r w:rsidR="008F5159" w:rsidRPr="00F86CA9">
              <w:rPr>
                <w:rStyle w:val="Hyperlink"/>
                <w:noProof/>
              </w:rPr>
              <w:t>17.6 Copyright Infringement—Ownership of Valid Copyright—Definition</w:t>
            </w:r>
          </w:hyperlink>
          <w:r w:rsidR="00D1021C">
            <w:rPr>
              <w:rStyle w:val="Hyperlink"/>
              <w:noProof/>
            </w:rPr>
            <w:t xml:space="preserve"> </w:t>
          </w:r>
          <w:hyperlink w:anchor="_Toc117512580" w:history="1">
            <w:r w:rsidR="008F5159" w:rsidRPr="00F86CA9">
              <w:rPr>
                <w:rStyle w:val="Hyperlink"/>
                <w:noProof/>
              </w:rPr>
              <w:t>(17 U.S.C. §§ 201–205)</w:t>
            </w:r>
            <w:r w:rsidR="008F5159">
              <w:rPr>
                <w:noProof/>
                <w:webHidden/>
              </w:rPr>
              <w:tab/>
            </w:r>
            <w:r w:rsidR="008F5159">
              <w:rPr>
                <w:noProof/>
                <w:webHidden/>
              </w:rPr>
              <w:fldChar w:fldCharType="begin"/>
            </w:r>
            <w:r w:rsidR="008F5159">
              <w:rPr>
                <w:noProof/>
                <w:webHidden/>
              </w:rPr>
              <w:instrText xml:space="preserve"> PAGEREF _Toc117512580 \h </w:instrText>
            </w:r>
            <w:r w:rsidR="008F5159">
              <w:rPr>
                <w:noProof/>
                <w:webHidden/>
              </w:rPr>
            </w:r>
            <w:r w:rsidR="008F5159">
              <w:rPr>
                <w:noProof/>
                <w:webHidden/>
              </w:rPr>
              <w:fldChar w:fldCharType="separate"/>
            </w:r>
            <w:r w:rsidR="008F5159">
              <w:rPr>
                <w:noProof/>
                <w:webHidden/>
              </w:rPr>
              <w:t>408</w:t>
            </w:r>
            <w:r w:rsidR="008F5159">
              <w:rPr>
                <w:noProof/>
                <w:webHidden/>
              </w:rPr>
              <w:fldChar w:fldCharType="end"/>
            </w:r>
          </w:hyperlink>
        </w:p>
        <w:p w14:paraId="2055957B" w14:textId="47EFC5CF" w:rsidR="008F5159" w:rsidRDefault="00703520" w:rsidP="00BC4302">
          <w:pPr>
            <w:pStyle w:val="TOC2"/>
            <w:spacing w:before="40" w:afterLines="40" w:after="96"/>
            <w:rPr>
              <w:rFonts w:asciiTheme="minorHAnsi" w:eastAsiaTheme="minorEastAsia" w:hAnsiTheme="minorHAnsi"/>
              <w:noProof/>
              <w:sz w:val="22"/>
            </w:rPr>
          </w:pPr>
          <w:hyperlink w:anchor="_Toc117512581" w:history="1">
            <w:r w:rsidR="008F5159" w:rsidRPr="00F86CA9">
              <w:rPr>
                <w:rStyle w:val="Hyperlink"/>
                <w:noProof/>
              </w:rPr>
              <w:t>17.7 Copyright Infringement—Copyright Registration Certificate</w:t>
            </w:r>
          </w:hyperlink>
          <w:r w:rsidR="00D1021C">
            <w:rPr>
              <w:rStyle w:val="Hyperlink"/>
              <w:noProof/>
            </w:rPr>
            <w:t xml:space="preserve"> </w:t>
          </w:r>
          <w:hyperlink w:anchor="_Toc117512582" w:history="1">
            <w:r w:rsidR="008F5159" w:rsidRPr="00F86CA9">
              <w:rPr>
                <w:rStyle w:val="Hyperlink"/>
                <w:noProof/>
              </w:rPr>
              <w:t>(17 U.S.C. § 410(c))</w:t>
            </w:r>
            <w:r w:rsidR="008F5159">
              <w:rPr>
                <w:noProof/>
                <w:webHidden/>
              </w:rPr>
              <w:tab/>
            </w:r>
            <w:r w:rsidR="008F5159">
              <w:rPr>
                <w:noProof/>
                <w:webHidden/>
              </w:rPr>
              <w:fldChar w:fldCharType="begin"/>
            </w:r>
            <w:r w:rsidR="008F5159">
              <w:rPr>
                <w:noProof/>
                <w:webHidden/>
              </w:rPr>
              <w:instrText xml:space="preserve"> PAGEREF _Toc117512582 \h </w:instrText>
            </w:r>
            <w:r w:rsidR="008F5159">
              <w:rPr>
                <w:noProof/>
                <w:webHidden/>
              </w:rPr>
            </w:r>
            <w:r w:rsidR="008F5159">
              <w:rPr>
                <w:noProof/>
                <w:webHidden/>
              </w:rPr>
              <w:fldChar w:fldCharType="separate"/>
            </w:r>
            <w:r w:rsidR="008F5159">
              <w:rPr>
                <w:noProof/>
                <w:webHidden/>
              </w:rPr>
              <w:t>409</w:t>
            </w:r>
            <w:r w:rsidR="008F5159">
              <w:rPr>
                <w:noProof/>
                <w:webHidden/>
              </w:rPr>
              <w:fldChar w:fldCharType="end"/>
            </w:r>
          </w:hyperlink>
        </w:p>
        <w:p w14:paraId="56053B00" w14:textId="10D96FC8" w:rsidR="008F5159" w:rsidRDefault="00703520" w:rsidP="00BC4302">
          <w:pPr>
            <w:pStyle w:val="TOC2"/>
            <w:spacing w:before="40" w:afterLines="40" w:after="96"/>
            <w:rPr>
              <w:rFonts w:asciiTheme="minorHAnsi" w:eastAsiaTheme="minorEastAsia" w:hAnsiTheme="minorHAnsi"/>
              <w:noProof/>
              <w:sz w:val="22"/>
            </w:rPr>
          </w:pPr>
          <w:hyperlink w:anchor="_Toc117512583" w:history="1">
            <w:r w:rsidR="008F5159" w:rsidRPr="00F86CA9">
              <w:rPr>
                <w:rStyle w:val="Hyperlink"/>
                <w:noProof/>
              </w:rPr>
              <w:t>17.8 Copyright Interests—Authorship</w:t>
            </w:r>
          </w:hyperlink>
          <w:r w:rsidR="00D1021C">
            <w:rPr>
              <w:rStyle w:val="Hyperlink"/>
              <w:noProof/>
            </w:rPr>
            <w:t xml:space="preserve"> </w:t>
          </w:r>
          <w:hyperlink w:anchor="_Toc117512584" w:history="1">
            <w:r w:rsidR="008F5159" w:rsidRPr="00F86CA9">
              <w:rPr>
                <w:rStyle w:val="Hyperlink"/>
                <w:noProof/>
              </w:rPr>
              <w:t>(17 U.S.C. § 201(a))</w:t>
            </w:r>
            <w:r w:rsidR="008F5159">
              <w:rPr>
                <w:noProof/>
                <w:webHidden/>
              </w:rPr>
              <w:tab/>
            </w:r>
            <w:r w:rsidR="008F5159">
              <w:rPr>
                <w:noProof/>
                <w:webHidden/>
              </w:rPr>
              <w:fldChar w:fldCharType="begin"/>
            </w:r>
            <w:r w:rsidR="008F5159">
              <w:rPr>
                <w:noProof/>
                <w:webHidden/>
              </w:rPr>
              <w:instrText xml:space="preserve"> PAGEREF _Toc117512584 \h </w:instrText>
            </w:r>
            <w:r w:rsidR="008F5159">
              <w:rPr>
                <w:noProof/>
                <w:webHidden/>
              </w:rPr>
            </w:r>
            <w:r w:rsidR="008F5159">
              <w:rPr>
                <w:noProof/>
                <w:webHidden/>
              </w:rPr>
              <w:fldChar w:fldCharType="separate"/>
            </w:r>
            <w:r w:rsidR="008F5159">
              <w:rPr>
                <w:noProof/>
                <w:webHidden/>
              </w:rPr>
              <w:t>411</w:t>
            </w:r>
            <w:r w:rsidR="008F5159">
              <w:rPr>
                <w:noProof/>
                <w:webHidden/>
              </w:rPr>
              <w:fldChar w:fldCharType="end"/>
            </w:r>
          </w:hyperlink>
        </w:p>
        <w:p w14:paraId="42A412AF" w14:textId="5CAE435F" w:rsidR="008F5159" w:rsidRDefault="00703520" w:rsidP="00BC4302">
          <w:pPr>
            <w:pStyle w:val="TOC2"/>
            <w:spacing w:before="40" w:afterLines="40" w:after="96"/>
            <w:rPr>
              <w:rFonts w:asciiTheme="minorHAnsi" w:eastAsiaTheme="minorEastAsia" w:hAnsiTheme="minorHAnsi"/>
              <w:noProof/>
              <w:sz w:val="22"/>
            </w:rPr>
          </w:pPr>
          <w:hyperlink w:anchor="_Toc117512585" w:history="1">
            <w:r w:rsidR="008F5159" w:rsidRPr="00F86CA9">
              <w:rPr>
                <w:rStyle w:val="Hyperlink"/>
                <w:noProof/>
              </w:rPr>
              <w:t>17.9 Copyright Interests— Joint Authors</w:t>
            </w:r>
          </w:hyperlink>
          <w:r w:rsidR="00D1021C">
            <w:rPr>
              <w:rStyle w:val="Hyperlink"/>
              <w:noProof/>
            </w:rPr>
            <w:t xml:space="preserve"> </w:t>
          </w:r>
          <w:hyperlink w:anchor="_Toc117512586" w:history="1">
            <w:r w:rsidR="008F5159" w:rsidRPr="00F86CA9">
              <w:rPr>
                <w:rStyle w:val="Hyperlink"/>
                <w:noProof/>
              </w:rPr>
              <w:t>(17 U.S.C. §§ 101, 201(a))</w:t>
            </w:r>
            <w:r w:rsidR="008F5159">
              <w:rPr>
                <w:noProof/>
                <w:webHidden/>
              </w:rPr>
              <w:tab/>
            </w:r>
            <w:r w:rsidR="008F5159">
              <w:rPr>
                <w:noProof/>
                <w:webHidden/>
              </w:rPr>
              <w:fldChar w:fldCharType="begin"/>
            </w:r>
            <w:r w:rsidR="008F5159">
              <w:rPr>
                <w:noProof/>
                <w:webHidden/>
              </w:rPr>
              <w:instrText xml:space="preserve"> PAGEREF _Toc117512586 \h </w:instrText>
            </w:r>
            <w:r w:rsidR="008F5159">
              <w:rPr>
                <w:noProof/>
                <w:webHidden/>
              </w:rPr>
            </w:r>
            <w:r w:rsidR="008F5159">
              <w:rPr>
                <w:noProof/>
                <w:webHidden/>
              </w:rPr>
              <w:fldChar w:fldCharType="separate"/>
            </w:r>
            <w:r w:rsidR="008F5159">
              <w:rPr>
                <w:noProof/>
                <w:webHidden/>
              </w:rPr>
              <w:t>412</w:t>
            </w:r>
            <w:r w:rsidR="008F5159">
              <w:rPr>
                <w:noProof/>
                <w:webHidden/>
              </w:rPr>
              <w:fldChar w:fldCharType="end"/>
            </w:r>
          </w:hyperlink>
        </w:p>
        <w:p w14:paraId="2B6D9373" w14:textId="77777777" w:rsidR="008F5159" w:rsidRDefault="00703520" w:rsidP="00BC4302">
          <w:pPr>
            <w:pStyle w:val="TOC2"/>
            <w:spacing w:before="40" w:afterLines="40" w:after="96"/>
            <w:rPr>
              <w:rFonts w:asciiTheme="minorHAnsi" w:eastAsiaTheme="minorEastAsia" w:hAnsiTheme="minorHAnsi"/>
              <w:noProof/>
              <w:sz w:val="22"/>
            </w:rPr>
          </w:pPr>
          <w:hyperlink w:anchor="_Toc117512587" w:history="1">
            <w:r w:rsidR="008F5159" w:rsidRPr="00F86CA9">
              <w:rPr>
                <w:rStyle w:val="Hyperlink"/>
                <w:noProof/>
              </w:rPr>
              <w:t>17.10 Copyright Interests—Authors of Collective Works (17 U.S.C. § 201(c))</w:t>
            </w:r>
            <w:r w:rsidR="008F5159">
              <w:rPr>
                <w:noProof/>
                <w:webHidden/>
              </w:rPr>
              <w:tab/>
            </w:r>
            <w:r w:rsidR="008F5159">
              <w:rPr>
                <w:noProof/>
                <w:webHidden/>
              </w:rPr>
              <w:fldChar w:fldCharType="begin"/>
            </w:r>
            <w:r w:rsidR="008F5159">
              <w:rPr>
                <w:noProof/>
                <w:webHidden/>
              </w:rPr>
              <w:instrText xml:space="preserve"> PAGEREF _Toc117512587 \h </w:instrText>
            </w:r>
            <w:r w:rsidR="008F5159">
              <w:rPr>
                <w:noProof/>
                <w:webHidden/>
              </w:rPr>
            </w:r>
            <w:r w:rsidR="008F5159">
              <w:rPr>
                <w:noProof/>
                <w:webHidden/>
              </w:rPr>
              <w:fldChar w:fldCharType="separate"/>
            </w:r>
            <w:r w:rsidR="008F5159">
              <w:rPr>
                <w:noProof/>
                <w:webHidden/>
              </w:rPr>
              <w:t>415</w:t>
            </w:r>
            <w:r w:rsidR="008F5159">
              <w:rPr>
                <w:noProof/>
                <w:webHidden/>
              </w:rPr>
              <w:fldChar w:fldCharType="end"/>
            </w:r>
          </w:hyperlink>
        </w:p>
        <w:p w14:paraId="25BE6E62" w14:textId="77777777" w:rsidR="008F5159" w:rsidRDefault="00703520" w:rsidP="00BC4302">
          <w:pPr>
            <w:pStyle w:val="TOC2"/>
            <w:spacing w:before="40" w:afterLines="40" w:after="96"/>
            <w:rPr>
              <w:rFonts w:asciiTheme="minorHAnsi" w:eastAsiaTheme="minorEastAsia" w:hAnsiTheme="minorHAnsi"/>
              <w:noProof/>
              <w:sz w:val="22"/>
            </w:rPr>
          </w:pPr>
          <w:hyperlink w:anchor="_Toc117512588" w:history="1">
            <w:r w:rsidR="008F5159" w:rsidRPr="00F86CA9">
              <w:rPr>
                <w:rStyle w:val="Hyperlink"/>
                <w:noProof/>
              </w:rPr>
              <w:t>17.11 Copyright Interests—Work Made for Hire by Employee</w:t>
            </w:r>
            <w:r w:rsidR="008F5159">
              <w:rPr>
                <w:noProof/>
                <w:webHidden/>
              </w:rPr>
              <w:tab/>
            </w:r>
            <w:r w:rsidR="008F5159">
              <w:rPr>
                <w:noProof/>
                <w:webHidden/>
              </w:rPr>
              <w:fldChar w:fldCharType="begin"/>
            </w:r>
            <w:r w:rsidR="008F5159">
              <w:rPr>
                <w:noProof/>
                <w:webHidden/>
              </w:rPr>
              <w:instrText xml:space="preserve"> PAGEREF _Toc117512588 \h </w:instrText>
            </w:r>
            <w:r w:rsidR="008F5159">
              <w:rPr>
                <w:noProof/>
                <w:webHidden/>
              </w:rPr>
            </w:r>
            <w:r w:rsidR="008F5159">
              <w:rPr>
                <w:noProof/>
                <w:webHidden/>
              </w:rPr>
              <w:fldChar w:fldCharType="separate"/>
            </w:r>
            <w:r w:rsidR="008F5159">
              <w:rPr>
                <w:noProof/>
                <w:webHidden/>
              </w:rPr>
              <w:t>416</w:t>
            </w:r>
            <w:r w:rsidR="008F5159">
              <w:rPr>
                <w:noProof/>
                <w:webHidden/>
              </w:rPr>
              <w:fldChar w:fldCharType="end"/>
            </w:r>
          </w:hyperlink>
        </w:p>
        <w:p w14:paraId="159D63A5" w14:textId="77777777" w:rsidR="008F5159" w:rsidRDefault="00703520" w:rsidP="00BC4302">
          <w:pPr>
            <w:pStyle w:val="TOC2"/>
            <w:spacing w:before="40" w:afterLines="40" w:after="96"/>
            <w:rPr>
              <w:rFonts w:asciiTheme="minorHAnsi" w:eastAsiaTheme="minorEastAsia" w:hAnsiTheme="minorHAnsi"/>
              <w:noProof/>
              <w:sz w:val="22"/>
            </w:rPr>
          </w:pPr>
          <w:hyperlink w:anchor="_Toc117512589" w:history="1">
            <w:r w:rsidR="008F5159" w:rsidRPr="00F86CA9">
              <w:rPr>
                <w:rStyle w:val="Hyperlink"/>
                <w:noProof/>
              </w:rPr>
              <w:t>17.12 Copyright Interests—Assignee (17 U.S.C. § 201(d)(1))</w:t>
            </w:r>
            <w:r w:rsidR="008F5159">
              <w:rPr>
                <w:noProof/>
                <w:webHidden/>
              </w:rPr>
              <w:tab/>
            </w:r>
            <w:r w:rsidR="008F5159">
              <w:rPr>
                <w:noProof/>
                <w:webHidden/>
              </w:rPr>
              <w:fldChar w:fldCharType="begin"/>
            </w:r>
            <w:r w:rsidR="008F5159">
              <w:rPr>
                <w:noProof/>
                <w:webHidden/>
              </w:rPr>
              <w:instrText xml:space="preserve"> PAGEREF _Toc117512589 \h </w:instrText>
            </w:r>
            <w:r w:rsidR="008F5159">
              <w:rPr>
                <w:noProof/>
                <w:webHidden/>
              </w:rPr>
            </w:r>
            <w:r w:rsidR="008F5159">
              <w:rPr>
                <w:noProof/>
                <w:webHidden/>
              </w:rPr>
              <w:fldChar w:fldCharType="separate"/>
            </w:r>
            <w:r w:rsidR="008F5159">
              <w:rPr>
                <w:noProof/>
                <w:webHidden/>
              </w:rPr>
              <w:t>419</w:t>
            </w:r>
            <w:r w:rsidR="008F5159">
              <w:rPr>
                <w:noProof/>
                <w:webHidden/>
              </w:rPr>
              <w:fldChar w:fldCharType="end"/>
            </w:r>
          </w:hyperlink>
        </w:p>
        <w:p w14:paraId="520473B4"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0" w:history="1">
            <w:r w:rsidR="008F5159" w:rsidRPr="00F86CA9">
              <w:rPr>
                <w:rStyle w:val="Hyperlink"/>
                <w:noProof/>
              </w:rPr>
              <w:t>17.13 Copyright Interests—Exclusive Licensee (17 U.S.C. § 201(d)(2))</w:t>
            </w:r>
            <w:r w:rsidR="008F5159">
              <w:rPr>
                <w:noProof/>
                <w:webHidden/>
              </w:rPr>
              <w:tab/>
            </w:r>
            <w:r w:rsidR="008F5159">
              <w:rPr>
                <w:noProof/>
                <w:webHidden/>
              </w:rPr>
              <w:fldChar w:fldCharType="begin"/>
            </w:r>
            <w:r w:rsidR="008F5159">
              <w:rPr>
                <w:noProof/>
                <w:webHidden/>
              </w:rPr>
              <w:instrText xml:space="preserve"> PAGEREF _Toc117512590 \h </w:instrText>
            </w:r>
            <w:r w:rsidR="008F5159">
              <w:rPr>
                <w:noProof/>
                <w:webHidden/>
              </w:rPr>
            </w:r>
            <w:r w:rsidR="008F5159">
              <w:rPr>
                <w:noProof/>
                <w:webHidden/>
              </w:rPr>
              <w:fldChar w:fldCharType="separate"/>
            </w:r>
            <w:r w:rsidR="008F5159">
              <w:rPr>
                <w:noProof/>
                <w:webHidden/>
              </w:rPr>
              <w:t>421</w:t>
            </w:r>
            <w:r w:rsidR="008F5159">
              <w:rPr>
                <w:noProof/>
                <w:webHidden/>
              </w:rPr>
              <w:fldChar w:fldCharType="end"/>
            </w:r>
          </w:hyperlink>
        </w:p>
        <w:p w14:paraId="0FD7942A"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1" w:history="1">
            <w:r w:rsidR="008F5159" w:rsidRPr="00F86CA9">
              <w:rPr>
                <w:rStyle w:val="Hyperlink"/>
                <w:noProof/>
              </w:rPr>
              <w:t>17.14 Copyright Infringement—Originality</w:t>
            </w:r>
            <w:r w:rsidR="008F5159">
              <w:rPr>
                <w:noProof/>
                <w:webHidden/>
              </w:rPr>
              <w:tab/>
            </w:r>
            <w:r w:rsidR="008F5159">
              <w:rPr>
                <w:noProof/>
                <w:webHidden/>
              </w:rPr>
              <w:fldChar w:fldCharType="begin"/>
            </w:r>
            <w:r w:rsidR="008F5159">
              <w:rPr>
                <w:noProof/>
                <w:webHidden/>
              </w:rPr>
              <w:instrText xml:space="preserve"> PAGEREF _Toc117512591 \h </w:instrText>
            </w:r>
            <w:r w:rsidR="008F5159">
              <w:rPr>
                <w:noProof/>
                <w:webHidden/>
              </w:rPr>
            </w:r>
            <w:r w:rsidR="008F5159">
              <w:rPr>
                <w:noProof/>
                <w:webHidden/>
              </w:rPr>
              <w:fldChar w:fldCharType="separate"/>
            </w:r>
            <w:r w:rsidR="008F5159">
              <w:rPr>
                <w:noProof/>
                <w:webHidden/>
              </w:rPr>
              <w:t>423</w:t>
            </w:r>
            <w:r w:rsidR="008F5159">
              <w:rPr>
                <w:noProof/>
                <w:webHidden/>
              </w:rPr>
              <w:fldChar w:fldCharType="end"/>
            </w:r>
          </w:hyperlink>
        </w:p>
        <w:p w14:paraId="47B7B30E" w14:textId="12F21146" w:rsidR="008F5159" w:rsidRDefault="00703520" w:rsidP="00BC4302">
          <w:pPr>
            <w:pStyle w:val="TOC2"/>
            <w:spacing w:before="40" w:afterLines="40" w:after="96"/>
            <w:rPr>
              <w:rFonts w:asciiTheme="minorHAnsi" w:eastAsiaTheme="minorEastAsia" w:hAnsiTheme="minorHAnsi"/>
              <w:noProof/>
              <w:sz w:val="22"/>
            </w:rPr>
          </w:pPr>
          <w:hyperlink w:anchor="_Toc117512592" w:history="1">
            <w:r w:rsidR="008F5159" w:rsidRPr="00F86CA9">
              <w:rPr>
                <w:rStyle w:val="Hyperlink"/>
                <w:noProof/>
              </w:rPr>
              <w:t>17.15 Copyright Interests—Derivative Work</w:t>
            </w:r>
          </w:hyperlink>
          <w:r w:rsidR="00D1021C">
            <w:rPr>
              <w:rStyle w:val="Hyperlink"/>
              <w:noProof/>
            </w:rPr>
            <w:t xml:space="preserve"> </w:t>
          </w:r>
          <w:hyperlink w:anchor="_Toc117512593" w:history="1">
            <w:r w:rsidR="008F5159" w:rsidRPr="00F86CA9">
              <w:rPr>
                <w:rStyle w:val="Hyperlink"/>
                <w:noProof/>
              </w:rPr>
              <w:t>(17 U.S.C. §§ 101, 106(2))</w:t>
            </w:r>
            <w:r w:rsidR="008F5159">
              <w:rPr>
                <w:noProof/>
                <w:webHidden/>
              </w:rPr>
              <w:tab/>
            </w:r>
            <w:r w:rsidR="008F5159">
              <w:rPr>
                <w:noProof/>
                <w:webHidden/>
              </w:rPr>
              <w:fldChar w:fldCharType="begin"/>
            </w:r>
            <w:r w:rsidR="008F5159">
              <w:rPr>
                <w:noProof/>
                <w:webHidden/>
              </w:rPr>
              <w:instrText xml:space="preserve"> PAGEREF _Toc117512593 \h </w:instrText>
            </w:r>
            <w:r w:rsidR="008F5159">
              <w:rPr>
                <w:noProof/>
                <w:webHidden/>
              </w:rPr>
            </w:r>
            <w:r w:rsidR="008F5159">
              <w:rPr>
                <w:noProof/>
                <w:webHidden/>
              </w:rPr>
              <w:fldChar w:fldCharType="separate"/>
            </w:r>
            <w:r w:rsidR="008F5159">
              <w:rPr>
                <w:noProof/>
                <w:webHidden/>
              </w:rPr>
              <w:t>425</w:t>
            </w:r>
            <w:r w:rsidR="008F5159">
              <w:rPr>
                <w:noProof/>
                <w:webHidden/>
              </w:rPr>
              <w:fldChar w:fldCharType="end"/>
            </w:r>
          </w:hyperlink>
        </w:p>
        <w:p w14:paraId="6D5CF653"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4" w:history="1">
            <w:r w:rsidR="008F5159" w:rsidRPr="00F86CA9">
              <w:rPr>
                <w:rStyle w:val="Hyperlink"/>
                <w:noProof/>
              </w:rPr>
              <w:t>17.16 Compilation (17 U.S.C. § 101)</w:t>
            </w:r>
            <w:r w:rsidR="008F5159">
              <w:rPr>
                <w:noProof/>
                <w:webHidden/>
              </w:rPr>
              <w:tab/>
            </w:r>
            <w:r w:rsidR="008F5159">
              <w:rPr>
                <w:noProof/>
                <w:webHidden/>
              </w:rPr>
              <w:fldChar w:fldCharType="begin"/>
            </w:r>
            <w:r w:rsidR="008F5159">
              <w:rPr>
                <w:noProof/>
                <w:webHidden/>
              </w:rPr>
              <w:instrText xml:space="preserve"> PAGEREF _Toc117512594 \h </w:instrText>
            </w:r>
            <w:r w:rsidR="008F5159">
              <w:rPr>
                <w:noProof/>
                <w:webHidden/>
              </w:rPr>
            </w:r>
            <w:r w:rsidR="008F5159">
              <w:rPr>
                <w:noProof/>
                <w:webHidden/>
              </w:rPr>
              <w:fldChar w:fldCharType="separate"/>
            </w:r>
            <w:r w:rsidR="008F5159">
              <w:rPr>
                <w:noProof/>
                <w:webHidden/>
              </w:rPr>
              <w:t>427</w:t>
            </w:r>
            <w:r w:rsidR="008F5159">
              <w:rPr>
                <w:noProof/>
                <w:webHidden/>
              </w:rPr>
              <w:fldChar w:fldCharType="end"/>
            </w:r>
          </w:hyperlink>
        </w:p>
        <w:p w14:paraId="2262D0FB"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5" w:history="1">
            <w:r w:rsidR="008F5159" w:rsidRPr="00F86CA9">
              <w:rPr>
                <w:rStyle w:val="Hyperlink"/>
                <w:noProof/>
              </w:rPr>
              <w:t>17.17 Copying—Access and Substantial Similarity</w:t>
            </w:r>
            <w:r w:rsidR="008F5159">
              <w:rPr>
                <w:noProof/>
                <w:webHidden/>
              </w:rPr>
              <w:tab/>
            </w:r>
            <w:r w:rsidR="008F5159">
              <w:rPr>
                <w:noProof/>
                <w:webHidden/>
              </w:rPr>
              <w:fldChar w:fldCharType="begin"/>
            </w:r>
            <w:r w:rsidR="008F5159">
              <w:rPr>
                <w:noProof/>
                <w:webHidden/>
              </w:rPr>
              <w:instrText xml:space="preserve"> PAGEREF _Toc117512595 \h </w:instrText>
            </w:r>
            <w:r w:rsidR="008F5159">
              <w:rPr>
                <w:noProof/>
                <w:webHidden/>
              </w:rPr>
            </w:r>
            <w:r w:rsidR="008F5159">
              <w:rPr>
                <w:noProof/>
                <w:webHidden/>
              </w:rPr>
              <w:fldChar w:fldCharType="separate"/>
            </w:r>
            <w:r w:rsidR="008F5159">
              <w:rPr>
                <w:noProof/>
                <w:webHidden/>
              </w:rPr>
              <w:t>428</w:t>
            </w:r>
            <w:r w:rsidR="008F5159">
              <w:rPr>
                <w:noProof/>
                <w:webHidden/>
              </w:rPr>
              <w:fldChar w:fldCharType="end"/>
            </w:r>
          </w:hyperlink>
        </w:p>
        <w:p w14:paraId="43F7E65B"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6" w:history="1">
            <w:r w:rsidR="008F5159" w:rsidRPr="00F86CA9">
              <w:rPr>
                <w:rStyle w:val="Hyperlink"/>
                <w:noProof/>
              </w:rPr>
              <w:t>17.18 Copyright Infringement—Copying—Access Defined</w:t>
            </w:r>
            <w:r w:rsidR="008F5159">
              <w:rPr>
                <w:noProof/>
                <w:webHidden/>
              </w:rPr>
              <w:tab/>
            </w:r>
            <w:r w:rsidR="008F5159">
              <w:rPr>
                <w:noProof/>
                <w:webHidden/>
              </w:rPr>
              <w:fldChar w:fldCharType="begin"/>
            </w:r>
            <w:r w:rsidR="008F5159">
              <w:rPr>
                <w:noProof/>
                <w:webHidden/>
              </w:rPr>
              <w:instrText xml:space="preserve"> PAGEREF _Toc117512596 \h </w:instrText>
            </w:r>
            <w:r w:rsidR="008F5159">
              <w:rPr>
                <w:noProof/>
                <w:webHidden/>
              </w:rPr>
            </w:r>
            <w:r w:rsidR="008F5159">
              <w:rPr>
                <w:noProof/>
                <w:webHidden/>
              </w:rPr>
              <w:fldChar w:fldCharType="separate"/>
            </w:r>
            <w:r w:rsidR="008F5159">
              <w:rPr>
                <w:noProof/>
                <w:webHidden/>
              </w:rPr>
              <w:t>430</w:t>
            </w:r>
            <w:r w:rsidR="008F5159">
              <w:rPr>
                <w:noProof/>
                <w:webHidden/>
              </w:rPr>
              <w:fldChar w:fldCharType="end"/>
            </w:r>
          </w:hyperlink>
        </w:p>
        <w:p w14:paraId="184CFB3E"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7" w:history="1">
            <w:r w:rsidR="008F5159" w:rsidRPr="00F86CA9">
              <w:rPr>
                <w:rStyle w:val="Hyperlink"/>
                <w:noProof/>
              </w:rPr>
              <w:t>17.19 Substantial Similarity—Extrinsic Test; Intrinsic Test</w:t>
            </w:r>
            <w:r w:rsidR="008F5159">
              <w:rPr>
                <w:noProof/>
                <w:webHidden/>
              </w:rPr>
              <w:tab/>
            </w:r>
            <w:r w:rsidR="008F5159">
              <w:rPr>
                <w:noProof/>
                <w:webHidden/>
              </w:rPr>
              <w:fldChar w:fldCharType="begin"/>
            </w:r>
            <w:r w:rsidR="008F5159">
              <w:rPr>
                <w:noProof/>
                <w:webHidden/>
              </w:rPr>
              <w:instrText xml:space="preserve"> PAGEREF _Toc117512597 \h </w:instrText>
            </w:r>
            <w:r w:rsidR="008F5159">
              <w:rPr>
                <w:noProof/>
                <w:webHidden/>
              </w:rPr>
            </w:r>
            <w:r w:rsidR="008F5159">
              <w:rPr>
                <w:noProof/>
                <w:webHidden/>
              </w:rPr>
              <w:fldChar w:fldCharType="separate"/>
            </w:r>
            <w:r w:rsidR="008F5159">
              <w:rPr>
                <w:noProof/>
                <w:webHidden/>
              </w:rPr>
              <w:t>432</w:t>
            </w:r>
            <w:r w:rsidR="008F5159">
              <w:rPr>
                <w:noProof/>
                <w:webHidden/>
              </w:rPr>
              <w:fldChar w:fldCharType="end"/>
            </w:r>
          </w:hyperlink>
        </w:p>
        <w:p w14:paraId="5C4F2641"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8" w:history="1">
            <w:r w:rsidR="008F5159" w:rsidRPr="00F86CA9">
              <w:rPr>
                <w:rStyle w:val="Hyperlink"/>
                <w:noProof/>
              </w:rPr>
              <w:t>17.20 Secondary Liability—Vicarious Infringement</w:t>
            </w:r>
            <w:r w:rsidR="008F5159">
              <w:rPr>
                <w:noProof/>
                <w:webHidden/>
              </w:rPr>
              <w:tab/>
            </w:r>
            <w:r w:rsidR="008F5159">
              <w:rPr>
                <w:noProof/>
                <w:webHidden/>
              </w:rPr>
              <w:fldChar w:fldCharType="begin"/>
            </w:r>
            <w:r w:rsidR="008F5159">
              <w:rPr>
                <w:noProof/>
                <w:webHidden/>
              </w:rPr>
              <w:instrText xml:space="preserve"> PAGEREF _Toc117512598 \h </w:instrText>
            </w:r>
            <w:r w:rsidR="008F5159">
              <w:rPr>
                <w:noProof/>
                <w:webHidden/>
              </w:rPr>
            </w:r>
            <w:r w:rsidR="008F5159">
              <w:rPr>
                <w:noProof/>
                <w:webHidden/>
              </w:rPr>
              <w:fldChar w:fldCharType="separate"/>
            </w:r>
            <w:r w:rsidR="008F5159">
              <w:rPr>
                <w:noProof/>
                <w:webHidden/>
              </w:rPr>
              <w:t>434</w:t>
            </w:r>
            <w:r w:rsidR="008F5159">
              <w:rPr>
                <w:noProof/>
                <w:webHidden/>
              </w:rPr>
              <w:fldChar w:fldCharType="end"/>
            </w:r>
          </w:hyperlink>
        </w:p>
        <w:p w14:paraId="637B764F" w14:textId="77777777" w:rsidR="008F5159" w:rsidRDefault="00703520" w:rsidP="00BC4302">
          <w:pPr>
            <w:pStyle w:val="TOC2"/>
            <w:spacing w:before="40" w:afterLines="40" w:after="96"/>
            <w:rPr>
              <w:rFonts w:asciiTheme="minorHAnsi" w:eastAsiaTheme="minorEastAsia" w:hAnsiTheme="minorHAnsi"/>
              <w:noProof/>
              <w:sz w:val="22"/>
            </w:rPr>
          </w:pPr>
          <w:hyperlink w:anchor="_Toc117512599" w:history="1">
            <w:r w:rsidR="008F5159" w:rsidRPr="00F86CA9">
              <w:rPr>
                <w:rStyle w:val="Hyperlink"/>
                <w:noProof/>
              </w:rPr>
              <w:t>—Elements  and Burden of Proof</w:t>
            </w:r>
            <w:r w:rsidR="008F5159">
              <w:rPr>
                <w:noProof/>
                <w:webHidden/>
              </w:rPr>
              <w:tab/>
            </w:r>
            <w:r w:rsidR="008F5159">
              <w:rPr>
                <w:noProof/>
                <w:webHidden/>
              </w:rPr>
              <w:fldChar w:fldCharType="begin"/>
            </w:r>
            <w:r w:rsidR="008F5159">
              <w:rPr>
                <w:noProof/>
                <w:webHidden/>
              </w:rPr>
              <w:instrText xml:space="preserve"> PAGEREF _Toc117512599 \h </w:instrText>
            </w:r>
            <w:r w:rsidR="008F5159">
              <w:rPr>
                <w:noProof/>
                <w:webHidden/>
              </w:rPr>
            </w:r>
            <w:r w:rsidR="008F5159">
              <w:rPr>
                <w:noProof/>
                <w:webHidden/>
              </w:rPr>
              <w:fldChar w:fldCharType="separate"/>
            </w:r>
            <w:r w:rsidR="008F5159">
              <w:rPr>
                <w:noProof/>
                <w:webHidden/>
              </w:rPr>
              <w:t>434</w:t>
            </w:r>
            <w:r w:rsidR="008F5159">
              <w:rPr>
                <w:noProof/>
                <w:webHidden/>
              </w:rPr>
              <w:fldChar w:fldCharType="end"/>
            </w:r>
          </w:hyperlink>
        </w:p>
        <w:p w14:paraId="1276A7B8"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0" w:history="1">
            <w:r w:rsidR="008F5159" w:rsidRPr="00F86CA9">
              <w:rPr>
                <w:rStyle w:val="Hyperlink"/>
                <w:noProof/>
              </w:rPr>
              <w:t>17.21 Secondary Liability—Contributory Infringement</w:t>
            </w:r>
            <w:r w:rsidR="008F5159">
              <w:rPr>
                <w:noProof/>
                <w:webHidden/>
              </w:rPr>
              <w:tab/>
            </w:r>
            <w:r w:rsidR="008F5159">
              <w:rPr>
                <w:noProof/>
                <w:webHidden/>
              </w:rPr>
              <w:fldChar w:fldCharType="begin"/>
            </w:r>
            <w:r w:rsidR="008F5159">
              <w:rPr>
                <w:noProof/>
                <w:webHidden/>
              </w:rPr>
              <w:instrText xml:space="preserve"> PAGEREF _Toc117512600 \h </w:instrText>
            </w:r>
            <w:r w:rsidR="008F5159">
              <w:rPr>
                <w:noProof/>
                <w:webHidden/>
              </w:rPr>
            </w:r>
            <w:r w:rsidR="008F5159">
              <w:rPr>
                <w:noProof/>
                <w:webHidden/>
              </w:rPr>
              <w:fldChar w:fldCharType="separate"/>
            </w:r>
            <w:r w:rsidR="008F5159">
              <w:rPr>
                <w:noProof/>
                <w:webHidden/>
              </w:rPr>
              <w:t>436</w:t>
            </w:r>
            <w:r w:rsidR="008F5159">
              <w:rPr>
                <w:noProof/>
                <w:webHidden/>
              </w:rPr>
              <w:fldChar w:fldCharType="end"/>
            </w:r>
          </w:hyperlink>
        </w:p>
        <w:p w14:paraId="6D0CEA59"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1" w:history="1">
            <w:r w:rsidR="008F5159" w:rsidRPr="00F86CA9">
              <w:rPr>
                <w:rStyle w:val="Hyperlink"/>
                <w:noProof/>
              </w:rPr>
              <w:t>—Elements and Burden of Proof</w:t>
            </w:r>
            <w:r w:rsidR="008F5159">
              <w:rPr>
                <w:noProof/>
                <w:webHidden/>
              </w:rPr>
              <w:tab/>
            </w:r>
            <w:r w:rsidR="008F5159">
              <w:rPr>
                <w:noProof/>
                <w:webHidden/>
              </w:rPr>
              <w:fldChar w:fldCharType="begin"/>
            </w:r>
            <w:r w:rsidR="008F5159">
              <w:rPr>
                <w:noProof/>
                <w:webHidden/>
              </w:rPr>
              <w:instrText xml:space="preserve"> PAGEREF _Toc117512601 \h </w:instrText>
            </w:r>
            <w:r w:rsidR="008F5159">
              <w:rPr>
                <w:noProof/>
                <w:webHidden/>
              </w:rPr>
            </w:r>
            <w:r w:rsidR="008F5159">
              <w:rPr>
                <w:noProof/>
                <w:webHidden/>
              </w:rPr>
              <w:fldChar w:fldCharType="separate"/>
            </w:r>
            <w:r w:rsidR="008F5159">
              <w:rPr>
                <w:noProof/>
                <w:webHidden/>
              </w:rPr>
              <w:t>436</w:t>
            </w:r>
            <w:r w:rsidR="008F5159">
              <w:rPr>
                <w:noProof/>
                <w:webHidden/>
              </w:rPr>
              <w:fldChar w:fldCharType="end"/>
            </w:r>
          </w:hyperlink>
        </w:p>
        <w:p w14:paraId="2387547E"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2" w:history="1">
            <w:r w:rsidR="008F5159" w:rsidRPr="00F86CA9">
              <w:rPr>
                <w:rStyle w:val="Hyperlink"/>
                <w:noProof/>
              </w:rPr>
              <w:t>17.21A Copyright—Useful Articles/Functional Elements (17 U.S.C. § 101)</w:t>
            </w:r>
            <w:r w:rsidR="008F5159">
              <w:rPr>
                <w:noProof/>
                <w:webHidden/>
              </w:rPr>
              <w:tab/>
            </w:r>
            <w:r w:rsidR="008F5159">
              <w:rPr>
                <w:noProof/>
                <w:webHidden/>
              </w:rPr>
              <w:fldChar w:fldCharType="begin"/>
            </w:r>
            <w:r w:rsidR="008F5159">
              <w:rPr>
                <w:noProof/>
                <w:webHidden/>
              </w:rPr>
              <w:instrText xml:space="preserve"> PAGEREF _Toc117512602 \h </w:instrText>
            </w:r>
            <w:r w:rsidR="008F5159">
              <w:rPr>
                <w:noProof/>
                <w:webHidden/>
              </w:rPr>
            </w:r>
            <w:r w:rsidR="008F5159">
              <w:rPr>
                <w:noProof/>
                <w:webHidden/>
              </w:rPr>
              <w:fldChar w:fldCharType="separate"/>
            </w:r>
            <w:r w:rsidR="008F5159">
              <w:rPr>
                <w:noProof/>
                <w:webHidden/>
              </w:rPr>
              <w:t>438</w:t>
            </w:r>
            <w:r w:rsidR="008F5159">
              <w:rPr>
                <w:noProof/>
                <w:webHidden/>
              </w:rPr>
              <w:fldChar w:fldCharType="end"/>
            </w:r>
          </w:hyperlink>
        </w:p>
        <w:p w14:paraId="19C11881"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3" w:history="1">
            <w:r w:rsidR="008F5159" w:rsidRPr="00F86CA9">
              <w:rPr>
                <w:rStyle w:val="Hyperlink"/>
                <w:noProof/>
              </w:rPr>
              <w:t>17.22 Copyright—Affirmative Defense—Fair Use (17 U.S.C. § 107)</w:t>
            </w:r>
            <w:r w:rsidR="008F5159">
              <w:rPr>
                <w:noProof/>
                <w:webHidden/>
              </w:rPr>
              <w:tab/>
            </w:r>
            <w:r w:rsidR="008F5159">
              <w:rPr>
                <w:noProof/>
                <w:webHidden/>
              </w:rPr>
              <w:fldChar w:fldCharType="begin"/>
            </w:r>
            <w:r w:rsidR="008F5159">
              <w:rPr>
                <w:noProof/>
                <w:webHidden/>
              </w:rPr>
              <w:instrText xml:space="preserve"> PAGEREF _Toc117512603 \h </w:instrText>
            </w:r>
            <w:r w:rsidR="008F5159">
              <w:rPr>
                <w:noProof/>
                <w:webHidden/>
              </w:rPr>
            </w:r>
            <w:r w:rsidR="008F5159">
              <w:rPr>
                <w:noProof/>
                <w:webHidden/>
              </w:rPr>
              <w:fldChar w:fldCharType="separate"/>
            </w:r>
            <w:r w:rsidR="008F5159">
              <w:rPr>
                <w:noProof/>
                <w:webHidden/>
              </w:rPr>
              <w:t>439</w:t>
            </w:r>
            <w:r w:rsidR="008F5159">
              <w:rPr>
                <w:noProof/>
                <w:webHidden/>
              </w:rPr>
              <w:fldChar w:fldCharType="end"/>
            </w:r>
          </w:hyperlink>
        </w:p>
        <w:p w14:paraId="1FD5BF38"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4" w:history="1">
            <w:r w:rsidR="008F5159" w:rsidRPr="00F86CA9">
              <w:rPr>
                <w:rStyle w:val="Hyperlink"/>
                <w:noProof/>
              </w:rPr>
              <w:t>17.23 Copyright—Affirmative Defense—Abandonment</w:t>
            </w:r>
            <w:r w:rsidR="008F5159">
              <w:rPr>
                <w:noProof/>
                <w:webHidden/>
              </w:rPr>
              <w:tab/>
            </w:r>
            <w:r w:rsidR="008F5159">
              <w:rPr>
                <w:noProof/>
                <w:webHidden/>
              </w:rPr>
              <w:fldChar w:fldCharType="begin"/>
            </w:r>
            <w:r w:rsidR="008F5159">
              <w:rPr>
                <w:noProof/>
                <w:webHidden/>
              </w:rPr>
              <w:instrText xml:space="preserve"> PAGEREF _Toc117512604 \h </w:instrText>
            </w:r>
            <w:r w:rsidR="008F5159">
              <w:rPr>
                <w:noProof/>
                <w:webHidden/>
              </w:rPr>
            </w:r>
            <w:r w:rsidR="008F5159">
              <w:rPr>
                <w:noProof/>
                <w:webHidden/>
              </w:rPr>
              <w:fldChar w:fldCharType="separate"/>
            </w:r>
            <w:r w:rsidR="008F5159">
              <w:rPr>
                <w:noProof/>
                <w:webHidden/>
              </w:rPr>
              <w:t>443</w:t>
            </w:r>
            <w:r w:rsidR="008F5159">
              <w:rPr>
                <w:noProof/>
                <w:webHidden/>
              </w:rPr>
              <w:fldChar w:fldCharType="end"/>
            </w:r>
          </w:hyperlink>
        </w:p>
        <w:p w14:paraId="66157D37"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5" w:history="1">
            <w:r w:rsidR="008F5159" w:rsidRPr="00F86CA9">
              <w:rPr>
                <w:rStyle w:val="Hyperlink"/>
                <w:noProof/>
              </w:rPr>
              <w:t>17.24 Copyright—Affirmative Defense—Copyright Misuse</w:t>
            </w:r>
            <w:r w:rsidR="008F5159">
              <w:rPr>
                <w:noProof/>
                <w:webHidden/>
              </w:rPr>
              <w:tab/>
            </w:r>
            <w:r w:rsidR="008F5159">
              <w:rPr>
                <w:noProof/>
                <w:webHidden/>
              </w:rPr>
              <w:fldChar w:fldCharType="begin"/>
            </w:r>
            <w:r w:rsidR="008F5159">
              <w:rPr>
                <w:noProof/>
                <w:webHidden/>
              </w:rPr>
              <w:instrText xml:space="preserve"> PAGEREF _Toc117512605 \h </w:instrText>
            </w:r>
            <w:r w:rsidR="008F5159">
              <w:rPr>
                <w:noProof/>
                <w:webHidden/>
              </w:rPr>
            </w:r>
            <w:r w:rsidR="008F5159">
              <w:rPr>
                <w:noProof/>
                <w:webHidden/>
              </w:rPr>
              <w:fldChar w:fldCharType="separate"/>
            </w:r>
            <w:r w:rsidR="008F5159">
              <w:rPr>
                <w:noProof/>
                <w:webHidden/>
              </w:rPr>
              <w:t>444</w:t>
            </w:r>
            <w:r w:rsidR="008F5159">
              <w:rPr>
                <w:noProof/>
                <w:webHidden/>
              </w:rPr>
              <w:fldChar w:fldCharType="end"/>
            </w:r>
          </w:hyperlink>
        </w:p>
        <w:p w14:paraId="617197D2"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6" w:history="1">
            <w:r w:rsidR="008F5159" w:rsidRPr="00F86CA9">
              <w:rPr>
                <w:rStyle w:val="Hyperlink"/>
                <w:noProof/>
              </w:rPr>
              <w:t>17.25 Copyright—Affirmative Defense—Implied License</w:t>
            </w:r>
            <w:r w:rsidR="008F5159">
              <w:rPr>
                <w:noProof/>
                <w:webHidden/>
              </w:rPr>
              <w:tab/>
            </w:r>
            <w:r w:rsidR="008F5159">
              <w:rPr>
                <w:noProof/>
                <w:webHidden/>
              </w:rPr>
              <w:fldChar w:fldCharType="begin"/>
            </w:r>
            <w:r w:rsidR="008F5159">
              <w:rPr>
                <w:noProof/>
                <w:webHidden/>
              </w:rPr>
              <w:instrText xml:space="preserve"> PAGEREF _Toc117512606 \h </w:instrText>
            </w:r>
            <w:r w:rsidR="008F5159">
              <w:rPr>
                <w:noProof/>
                <w:webHidden/>
              </w:rPr>
            </w:r>
            <w:r w:rsidR="008F5159">
              <w:rPr>
                <w:noProof/>
                <w:webHidden/>
              </w:rPr>
              <w:fldChar w:fldCharType="separate"/>
            </w:r>
            <w:r w:rsidR="008F5159">
              <w:rPr>
                <w:noProof/>
                <w:webHidden/>
              </w:rPr>
              <w:t>446</w:t>
            </w:r>
            <w:r w:rsidR="008F5159">
              <w:rPr>
                <w:noProof/>
                <w:webHidden/>
              </w:rPr>
              <w:fldChar w:fldCharType="end"/>
            </w:r>
          </w:hyperlink>
        </w:p>
        <w:p w14:paraId="5DDA4242" w14:textId="77777777" w:rsidR="008F5159" w:rsidRDefault="00703520" w:rsidP="00BC4302">
          <w:pPr>
            <w:pStyle w:val="TOC2"/>
            <w:spacing w:before="40" w:afterLines="40" w:after="96"/>
            <w:rPr>
              <w:rFonts w:asciiTheme="minorHAnsi" w:eastAsiaTheme="minorEastAsia" w:hAnsiTheme="minorHAnsi"/>
              <w:noProof/>
              <w:sz w:val="22"/>
            </w:rPr>
          </w:pPr>
          <w:hyperlink w:anchor="_Toc117512607" w:history="1">
            <w:r w:rsidR="008F5159" w:rsidRPr="00F86CA9">
              <w:rPr>
                <w:rStyle w:val="Hyperlink"/>
                <w:noProof/>
              </w:rPr>
              <w:t>17.25A Copyright—Affirmative Defense—Express License</w:t>
            </w:r>
            <w:r w:rsidR="008F5159">
              <w:rPr>
                <w:noProof/>
                <w:webHidden/>
              </w:rPr>
              <w:tab/>
            </w:r>
            <w:r w:rsidR="008F5159">
              <w:rPr>
                <w:noProof/>
                <w:webHidden/>
              </w:rPr>
              <w:fldChar w:fldCharType="begin"/>
            </w:r>
            <w:r w:rsidR="008F5159">
              <w:rPr>
                <w:noProof/>
                <w:webHidden/>
              </w:rPr>
              <w:instrText xml:space="preserve"> PAGEREF _Toc117512607 \h </w:instrText>
            </w:r>
            <w:r w:rsidR="008F5159">
              <w:rPr>
                <w:noProof/>
                <w:webHidden/>
              </w:rPr>
            </w:r>
            <w:r w:rsidR="008F5159">
              <w:rPr>
                <w:noProof/>
                <w:webHidden/>
              </w:rPr>
              <w:fldChar w:fldCharType="separate"/>
            </w:r>
            <w:r w:rsidR="008F5159">
              <w:rPr>
                <w:noProof/>
                <w:webHidden/>
              </w:rPr>
              <w:t>448</w:t>
            </w:r>
            <w:r w:rsidR="008F5159">
              <w:rPr>
                <w:noProof/>
                <w:webHidden/>
              </w:rPr>
              <w:fldChar w:fldCharType="end"/>
            </w:r>
          </w:hyperlink>
        </w:p>
        <w:p w14:paraId="63A2FDF3" w14:textId="6563D469" w:rsidR="008F5159" w:rsidRDefault="00703520" w:rsidP="00BC4302">
          <w:pPr>
            <w:pStyle w:val="TOC2"/>
            <w:spacing w:before="40" w:afterLines="40" w:after="96"/>
            <w:rPr>
              <w:rFonts w:asciiTheme="minorHAnsi" w:eastAsiaTheme="minorEastAsia" w:hAnsiTheme="minorHAnsi"/>
              <w:noProof/>
              <w:sz w:val="22"/>
            </w:rPr>
          </w:pPr>
          <w:hyperlink w:anchor="_Toc117512608" w:history="1">
            <w:r w:rsidR="008F5159" w:rsidRPr="00F86CA9">
              <w:rPr>
                <w:rStyle w:val="Hyperlink"/>
                <w:noProof/>
              </w:rPr>
              <w:t>17.26 Copyright—Affirmative Defense—First Sale</w:t>
            </w:r>
          </w:hyperlink>
          <w:r w:rsidR="00D1021C">
            <w:rPr>
              <w:rStyle w:val="Hyperlink"/>
              <w:noProof/>
            </w:rPr>
            <w:t xml:space="preserve"> </w:t>
          </w:r>
          <w:hyperlink w:anchor="_Toc117512609" w:history="1">
            <w:r w:rsidR="008F5159" w:rsidRPr="00F86CA9">
              <w:rPr>
                <w:rStyle w:val="Hyperlink"/>
                <w:noProof/>
              </w:rPr>
              <w:t>(17 U.S.C. § 109(a))</w:t>
            </w:r>
            <w:r w:rsidR="008F5159">
              <w:rPr>
                <w:noProof/>
                <w:webHidden/>
              </w:rPr>
              <w:tab/>
            </w:r>
            <w:r w:rsidR="008F5159">
              <w:rPr>
                <w:noProof/>
                <w:webHidden/>
              </w:rPr>
              <w:fldChar w:fldCharType="begin"/>
            </w:r>
            <w:r w:rsidR="008F5159">
              <w:rPr>
                <w:noProof/>
                <w:webHidden/>
              </w:rPr>
              <w:instrText xml:space="preserve"> PAGEREF _Toc117512609 \h </w:instrText>
            </w:r>
            <w:r w:rsidR="008F5159">
              <w:rPr>
                <w:noProof/>
                <w:webHidden/>
              </w:rPr>
            </w:r>
            <w:r w:rsidR="008F5159">
              <w:rPr>
                <w:noProof/>
                <w:webHidden/>
              </w:rPr>
              <w:fldChar w:fldCharType="separate"/>
            </w:r>
            <w:r w:rsidR="008F5159">
              <w:rPr>
                <w:noProof/>
                <w:webHidden/>
              </w:rPr>
              <w:t>450</w:t>
            </w:r>
            <w:r w:rsidR="008F5159">
              <w:rPr>
                <w:noProof/>
                <w:webHidden/>
              </w:rPr>
              <w:fldChar w:fldCharType="end"/>
            </w:r>
          </w:hyperlink>
        </w:p>
        <w:p w14:paraId="7EF53E6C" w14:textId="77777777" w:rsidR="008F5159" w:rsidRDefault="00703520" w:rsidP="00BC4302">
          <w:pPr>
            <w:pStyle w:val="TOC2"/>
            <w:spacing w:before="40" w:afterLines="40" w:after="96"/>
            <w:rPr>
              <w:rFonts w:asciiTheme="minorHAnsi" w:eastAsiaTheme="minorEastAsia" w:hAnsiTheme="minorHAnsi"/>
              <w:noProof/>
              <w:sz w:val="22"/>
            </w:rPr>
          </w:pPr>
          <w:hyperlink w:anchor="_Toc117512610" w:history="1">
            <w:r w:rsidR="008F5159" w:rsidRPr="00F86CA9">
              <w:rPr>
                <w:rStyle w:val="Hyperlink"/>
                <w:noProof/>
              </w:rPr>
              <w:t>17.27 Copyright—Affirmative Defense—Service Provider</w:t>
            </w:r>
            <w:r w:rsidR="008F5159">
              <w:rPr>
                <w:noProof/>
                <w:webHidden/>
              </w:rPr>
              <w:tab/>
            </w:r>
            <w:r w:rsidR="008F5159">
              <w:rPr>
                <w:noProof/>
                <w:webHidden/>
              </w:rPr>
              <w:fldChar w:fldCharType="begin"/>
            </w:r>
            <w:r w:rsidR="008F5159">
              <w:rPr>
                <w:noProof/>
                <w:webHidden/>
              </w:rPr>
              <w:instrText xml:space="preserve"> PAGEREF _Toc117512610 \h </w:instrText>
            </w:r>
            <w:r w:rsidR="008F5159">
              <w:rPr>
                <w:noProof/>
                <w:webHidden/>
              </w:rPr>
            </w:r>
            <w:r w:rsidR="008F5159">
              <w:rPr>
                <w:noProof/>
                <w:webHidden/>
              </w:rPr>
              <w:fldChar w:fldCharType="separate"/>
            </w:r>
            <w:r w:rsidR="008F5159">
              <w:rPr>
                <w:noProof/>
                <w:webHidden/>
              </w:rPr>
              <w:t>451</w:t>
            </w:r>
            <w:r w:rsidR="008F5159">
              <w:rPr>
                <w:noProof/>
                <w:webHidden/>
              </w:rPr>
              <w:fldChar w:fldCharType="end"/>
            </w:r>
          </w:hyperlink>
        </w:p>
        <w:p w14:paraId="478FAC3F" w14:textId="6D2B020E" w:rsidR="008F5159" w:rsidRDefault="00703520" w:rsidP="00BC4302">
          <w:pPr>
            <w:pStyle w:val="TOC2"/>
            <w:spacing w:before="40" w:afterLines="40" w:after="96"/>
            <w:rPr>
              <w:rFonts w:asciiTheme="minorHAnsi" w:eastAsiaTheme="minorEastAsia" w:hAnsiTheme="minorHAnsi"/>
              <w:noProof/>
              <w:sz w:val="22"/>
            </w:rPr>
          </w:pPr>
          <w:hyperlink w:anchor="_Toc117512611" w:history="1">
            <w:r w:rsidR="008F5159" w:rsidRPr="00F86CA9">
              <w:rPr>
                <w:rStyle w:val="Hyperlink"/>
                <w:noProof/>
              </w:rPr>
              <w:t>of Network Communications Services Defined</w:t>
            </w:r>
          </w:hyperlink>
          <w:r w:rsidR="00D1021C">
            <w:rPr>
              <w:rStyle w:val="Hyperlink"/>
              <w:noProof/>
            </w:rPr>
            <w:t xml:space="preserve"> </w:t>
          </w:r>
          <w:hyperlink w:anchor="_Toc117512612" w:history="1">
            <w:r w:rsidR="008F5159" w:rsidRPr="00F86CA9">
              <w:rPr>
                <w:rStyle w:val="Hyperlink"/>
                <w:noProof/>
              </w:rPr>
              <w:t>(17 U.S.C. § 512(i), (k))</w:t>
            </w:r>
            <w:r w:rsidR="008F5159">
              <w:rPr>
                <w:noProof/>
                <w:webHidden/>
              </w:rPr>
              <w:tab/>
            </w:r>
            <w:r w:rsidR="008F5159">
              <w:rPr>
                <w:noProof/>
                <w:webHidden/>
              </w:rPr>
              <w:fldChar w:fldCharType="begin"/>
            </w:r>
            <w:r w:rsidR="008F5159">
              <w:rPr>
                <w:noProof/>
                <w:webHidden/>
              </w:rPr>
              <w:instrText xml:space="preserve"> PAGEREF _Toc117512612 \h </w:instrText>
            </w:r>
            <w:r w:rsidR="008F5159">
              <w:rPr>
                <w:noProof/>
                <w:webHidden/>
              </w:rPr>
            </w:r>
            <w:r w:rsidR="008F5159">
              <w:rPr>
                <w:noProof/>
                <w:webHidden/>
              </w:rPr>
              <w:fldChar w:fldCharType="separate"/>
            </w:r>
            <w:r w:rsidR="008F5159">
              <w:rPr>
                <w:noProof/>
                <w:webHidden/>
              </w:rPr>
              <w:t>451</w:t>
            </w:r>
            <w:r w:rsidR="008F5159">
              <w:rPr>
                <w:noProof/>
                <w:webHidden/>
              </w:rPr>
              <w:fldChar w:fldCharType="end"/>
            </w:r>
          </w:hyperlink>
        </w:p>
        <w:p w14:paraId="57CDF651" w14:textId="7B324CF9" w:rsidR="008F5159" w:rsidRDefault="00703520" w:rsidP="00BC4302">
          <w:pPr>
            <w:pStyle w:val="TOC2"/>
            <w:spacing w:before="40" w:afterLines="40" w:after="96"/>
            <w:rPr>
              <w:rFonts w:asciiTheme="minorHAnsi" w:eastAsiaTheme="minorEastAsia" w:hAnsiTheme="minorHAnsi"/>
              <w:noProof/>
              <w:sz w:val="22"/>
            </w:rPr>
          </w:pPr>
          <w:hyperlink w:anchor="_Toc117512613" w:history="1">
            <w:r w:rsidR="008F5159" w:rsidRPr="00F86CA9">
              <w:rPr>
                <w:rStyle w:val="Hyperlink"/>
                <w:noProof/>
              </w:rPr>
              <w:t>17.28 Copyright—Affirmative Defense—Limitation on Liability for</w:t>
            </w:r>
          </w:hyperlink>
          <w:r w:rsidR="00D1021C">
            <w:rPr>
              <w:rStyle w:val="Hyperlink"/>
              <w:noProof/>
            </w:rPr>
            <w:t xml:space="preserve"> </w:t>
          </w:r>
          <w:hyperlink w:anchor="_Toc117512614" w:history="1">
            <w:r w:rsidR="008F5159" w:rsidRPr="00F86CA9">
              <w:rPr>
                <w:rStyle w:val="Hyperlink"/>
                <w:noProof/>
              </w:rPr>
              <w:t>Transitory Digital Network Communications (17 U.S.C. § 512(a))</w:t>
            </w:r>
            <w:r w:rsidR="008F5159">
              <w:rPr>
                <w:noProof/>
                <w:webHidden/>
              </w:rPr>
              <w:tab/>
            </w:r>
            <w:r w:rsidR="008F5159">
              <w:rPr>
                <w:noProof/>
                <w:webHidden/>
              </w:rPr>
              <w:fldChar w:fldCharType="begin"/>
            </w:r>
            <w:r w:rsidR="008F5159">
              <w:rPr>
                <w:noProof/>
                <w:webHidden/>
              </w:rPr>
              <w:instrText xml:space="preserve"> PAGEREF _Toc117512614 \h </w:instrText>
            </w:r>
            <w:r w:rsidR="008F5159">
              <w:rPr>
                <w:noProof/>
                <w:webHidden/>
              </w:rPr>
            </w:r>
            <w:r w:rsidR="008F5159">
              <w:rPr>
                <w:noProof/>
                <w:webHidden/>
              </w:rPr>
              <w:fldChar w:fldCharType="separate"/>
            </w:r>
            <w:r w:rsidR="008F5159">
              <w:rPr>
                <w:noProof/>
                <w:webHidden/>
              </w:rPr>
              <w:t>452</w:t>
            </w:r>
            <w:r w:rsidR="008F5159">
              <w:rPr>
                <w:noProof/>
                <w:webHidden/>
              </w:rPr>
              <w:fldChar w:fldCharType="end"/>
            </w:r>
          </w:hyperlink>
        </w:p>
        <w:p w14:paraId="355FEB18" w14:textId="7AFA79F1" w:rsidR="008F5159" w:rsidRDefault="00703520" w:rsidP="00BC4302">
          <w:pPr>
            <w:pStyle w:val="TOC2"/>
            <w:spacing w:before="40" w:afterLines="40" w:after="96"/>
            <w:rPr>
              <w:rFonts w:asciiTheme="minorHAnsi" w:eastAsiaTheme="minorEastAsia" w:hAnsiTheme="minorHAnsi"/>
              <w:noProof/>
              <w:sz w:val="22"/>
            </w:rPr>
          </w:pPr>
          <w:hyperlink w:anchor="_Toc117512615" w:history="1">
            <w:r w:rsidR="008F5159" w:rsidRPr="00F86CA9">
              <w:rPr>
                <w:rStyle w:val="Hyperlink"/>
                <w:noProof/>
              </w:rPr>
              <w:t>17.29 Copyright—Affirmative Defense—Limitation on Liability</w:t>
            </w:r>
          </w:hyperlink>
          <w:r w:rsidR="00D1021C">
            <w:rPr>
              <w:rStyle w:val="Hyperlink"/>
              <w:noProof/>
            </w:rPr>
            <w:t xml:space="preserve"> </w:t>
          </w:r>
          <w:hyperlink w:anchor="_Toc117512616" w:history="1">
            <w:r w:rsidR="008F5159" w:rsidRPr="00F86CA9">
              <w:rPr>
                <w:rStyle w:val="Hyperlink"/>
                <w:noProof/>
              </w:rPr>
              <w:t>for System Caching (17 U.S.C. § 512(b))</w:t>
            </w:r>
            <w:r w:rsidR="008F5159">
              <w:rPr>
                <w:noProof/>
                <w:webHidden/>
              </w:rPr>
              <w:tab/>
            </w:r>
            <w:r w:rsidR="008F5159">
              <w:rPr>
                <w:noProof/>
                <w:webHidden/>
              </w:rPr>
              <w:fldChar w:fldCharType="begin"/>
            </w:r>
            <w:r w:rsidR="008F5159">
              <w:rPr>
                <w:noProof/>
                <w:webHidden/>
              </w:rPr>
              <w:instrText xml:space="preserve"> PAGEREF _Toc117512616 \h </w:instrText>
            </w:r>
            <w:r w:rsidR="008F5159">
              <w:rPr>
                <w:noProof/>
                <w:webHidden/>
              </w:rPr>
            </w:r>
            <w:r w:rsidR="008F5159">
              <w:rPr>
                <w:noProof/>
                <w:webHidden/>
              </w:rPr>
              <w:fldChar w:fldCharType="separate"/>
            </w:r>
            <w:r w:rsidR="008F5159">
              <w:rPr>
                <w:noProof/>
                <w:webHidden/>
              </w:rPr>
              <w:t>454</w:t>
            </w:r>
            <w:r w:rsidR="008F5159">
              <w:rPr>
                <w:noProof/>
                <w:webHidden/>
              </w:rPr>
              <w:fldChar w:fldCharType="end"/>
            </w:r>
          </w:hyperlink>
        </w:p>
        <w:p w14:paraId="3BCAD8E7" w14:textId="77777777" w:rsidR="008F5159" w:rsidRDefault="00703520" w:rsidP="00BC4302">
          <w:pPr>
            <w:pStyle w:val="TOC2"/>
            <w:spacing w:before="40" w:afterLines="40" w:after="96"/>
            <w:rPr>
              <w:rFonts w:asciiTheme="minorHAnsi" w:eastAsiaTheme="minorEastAsia" w:hAnsiTheme="minorHAnsi"/>
              <w:noProof/>
              <w:sz w:val="22"/>
            </w:rPr>
          </w:pPr>
          <w:hyperlink w:anchor="_Toc117512617" w:history="1">
            <w:r w:rsidR="008F5159" w:rsidRPr="00F86CA9">
              <w:rPr>
                <w:rStyle w:val="Hyperlink"/>
                <w:noProof/>
              </w:rPr>
              <w:t>17.30 Copyright—Affirmative Defense—Limitation on Liability for Information Residing on Systems or Networks at Direction of Users (17 U.S.C. § 512(c))</w:t>
            </w:r>
            <w:r w:rsidR="008F5159">
              <w:rPr>
                <w:noProof/>
                <w:webHidden/>
              </w:rPr>
              <w:tab/>
            </w:r>
            <w:r w:rsidR="008F5159">
              <w:rPr>
                <w:noProof/>
                <w:webHidden/>
              </w:rPr>
              <w:fldChar w:fldCharType="begin"/>
            </w:r>
            <w:r w:rsidR="008F5159">
              <w:rPr>
                <w:noProof/>
                <w:webHidden/>
              </w:rPr>
              <w:instrText xml:space="preserve"> PAGEREF _Toc117512617 \h </w:instrText>
            </w:r>
            <w:r w:rsidR="008F5159">
              <w:rPr>
                <w:noProof/>
                <w:webHidden/>
              </w:rPr>
            </w:r>
            <w:r w:rsidR="008F5159">
              <w:rPr>
                <w:noProof/>
                <w:webHidden/>
              </w:rPr>
              <w:fldChar w:fldCharType="separate"/>
            </w:r>
            <w:r w:rsidR="008F5159">
              <w:rPr>
                <w:noProof/>
                <w:webHidden/>
              </w:rPr>
              <w:t>457</w:t>
            </w:r>
            <w:r w:rsidR="008F5159">
              <w:rPr>
                <w:noProof/>
                <w:webHidden/>
              </w:rPr>
              <w:fldChar w:fldCharType="end"/>
            </w:r>
          </w:hyperlink>
        </w:p>
        <w:p w14:paraId="606F326F" w14:textId="29344A25" w:rsidR="008F5159" w:rsidRDefault="00703520" w:rsidP="00BC4302">
          <w:pPr>
            <w:pStyle w:val="TOC2"/>
            <w:spacing w:before="40" w:afterLines="40" w:after="96"/>
            <w:rPr>
              <w:rFonts w:asciiTheme="minorHAnsi" w:eastAsiaTheme="minorEastAsia" w:hAnsiTheme="minorHAnsi"/>
              <w:noProof/>
              <w:sz w:val="22"/>
            </w:rPr>
          </w:pPr>
          <w:hyperlink w:anchor="_Toc117512618" w:history="1">
            <w:r w:rsidR="008F5159" w:rsidRPr="00F86CA9">
              <w:rPr>
                <w:rStyle w:val="Hyperlink"/>
                <w:noProof/>
              </w:rPr>
              <w:t>17.31 Copyright—Affirmative Defense—Limitation on Liability</w:t>
            </w:r>
          </w:hyperlink>
          <w:r w:rsidR="00D1021C">
            <w:rPr>
              <w:rStyle w:val="Hyperlink"/>
              <w:noProof/>
            </w:rPr>
            <w:t xml:space="preserve"> </w:t>
          </w:r>
          <w:hyperlink w:anchor="_Toc117512619" w:history="1">
            <w:r w:rsidR="008F5159" w:rsidRPr="00F86CA9">
              <w:rPr>
                <w:rStyle w:val="Hyperlink"/>
                <w:noProof/>
              </w:rPr>
              <w:t>for Information Location Tools (17 U.S.C. § 512(d))</w:t>
            </w:r>
            <w:r w:rsidR="008F5159">
              <w:rPr>
                <w:noProof/>
                <w:webHidden/>
              </w:rPr>
              <w:tab/>
            </w:r>
            <w:r w:rsidR="008F5159">
              <w:rPr>
                <w:noProof/>
                <w:webHidden/>
              </w:rPr>
              <w:fldChar w:fldCharType="begin"/>
            </w:r>
            <w:r w:rsidR="008F5159">
              <w:rPr>
                <w:noProof/>
                <w:webHidden/>
              </w:rPr>
              <w:instrText xml:space="preserve"> PAGEREF _Toc117512619 \h </w:instrText>
            </w:r>
            <w:r w:rsidR="008F5159">
              <w:rPr>
                <w:noProof/>
                <w:webHidden/>
              </w:rPr>
            </w:r>
            <w:r w:rsidR="008F5159">
              <w:rPr>
                <w:noProof/>
                <w:webHidden/>
              </w:rPr>
              <w:fldChar w:fldCharType="separate"/>
            </w:r>
            <w:r w:rsidR="008F5159">
              <w:rPr>
                <w:noProof/>
                <w:webHidden/>
              </w:rPr>
              <w:t>460</w:t>
            </w:r>
            <w:r w:rsidR="008F5159">
              <w:rPr>
                <w:noProof/>
                <w:webHidden/>
              </w:rPr>
              <w:fldChar w:fldCharType="end"/>
            </w:r>
          </w:hyperlink>
        </w:p>
        <w:p w14:paraId="24EEBF57" w14:textId="77777777" w:rsidR="008F5159" w:rsidRDefault="00703520" w:rsidP="00BC4302">
          <w:pPr>
            <w:pStyle w:val="TOC2"/>
            <w:spacing w:before="40" w:afterLines="40" w:after="96"/>
            <w:rPr>
              <w:rFonts w:asciiTheme="minorHAnsi" w:eastAsiaTheme="minorEastAsia" w:hAnsiTheme="minorHAnsi"/>
              <w:noProof/>
              <w:sz w:val="22"/>
            </w:rPr>
          </w:pPr>
          <w:hyperlink w:anchor="_Toc117512620" w:history="1">
            <w:r w:rsidR="008F5159" w:rsidRPr="00F86CA9">
              <w:rPr>
                <w:rStyle w:val="Hyperlink"/>
                <w:noProof/>
              </w:rPr>
              <w:t>17.32 Copyright—Damages (17 U.S.C. § 504)</w:t>
            </w:r>
            <w:r w:rsidR="008F5159">
              <w:rPr>
                <w:noProof/>
                <w:webHidden/>
              </w:rPr>
              <w:tab/>
            </w:r>
            <w:r w:rsidR="008F5159">
              <w:rPr>
                <w:noProof/>
                <w:webHidden/>
              </w:rPr>
              <w:fldChar w:fldCharType="begin"/>
            </w:r>
            <w:r w:rsidR="008F5159">
              <w:rPr>
                <w:noProof/>
                <w:webHidden/>
              </w:rPr>
              <w:instrText xml:space="preserve"> PAGEREF _Toc117512620 \h </w:instrText>
            </w:r>
            <w:r w:rsidR="008F5159">
              <w:rPr>
                <w:noProof/>
                <w:webHidden/>
              </w:rPr>
            </w:r>
            <w:r w:rsidR="008F5159">
              <w:rPr>
                <w:noProof/>
                <w:webHidden/>
              </w:rPr>
              <w:fldChar w:fldCharType="separate"/>
            </w:r>
            <w:r w:rsidR="008F5159">
              <w:rPr>
                <w:noProof/>
                <w:webHidden/>
              </w:rPr>
              <w:t>462</w:t>
            </w:r>
            <w:r w:rsidR="008F5159">
              <w:rPr>
                <w:noProof/>
                <w:webHidden/>
              </w:rPr>
              <w:fldChar w:fldCharType="end"/>
            </w:r>
          </w:hyperlink>
        </w:p>
        <w:p w14:paraId="0DA3011E" w14:textId="4A85E4D6" w:rsidR="008F5159" w:rsidRDefault="00703520" w:rsidP="00BC4302">
          <w:pPr>
            <w:pStyle w:val="TOC2"/>
            <w:spacing w:before="40" w:afterLines="40" w:after="96"/>
            <w:rPr>
              <w:rFonts w:asciiTheme="minorHAnsi" w:eastAsiaTheme="minorEastAsia" w:hAnsiTheme="minorHAnsi"/>
              <w:noProof/>
              <w:sz w:val="22"/>
            </w:rPr>
          </w:pPr>
          <w:hyperlink w:anchor="_Toc117512621" w:history="1">
            <w:r w:rsidR="008F5159" w:rsidRPr="00F86CA9">
              <w:rPr>
                <w:rStyle w:val="Hyperlink"/>
                <w:noProof/>
              </w:rPr>
              <w:t>17.33 Copyright—Damages—Actual Damages</w:t>
            </w:r>
          </w:hyperlink>
          <w:r w:rsidR="00D1021C">
            <w:rPr>
              <w:rStyle w:val="Hyperlink"/>
              <w:noProof/>
            </w:rPr>
            <w:t xml:space="preserve"> </w:t>
          </w:r>
          <w:hyperlink w:anchor="_Toc117512622" w:history="1">
            <w:r w:rsidR="008F5159" w:rsidRPr="00F86CA9">
              <w:rPr>
                <w:rStyle w:val="Hyperlink"/>
                <w:noProof/>
              </w:rPr>
              <w:t>(17 U.S.C. § 504(b))</w:t>
            </w:r>
            <w:r w:rsidR="008F5159">
              <w:rPr>
                <w:noProof/>
                <w:webHidden/>
              </w:rPr>
              <w:tab/>
            </w:r>
            <w:r w:rsidR="008F5159">
              <w:rPr>
                <w:noProof/>
                <w:webHidden/>
              </w:rPr>
              <w:fldChar w:fldCharType="begin"/>
            </w:r>
            <w:r w:rsidR="008F5159">
              <w:rPr>
                <w:noProof/>
                <w:webHidden/>
              </w:rPr>
              <w:instrText xml:space="preserve"> PAGEREF _Toc117512622 \h </w:instrText>
            </w:r>
            <w:r w:rsidR="008F5159">
              <w:rPr>
                <w:noProof/>
                <w:webHidden/>
              </w:rPr>
            </w:r>
            <w:r w:rsidR="008F5159">
              <w:rPr>
                <w:noProof/>
                <w:webHidden/>
              </w:rPr>
              <w:fldChar w:fldCharType="separate"/>
            </w:r>
            <w:r w:rsidR="008F5159">
              <w:rPr>
                <w:noProof/>
                <w:webHidden/>
              </w:rPr>
              <w:t>463</w:t>
            </w:r>
            <w:r w:rsidR="008F5159">
              <w:rPr>
                <w:noProof/>
                <w:webHidden/>
              </w:rPr>
              <w:fldChar w:fldCharType="end"/>
            </w:r>
          </w:hyperlink>
        </w:p>
        <w:p w14:paraId="496268D7" w14:textId="63D1BA9D" w:rsidR="008F5159" w:rsidRDefault="00703520" w:rsidP="00BC4302">
          <w:pPr>
            <w:pStyle w:val="TOC2"/>
            <w:spacing w:before="40" w:afterLines="40" w:after="96"/>
            <w:rPr>
              <w:rFonts w:asciiTheme="minorHAnsi" w:eastAsiaTheme="minorEastAsia" w:hAnsiTheme="minorHAnsi"/>
              <w:noProof/>
              <w:sz w:val="22"/>
            </w:rPr>
          </w:pPr>
          <w:hyperlink w:anchor="_Toc117512623" w:history="1">
            <w:r w:rsidR="008F5159" w:rsidRPr="00F86CA9">
              <w:rPr>
                <w:rStyle w:val="Hyperlink"/>
                <w:noProof/>
              </w:rPr>
              <w:t>17.34 Copyright—Damages—Defendant’s Profits</w:t>
            </w:r>
          </w:hyperlink>
          <w:r w:rsidR="00D1021C">
            <w:rPr>
              <w:rStyle w:val="Hyperlink"/>
              <w:noProof/>
            </w:rPr>
            <w:t xml:space="preserve"> </w:t>
          </w:r>
          <w:hyperlink w:anchor="_Toc117512624" w:history="1">
            <w:r w:rsidR="008F5159" w:rsidRPr="00F86CA9">
              <w:rPr>
                <w:rStyle w:val="Hyperlink"/>
                <w:noProof/>
              </w:rPr>
              <w:t>(17 U.S.C. § 504(b))</w:t>
            </w:r>
            <w:r w:rsidR="008F5159">
              <w:rPr>
                <w:noProof/>
                <w:webHidden/>
              </w:rPr>
              <w:tab/>
            </w:r>
            <w:r w:rsidR="008F5159">
              <w:rPr>
                <w:noProof/>
                <w:webHidden/>
              </w:rPr>
              <w:fldChar w:fldCharType="begin"/>
            </w:r>
            <w:r w:rsidR="008F5159">
              <w:rPr>
                <w:noProof/>
                <w:webHidden/>
              </w:rPr>
              <w:instrText xml:space="preserve"> PAGEREF _Toc117512624 \h </w:instrText>
            </w:r>
            <w:r w:rsidR="008F5159">
              <w:rPr>
                <w:noProof/>
                <w:webHidden/>
              </w:rPr>
            </w:r>
            <w:r w:rsidR="008F5159">
              <w:rPr>
                <w:noProof/>
                <w:webHidden/>
              </w:rPr>
              <w:fldChar w:fldCharType="separate"/>
            </w:r>
            <w:r w:rsidR="008F5159">
              <w:rPr>
                <w:noProof/>
                <w:webHidden/>
              </w:rPr>
              <w:t>464</w:t>
            </w:r>
            <w:r w:rsidR="008F5159">
              <w:rPr>
                <w:noProof/>
                <w:webHidden/>
              </w:rPr>
              <w:fldChar w:fldCharType="end"/>
            </w:r>
          </w:hyperlink>
        </w:p>
        <w:p w14:paraId="087DE674" w14:textId="3B51E83E" w:rsidR="008F5159" w:rsidRDefault="00703520" w:rsidP="00BC4302">
          <w:pPr>
            <w:pStyle w:val="TOC2"/>
            <w:spacing w:before="40" w:afterLines="40" w:after="96"/>
            <w:rPr>
              <w:rFonts w:asciiTheme="minorHAnsi" w:eastAsiaTheme="minorEastAsia" w:hAnsiTheme="minorHAnsi"/>
              <w:noProof/>
              <w:sz w:val="22"/>
            </w:rPr>
          </w:pPr>
          <w:hyperlink w:anchor="_Toc117512625" w:history="1">
            <w:r w:rsidR="008F5159" w:rsidRPr="00F86CA9">
              <w:rPr>
                <w:rStyle w:val="Hyperlink"/>
                <w:noProof/>
              </w:rPr>
              <w:t>17.35 Copyright—Damages—Statutory Damages</w:t>
            </w:r>
          </w:hyperlink>
          <w:r w:rsidR="00D1021C">
            <w:rPr>
              <w:rStyle w:val="Hyperlink"/>
              <w:noProof/>
            </w:rPr>
            <w:t xml:space="preserve"> </w:t>
          </w:r>
          <w:hyperlink w:anchor="_Toc117512626" w:history="1">
            <w:r w:rsidR="008F5159" w:rsidRPr="00F86CA9">
              <w:rPr>
                <w:rStyle w:val="Hyperlink"/>
                <w:noProof/>
              </w:rPr>
              <w:t>(17 U.S.C. § 504(c))</w:t>
            </w:r>
            <w:r w:rsidR="008F5159">
              <w:rPr>
                <w:noProof/>
                <w:webHidden/>
              </w:rPr>
              <w:tab/>
            </w:r>
            <w:r w:rsidR="008F5159">
              <w:rPr>
                <w:noProof/>
                <w:webHidden/>
              </w:rPr>
              <w:fldChar w:fldCharType="begin"/>
            </w:r>
            <w:r w:rsidR="008F5159">
              <w:rPr>
                <w:noProof/>
                <w:webHidden/>
              </w:rPr>
              <w:instrText xml:space="preserve"> PAGEREF _Toc117512626 \h </w:instrText>
            </w:r>
            <w:r w:rsidR="008F5159">
              <w:rPr>
                <w:noProof/>
                <w:webHidden/>
              </w:rPr>
            </w:r>
            <w:r w:rsidR="008F5159">
              <w:rPr>
                <w:noProof/>
                <w:webHidden/>
              </w:rPr>
              <w:fldChar w:fldCharType="separate"/>
            </w:r>
            <w:r w:rsidR="008F5159">
              <w:rPr>
                <w:noProof/>
                <w:webHidden/>
              </w:rPr>
              <w:t>467</w:t>
            </w:r>
            <w:r w:rsidR="008F5159">
              <w:rPr>
                <w:noProof/>
                <w:webHidden/>
              </w:rPr>
              <w:fldChar w:fldCharType="end"/>
            </w:r>
          </w:hyperlink>
        </w:p>
        <w:p w14:paraId="214293D1" w14:textId="3149F61A" w:rsidR="008F5159" w:rsidRDefault="00703520" w:rsidP="00BC4302">
          <w:pPr>
            <w:pStyle w:val="TOC2"/>
            <w:spacing w:before="40" w:afterLines="40" w:after="96"/>
            <w:rPr>
              <w:rFonts w:asciiTheme="minorHAnsi" w:eastAsiaTheme="minorEastAsia" w:hAnsiTheme="minorHAnsi"/>
              <w:noProof/>
              <w:sz w:val="22"/>
            </w:rPr>
          </w:pPr>
          <w:hyperlink w:anchor="_Toc117512627" w:history="1">
            <w:r w:rsidR="008F5159" w:rsidRPr="00F86CA9">
              <w:rPr>
                <w:rStyle w:val="Hyperlink"/>
                <w:noProof/>
              </w:rPr>
              <w:t>17.36 Copyright—Damages—Innocent Infringement</w:t>
            </w:r>
          </w:hyperlink>
          <w:r w:rsidR="00D1021C">
            <w:rPr>
              <w:rStyle w:val="Hyperlink"/>
              <w:noProof/>
            </w:rPr>
            <w:t xml:space="preserve"> </w:t>
          </w:r>
          <w:hyperlink w:anchor="_Toc117512628" w:history="1">
            <w:r w:rsidR="008F5159" w:rsidRPr="00F86CA9">
              <w:rPr>
                <w:rStyle w:val="Hyperlink"/>
                <w:noProof/>
              </w:rPr>
              <w:t>(17 U.S.C. § 504(c)(2))</w:t>
            </w:r>
            <w:r w:rsidR="008F5159">
              <w:rPr>
                <w:noProof/>
                <w:webHidden/>
              </w:rPr>
              <w:tab/>
            </w:r>
            <w:r w:rsidR="008F5159">
              <w:rPr>
                <w:noProof/>
                <w:webHidden/>
              </w:rPr>
              <w:fldChar w:fldCharType="begin"/>
            </w:r>
            <w:r w:rsidR="008F5159">
              <w:rPr>
                <w:noProof/>
                <w:webHidden/>
              </w:rPr>
              <w:instrText xml:space="preserve"> PAGEREF _Toc117512628 \h </w:instrText>
            </w:r>
            <w:r w:rsidR="008F5159">
              <w:rPr>
                <w:noProof/>
                <w:webHidden/>
              </w:rPr>
            </w:r>
            <w:r w:rsidR="008F5159">
              <w:rPr>
                <w:noProof/>
                <w:webHidden/>
              </w:rPr>
              <w:fldChar w:fldCharType="separate"/>
            </w:r>
            <w:r w:rsidR="008F5159">
              <w:rPr>
                <w:noProof/>
                <w:webHidden/>
              </w:rPr>
              <w:t>470</w:t>
            </w:r>
            <w:r w:rsidR="008F5159">
              <w:rPr>
                <w:noProof/>
                <w:webHidden/>
              </w:rPr>
              <w:fldChar w:fldCharType="end"/>
            </w:r>
          </w:hyperlink>
        </w:p>
        <w:p w14:paraId="122D8714" w14:textId="77777777" w:rsidR="008F5159" w:rsidRDefault="00703520" w:rsidP="00BC4302">
          <w:pPr>
            <w:pStyle w:val="TOC2"/>
            <w:spacing w:before="40" w:afterLines="40" w:after="96"/>
            <w:rPr>
              <w:rFonts w:asciiTheme="minorHAnsi" w:eastAsiaTheme="minorEastAsia" w:hAnsiTheme="minorHAnsi"/>
              <w:noProof/>
              <w:sz w:val="22"/>
            </w:rPr>
          </w:pPr>
          <w:hyperlink w:anchor="_Toc117512629" w:history="1">
            <w:r w:rsidR="008F5159" w:rsidRPr="00F86CA9">
              <w:rPr>
                <w:rStyle w:val="Hyperlink"/>
                <w:noProof/>
              </w:rPr>
              <w:t>17.37 Copyright—Damages—Willful Infringement (17 U.S.C. § 504(c)(2))</w:t>
            </w:r>
            <w:r w:rsidR="008F5159">
              <w:rPr>
                <w:noProof/>
                <w:webHidden/>
              </w:rPr>
              <w:tab/>
            </w:r>
            <w:r w:rsidR="008F5159">
              <w:rPr>
                <w:noProof/>
                <w:webHidden/>
              </w:rPr>
              <w:fldChar w:fldCharType="begin"/>
            </w:r>
            <w:r w:rsidR="008F5159">
              <w:rPr>
                <w:noProof/>
                <w:webHidden/>
              </w:rPr>
              <w:instrText xml:space="preserve"> PAGEREF _Toc117512629 \h </w:instrText>
            </w:r>
            <w:r w:rsidR="008F5159">
              <w:rPr>
                <w:noProof/>
                <w:webHidden/>
              </w:rPr>
            </w:r>
            <w:r w:rsidR="008F5159">
              <w:rPr>
                <w:noProof/>
                <w:webHidden/>
              </w:rPr>
              <w:fldChar w:fldCharType="separate"/>
            </w:r>
            <w:r w:rsidR="008F5159">
              <w:rPr>
                <w:noProof/>
                <w:webHidden/>
              </w:rPr>
              <w:t>471</w:t>
            </w:r>
            <w:r w:rsidR="008F5159">
              <w:rPr>
                <w:noProof/>
                <w:webHidden/>
              </w:rPr>
              <w:fldChar w:fldCharType="end"/>
            </w:r>
          </w:hyperlink>
        </w:p>
        <w:p w14:paraId="77A3CF0C" w14:textId="77777777" w:rsidR="008F5159" w:rsidRDefault="00703520" w:rsidP="00340019">
          <w:pPr>
            <w:pStyle w:val="TOC1"/>
            <w:rPr>
              <w:rFonts w:asciiTheme="minorHAnsi" w:eastAsiaTheme="minorEastAsia" w:hAnsiTheme="minorHAnsi"/>
              <w:noProof/>
              <w:sz w:val="22"/>
            </w:rPr>
          </w:pPr>
          <w:hyperlink w:anchor="_Toc117512630" w:history="1">
            <w:r w:rsidR="008F5159" w:rsidRPr="00F86CA9">
              <w:rPr>
                <w:rStyle w:val="Hyperlink"/>
                <w:noProof/>
              </w:rPr>
              <w:t>18.  SECURITIES EXCHANGE ACT</w:t>
            </w:r>
            <w:r w:rsidR="008F5159">
              <w:rPr>
                <w:noProof/>
                <w:webHidden/>
              </w:rPr>
              <w:tab/>
            </w:r>
            <w:r w:rsidR="008F5159">
              <w:rPr>
                <w:noProof/>
                <w:webHidden/>
              </w:rPr>
              <w:fldChar w:fldCharType="begin"/>
            </w:r>
            <w:r w:rsidR="008F5159">
              <w:rPr>
                <w:noProof/>
                <w:webHidden/>
              </w:rPr>
              <w:instrText xml:space="preserve"> PAGEREF _Toc117512630 \h </w:instrText>
            </w:r>
            <w:r w:rsidR="008F5159">
              <w:rPr>
                <w:noProof/>
                <w:webHidden/>
              </w:rPr>
            </w:r>
            <w:r w:rsidR="008F5159">
              <w:rPr>
                <w:noProof/>
                <w:webHidden/>
              </w:rPr>
              <w:fldChar w:fldCharType="separate"/>
            </w:r>
            <w:r w:rsidR="008F5159">
              <w:rPr>
                <w:noProof/>
                <w:webHidden/>
              </w:rPr>
              <w:t>472</w:t>
            </w:r>
            <w:r w:rsidR="008F5159">
              <w:rPr>
                <w:noProof/>
                <w:webHidden/>
              </w:rPr>
              <w:fldChar w:fldCharType="end"/>
            </w:r>
          </w:hyperlink>
          <w:r w:rsidR="008F5159">
            <w:rPr>
              <w:rFonts w:asciiTheme="minorHAnsi" w:eastAsiaTheme="minorEastAsia" w:hAnsiTheme="minorHAnsi"/>
              <w:noProof/>
              <w:sz w:val="22"/>
            </w:rPr>
            <w:br/>
          </w:r>
          <w:hyperlink w:anchor="_Toc117512631" w:history="1">
            <w:r w:rsidR="008F5159" w:rsidRPr="00F86CA9">
              <w:rPr>
                <w:rStyle w:val="Hyperlink"/>
                <w:noProof/>
              </w:rPr>
              <w:t>Introductory Comment</w:t>
            </w:r>
            <w:r w:rsidR="008F5159">
              <w:rPr>
                <w:noProof/>
                <w:webHidden/>
              </w:rPr>
              <w:tab/>
            </w:r>
            <w:r w:rsidR="008F5159">
              <w:rPr>
                <w:noProof/>
                <w:webHidden/>
              </w:rPr>
              <w:fldChar w:fldCharType="begin"/>
            </w:r>
            <w:r w:rsidR="008F5159">
              <w:rPr>
                <w:noProof/>
                <w:webHidden/>
              </w:rPr>
              <w:instrText xml:space="preserve"> PAGEREF _Toc117512631 \h </w:instrText>
            </w:r>
            <w:r w:rsidR="008F5159">
              <w:rPr>
                <w:noProof/>
                <w:webHidden/>
              </w:rPr>
            </w:r>
            <w:r w:rsidR="008F5159">
              <w:rPr>
                <w:noProof/>
                <w:webHidden/>
              </w:rPr>
              <w:fldChar w:fldCharType="separate"/>
            </w:r>
            <w:r w:rsidR="008F5159">
              <w:rPr>
                <w:noProof/>
                <w:webHidden/>
              </w:rPr>
              <w:t>472</w:t>
            </w:r>
            <w:r w:rsidR="008F5159">
              <w:rPr>
                <w:noProof/>
                <w:webHidden/>
              </w:rPr>
              <w:fldChar w:fldCharType="end"/>
            </w:r>
          </w:hyperlink>
        </w:p>
        <w:p w14:paraId="624AF5D2"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2" w:history="1">
            <w:r w:rsidR="008F5159" w:rsidRPr="00F86CA9">
              <w:rPr>
                <w:rStyle w:val="Hyperlink"/>
                <w:noProof/>
              </w:rPr>
              <w:t>18.1 Securities—Definitions of Recurring Terms</w:t>
            </w:r>
            <w:r w:rsidR="008F5159">
              <w:rPr>
                <w:noProof/>
                <w:webHidden/>
              </w:rPr>
              <w:tab/>
            </w:r>
            <w:r w:rsidR="008F5159">
              <w:rPr>
                <w:noProof/>
                <w:webHidden/>
              </w:rPr>
              <w:fldChar w:fldCharType="begin"/>
            </w:r>
            <w:r w:rsidR="008F5159">
              <w:rPr>
                <w:noProof/>
                <w:webHidden/>
              </w:rPr>
              <w:instrText xml:space="preserve"> PAGEREF _Toc117512632 \h </w:instrText>
            </w:r>
            <w:r w:rsidR="008F5159">
              <w:rPr>
                <w:noProof/>
                <w:webHidden/>
              </w:rPr>
            </w:r>
            <w:r w:rsidR="008F5159">
              <w:rPr>
                <w:noProof/>
                <w:webHidden/>
              </w:rPr>
              <w:fldChar w:fldCharType="separate"/>
            </w:r>
            <w:r w:rsidR="008F5159">
              <w:rPr>
                <w:noProof/>
                <w:webHidden/>
              </w:rPr>
              <w:t>474</w:t>
            </w:r>
            <w:r w:rsidR="008F5159">
              <w:rPr>
                <w:noProof/>
                <w:webHidden/>
              </w:rPr>
              <w:fldChar w:fldCharType="end"/>
            </w:r>
          </w:hyperlink>
        </w:p>
        <w:p w14:paraId="70C559DE"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3" w:history="1">
            <w:r w:rsidR="008F5159" w:rsidRPr="00F86CA9">
              <w:rPr>
                <w:rStyle w:val="Hyperlink"/>
                <w:noProof/>
              </w:rPr>
              <w:t>18.2 Securities—Rule 10b-5 Claim</w:t>
            </w:r>
            <w:r w:rsidR="008F5159">
              <w:rPr>
                <w:noProof/>
                <w:webHidden/>
              </w:rPr>
              <w:tab/>
            </w:r>
            <w:r w:rsidR="008F5159">
              <w:rPr>
                <w:noProof/>
                <w:webHidden/>
              </w:rPr>
              <w:fldChar w:fldCharType="begin"/>
            </w:r>
            <w:r w:rsidR="008F5159">
              <w:rPr>
                <w:noProof/>
                <w:webHidden/>
              </w:rPr>
              <w:instrText xml:space="preserve"> PAGEREF _Toc117512633 \h </w:instrText>
            </w:r>
            <w:r w:rsidR="008F5159">
              <w:rPr>
                <w:noProof/>
                <w:webHidden/>
              </w:rPr>
            </w:r>
            <w:r w:rsidR="008F5159">
              <w:rPr>
                <w:noProof/>
                <w:webHidden/>
              </w:rPr>
              <w:fldChar w:fldCharType="separate"/>
            </w:r>
            <w:r w:rsidR="008F5159">
              <w:rPr>
                <w:noProof/>
                <w:webHidden/>
              </w:rPr>
              <w:t>478</w:t>
            </w:r>
            <w:r w:rsidR="008F5159">
              <w:rPr>
                <w:noProof/>
                <w:webHidden/>
              </w:rPr>
              <w:fldChar w:fldCharType="end"/>
            </w:r>
          </w:hyperlink>
        </w:p>
        <w:p w14:paraId="5E159F05"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4" w:history="1">
            <w:r w:rsidR="008F5159" w:rsidRPr="00F86CA9">
              <w:rPr>
                <w:rStyle w:val="Hyperlink"/>
                <w:noProof/>
              </w:rPr>
              <w:t>18.3 Securities—Misrepresentations or Omissions—Materiality</w:t>
            </w:r>
            <w:r w:rsidR="008F5159">
              <w:rPr>
                <w:noProof/>
                <w:webHidden/>
              </w:rPr>
              <w:tab/>
            </w:r>
            <w:r w:rsidR="008F5159">
              <w:rPr>
                <w:noProof/>
                <w:webHidden/>
              </w:rPr>
              <w:fldChar w:fldCharType="begin"/>
            </w:r>
            <w:r w:rsidR="008F5159">
              <w:rPr>
                <w:noProof/>
                <w:webHidden/>
              </w:rPr>
              <w:instrText xml:space="preserve"> PAGEREF _Toc117512634 \h </w:instrText>
            </w:r>
            <w:r w:rsidR="008F5159">
              <w:rPr>
                <w:noProof/>
                <w:webHidden/>
              </w:rPr>
            </w:r>
            <w:r w:rsidR="008F5159">
              <w:rPr>
                <w:noProof/>
                <w:webHidden/>
              </w:rPr>
              <w:fldChar w:fldCharType="separate"/>
            </w:r>
            <w:r w:rsidR="008F5159">
              <w:rPr>
                <w:noProof/>
                <w:webHidden/>
              </w:rPr>
              <w:t>480</w:t>
            </w:r>
            <w:r w:rsidR="008F5159">
              <w:rPr>
                <w:noProof/>
                <w:webHidden/>
              </w:rPr>
              <w:fldChar w:fldCharType="end"/>
            </w:r>
          </w:hyperlink>
        </w:p>
        <w:p w14:paraId="7E8268F1"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5" w:history="1">
            <w:r w:rsidR="008F5159" w:rsidRPr="00F86CA9">
              <w:rPr>
                <w:rStyle w:val="Hyperlink"/>
                <w:noProof/>
              </w:rPr>
              <w:t>18.4 Securities—Forward-Looking Statements</w:t>
            </w:r>
            <w:r w:rsidR="008F5159">
              <w:rPr>
                <w:noProof/>
                <w:webHidden/>
              </w:rPr>
              <w:tab/>
            </w:r>
            <w:r w:rsidR="008F5159">
              <w:rPr>
                <w:noProof/>
                <w:webHidden/>
              </w:rPr>
              <w:fldChar w:fldCharType="begin"/>
            </w:r>
            <w:r w:rsidR="008F5159">
              <w:rPr>
                <w:noProof/>
                <w:webHidden/>
              </w:rPr>
              <w:instrText xml:space="preserve"> PAGEREF _Toc117512635 \h </w:instrText>
            </w:r>
            <w:r w:rsidR="008F5159">
              <w:rPr>
                <w:noProof/>
                <w:webHidden/>
              </w:rPr>
            </w:r>
            <w:r w:rsidR="008F5159">
              <w:rPr>
                <w:noProof/>
                <w:webHidden/>
              </w:rPr>
              <w:fldChar w:fldCharType="separate"/>
            </w:r>
            <w:r w:rsidR="008F5159">
              <w:rPr>
                <w:noProof/>
                <w:webHidden/>
              </w:rPr>
              <w:t>482</w:t>
            </w:r>
            <w:r w:rsidR="008F5159">
              <w:rPr>
                <w:noProof/>
                <w:webHidden/>
              </w:rPr>
              <w:fldChar w:fldCharType="end"/>
            </w:r>
          </w:hyperlink>
        </w:p>
        <w:p w14:paraId="6C00D57E"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6" w:history="1">
            <w:r w:rsidR="008F5159" w:rsidRPr="00F86CA9">
              <w:rPr>
                <w:rStyle w:val="Hyperlink"/>
                <w:noProof/>
              </w:rPr>
              <w:t>18.5 Securities—Knowingly</w:t>
            </w:r>
            <w:r w:rsidR="008F5159">
              <w:rPr>
                <w:noProof/>
                <w:webHidden/>
              </w:rPr>
              <w:tab/>
            </w:r>
            <w:r w:rsidR="008F5159">
              <w:rPr>
                <w:noProof/>
                <w:webHidden/>
              </w:rPr>
              <w:fldChar w:fldCharType="begin"/>
            </w:r>
            <w:r w:rsidR="008F5159">
              <w:rPr>
                <w:noProof/>
                <w:webHidden/>
              </w:rPr>
              <w:instrText xml:space="preserve"> PAGEREF _Toc117512636 \h </w:instrText>
            </w:r>
            <w:r w:rsidR="008F5159">
              <w:rPr>
                <w:noProof/>
                <w:webHidden/>
              </w:rPr>
            </w:r>
            <w:r w:rsidR="008F5159">
              <w:rPr>
                <w:noProof/>
                <w:webHidden/>
              </w:rPr>
              <w:fldChar w:fldCharType="separate"/>
            </w:r>
            <w:r w:rsidR="008F5159">
              <w:rPr>
                <w:noProof/>
                <w:webHidden/>
              </w:rPr>
              <w:t>485</w:t>
            </w:r>
            <w:r w:rsidR="008F5159">
              <w:rPr>
                <w:noProof/>
                <w:webHidden/>
              </w:rPr>
              <w:fldChar w:fldCharType="end"/>
            </w:r>
          </w:hyperlink>
        </w:p>
        <w:p w14:paraId="770B2AFF"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7" w:history="1">
            <w:r w:rsidR="008F5159" w:rsidRPr="00F86CA9">
              <w:rPr>
                <w:rStyle w:val="Hyperlink"/>
                <w:noProof/>
              </w:rPr>
              <w:t>18.6 Securities—Justifiable Reliance Generally</w:t>
            </w:r>
            <w:r w:rsidR="008F5159">
              <w:rPr>
                <w:noProof/>
                <w:webHidden/>
              </w:rPr>
              <w:tab/>
            </w:r>
            <w:r w:rsidR="008F5159">
              <w:rPr>
                <w:noProof/>
                <w:webHidden/>
              </w:rPr>
              <w:fldChar w:fldCharType="begin"/>
            </w:r>
            <w:r w:rsidR="008F5159">
              <w:rPr>
                <w:noProof/>
                <w:webHidden/>
              </w:rPr>
              <w:instrText xml:space="preserve"> PAGEREF _Toc117512637 \h </w:instrText>
            </w:r>
            <w:r w:rsidR="008F5159">
              <w:rPr>
                <w:noProof/>
                <w:webHidden/>
              </w:rPr>
            </w:r>
            <w:r w:rsidR="008F5159">
              <w:rPr>
                <w:noProof/>
                <w:webHidden/>
              </w:rPr>
              <w:fldChar w:fldCharType="separate"/>
            </w:r>
            <w:r w:rsidR="008F5159">
              <w:rPr>
                <w:noProof/>
                <w:webHidden/>
              </w:rPr>
              <w:t>486</w:t>
            </w:r>
            <w:r w:rsidR="008F5159">
              <w:rPr>
                <w:noProof/>
                <w:webHidden/>
              </w:rPr>
              <w:fldChar w:fldCharType="end"/>
            </w:r>
          </w:hyperlink>
        </w:p>
        <w:p w14:paraId="027D6BF5"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8" w:history="1">
            <w:r w:rsidR="008F5159" w:rsidRPr="00F86CA9">
              <w:rPr>
                <w:rStyle w:val="Hyperlink"/>
                <w:noProof/>
              </w:rPr>
              <w:t>18.7 Securities—Justifiable Reliance—Fraud-on-the-Market Case</w:t>
            </w:r>
            <w:r w:rsidR="008F5159">
              <w:rPr>
                <w:noProof/>
                <w:webHidden/>
              </w:rPr>
              <w:tab/>
            </w:r>
            <w:r w:rsidR="008F5159">
              <w:rPr>
                <w:noProof/>
                <w:webHidden/>
              </w:rPr>
              <w:fldChar w:fldCharType="begin"/>
            </w:r>
            <w:r w:rsidR="008F5159">
              <w:rPr>
                <w:noProof/>
                <w:webHidden/>
              </w:rPr>
              <w:instrText xml:space="preserve"> PAGEREF _Toc117512638 \h </w:instrText>
            </w:r>
            <w:r w:rsidR="008F5159">
              <w:rPr>
                <w:noProof/>
                <w:webHidden/>
              </w:rPr>
            </w:r>
            <w:r w:rsidR="008F5159">
              <w:rPr>
                <w:noProof/>
                <w:webHidden/>
              </w:rPr>
              <w:fldChar w:fldCharType="separate"/>
            </w:r>
            <w:r w:rsidR="008F5159">
              <w:rPr>
                <w:noProof/>
                <w:webHidden/>
              </w:rPr>
              <w:t>488</w:t>
            </w:r>
            <w:r w:rsidR="008F5159">
              <w:rPr>
                <w:noProof/>
                <w:webHidden/>
              </w:rPr>
              <w:fldChar w:fldCharType="end"/>
            </w:r>
          </w:hyperlink>
        </w:p>
        <w:p w14:paraId="20A33819" w14:textId="77777777" w:rsidR="008F5159" w:rsidRDefault="00703520" w:rsidP="00BC4302">
          <w:pPr>
            <w:pStyle w:val="TOC2"/>
            <w:spacing w:before="40" w:afterLines="40" w:after="96"/>
            <w:rPr>
              <w:rFonts w:asciiTheme="minorHAnsi" w:eastAsiaTheme="minorEastAsia" w:hAnsiTheme="minorHAnsi"/>
              <w:noProof/>
              <w:sz w:val="22"/>
            </w:rPr>
          </w:pPr>
          <w:hyperlink w:anchor="_Toc117512639" w:history="1">
            <w:r w:rsidR="008F5159" w:rsidRPr="00F86CA9">
              <w:rPr>
                <w:rStyle w:val="Hyperlink"/>
                <w:noProof/>
              </w:rPr>
              <w:t>18.8 Securities—Causation</w:t>
            </w:r>
            <w:r w:rsidR="008F5159">
              <w:rPr>
                <w:noProof/>
                <w:webHidden/>
              </w:rPr>
              <w:tab/>
            </w:r>
            <w:r w:rsidR="008F5159">
              <w:rPr>
                <w:noProof/>
                <w:webHidden/>
              </w:rPr>
              <w:fldChar w:fldCharType="begin"/>
            </w:r>
            <w:r w:rsidR="008F5159">
              <w:rPr>
                <w:noProof/>
                <w:webHidden/>
              </w:rPr>
              <w:instrText xml:space="preserve"> PAGEREF _Toc117512639 \h </w:instrText>
            </w:r>
            <w:r w:rsidR="008F5159">
              <w:rPr>
                <w:noProof/>
                <w:webHidden/>
              </w:rPr>
            </w:r>
            <w:r w:rsidR="008F5159">
              <w:rPr>
                <w:noProof/>
                <w:webHidden/>
              </w:rPr>
              <w:fldChar w:fldCharType="separate"/>
            </w:r>
            <w:r w:rsidR="008F5159">
              <w:rPr>
                <w:noProof/>
                <w:webHidden/>
              </w:rPr>
              <w:t>491</w:t>
            </w:r>
            <w:r w:rsidR="008F5159">
              <w:rPr>
                <w:noProof/>
                <w:webHidden/>
              </w:rPr>
              <w:fldChar w:fldCharType="end"/>
            </w:r>
          </w:hyperlink>
        </w:p>
        <w:p w14:paraId="30ABE35D" w14:textId="77777777" w:rsidR="008F5159" w:rsidRDefault="00703520" w:rsidP="00BC4302">
          <w:pPr>
            <w:pStyle w:val="TOC2"/>
            <w:spacing w:before="40" w:afterLines="40" w:after="96"/>
            <w:rPr>
              <w:rFonts w:asciiTheme="minorHAnsi" w:eastAsiaTheme="minorEastAsia" w:hAnsiTheme="minorHAnsi"/>
              <w:noProof/>
              <w:sz w:val="22"/>
            </w:rPr>
          </w:pPr>
          <w:hyperlink w:anchor="_Toc117512640" w:history="1">
            <w:r w:rsidR="008F5159" w:rsidRPr="00F86CA9">
              <w:rPr>
                <w:rStyle w:val="Hyperlink"/>
                <w:noProof/>
              </w:rPr>
              <w:t>18.9 Securities—Damages</w:t>
            </w:r>
            <w:r w:rsidR="008F5159">
              <w:rPr>
                <w:noProof/>
                <w:webHidden/>
              </w:rPr>
              <w:tab/>
            </w:r>
            <w:r w:rsidR="008F5159">
              <w:rPr>
                <w:noProof/>
                <w:webHidden/>
              </w:rPr>
              <w:fldChar w:fldCharType="begin"/>
            </w:r>
            <w:r w:rsidR="008F5159">
              <w:rPr>
                <w:noProof/>
                <w:webHidden/>
              </w:rPr>
              <w:instrText xml:space="preserve"> PAGEREF _Toc117512640 \h </w:instrText>
            </w:r>
            <w:r w:rsidR="008F5159">
              <w:rPr>
                <w:noProof/>
                <w:webHidden/>
              </w:rPr>
            </w:r>
            <w:r w:rsidR="008F5159">
              <w:rPr>
                <w:noProof/>
                <w:webHidden/>
              </w:rPr>
              <w:fldChar w:fldCharType="separate"/>
            </w:r>
            <w:r w:rsidR="008F5159">
              <w:rPr>
                <w:noProof/>
                <w:webHidden/>
              </w:rPr>
              <w:t>493</w:t>
            </w:r>
            <w:r w:rsidR="008F5159">
              <w:rPr>
                <w:noProof/>
                <w:webHidden/>
              </w:rPr>
              <w:fldChar w:fldCharType="end"/>
            </w:r>
          </w:hyperlink>
        </w:p>
        <w:p w14:paraId="4D3E2DD1" w14:textId="77777777" w:rsidR="008F5159" w:rsidRDefault="00703520" w:rsidP="00BC4302">
          <w:pPr>
            <w:pStyle w:val="TOC2"/>
            <w:spacing w:before="40" w:afterLines="40" w:after="96"/>
            <w:rPr>
              <w:rFonts w:asciiTheme="minorHAnsi" w:eastAsiaTheme="minorEastAsia" w:hAnsiTheme="minorHAnsi"/>
              <w:noProof/>
              <w:sz w:val="22"/>
            </w:rPr>
          </w:pPr>
          <w:hyperlink w:anchor="_Toc117512641" w:history="1">
            <w:r w:rsidR="008F5159" w:rsidRPr="00F86CA9">
              <w:rPr>
                <w:rStyle w:val="Hyperlink"/>
                <w:noProof/>
              </w:rPr>
              <w:t>18.10 Securities—Controlling Person Liability</w:t>
            </w:r>
            <w:r w:rsidR="008F5159">
              <w:rPr>
                <w:noProof/>
                <w:webHidden/>
              </w:rPr>
              <w:tab/>
            </w:r>
            <w:r w:rsidR="008F5159">
              <w:rPr>
                <w:noProof/>
                <w:webHidden/>
              </w:rPr>
              <w:fldChar w:fldCharType="begin"/>
            </w:r>
            <w:r w:rsidR="008F5159">
              <w:rPr>
                <w:noProof/>
                <w:webHidden/>
              </w:rPr>
              <w:instrText xml:space="preserve"> PAGEREF _Toc117512641 \h </w:instrText>
            </w:r>
            <w:r w:rsidR="008F5159">
              <w:rPr>
                <w:noProof/>
                <w:webHidden/>
              </w:rPr>
            </w:r>
            <w:r w:rsidR="008F5159">
              <w:rPr>
                <w:noProof/>
                <w:webHidden/>
              </w:rPr>
              <w:fldChar w:fldCharType="separate"/>
            </w:r>
            <w:r w:rsidR="008F5159">
              <w:rPr>
                <w:noProof/>
                <w:webHidden/>
              </w:rPr>
              <w:t>494</w:t>
            </w:r>
            <w:r w:rsidR="008F5159">
              <w:rPr>
                <w:noProof/>
                <w:webHidden/>
              </w:rPr>
              <w:fldChar w:fldCharType="end"/>
            </w:r>
          </w:hyperlink>
        </w:p>
        <w:p w14:paraId="65708C41" w14:textId="77777777" w:rsidR="008F5159" w:rsidRDefault="00703520" w:rsidP="00BC4302">
          <w:pPr>
            <w:pStyle w:val="TOC2"/>
            <w:spacing w:before="40" w:afterLines="40" w:after="96"/>
            <w:rPr>
              <w:rFonts w:asciiTheme="minorHAnsi" w:eastAsiaTheme="minorEastAsia" w:hAnsiTheme="minorHAnsi"/>
              <w:noProof/>
              <w:sz w:val="22"/>
            </w:rPr>
          </w:pPr>
          <w:hyperlink w:anchor="_Toc117512642" w:history="1">
            <w:r w:rsidR="008F5159" w:rsidRPr="00F86CA9">
              <w:rPr>
                <w:rStyle w:val="Hyperlink"/>
                <w:noProof/>
              </w:rPr>
              <w:t>18.11 Securities—Good Faith Defense to Controlling Person Liability</w:t>
            </w:r>
            <w:r w:rsidR="008F5159">
              <w:rPr>
                <w:noProof/>
                <w:webHidden/>
              </w:rPr>
              <w:tab/>
            </w:r>
            <w:r w:rsidR="008F5159">
              <w:rPr>
                <w:noProof/>
                <w:webHidden/>
              </w:rPr>
              <w:fldChar w:fldCharType="begin"/>
            </w:r>
            <w:r w:rsidR="008F5159">
              <w:rPr>
                <w:noProof/>
                <w:webHidden/>
              </w:rPr>
              <w:instrText xml:space="preserve"> PAGEREF _Toc117512642 \h </w:instrText>
            </w:r>
            <w:r w:rsidR="008F5159">
              <w:rPr>
                <w:noProof/>
                <w:webHidden/>
              </w:rPr>
            </w:r>
            <w:r w:rsidR="008F5159">
              <w:rPr>
                <w:noProof/>
                <w:webHidden/>
              </w:rPr>
              <w:fldChar w:fldCharType="separate"/>
            </w:r>
            <w:r w:rsidR="008F5159">
              <w:rPr>
                <w:noProof/>
                <w:webHidden/>
              </w:rPr>
              <w:t>495</w:t>
            </w:r>
            <w:r w:rsidR="008F5159">
              <w:rPr>
                <w:noProof/>
                <w:webHidden/>
              </w:rPr>
              <w:fldChar w:fldCharType="end"/>
            </w:r>
          </w:hyperlink>
        </w:p>
        <w:p w14:paraId="29C197F2" w14:textId="77777777" w:rsidR="008F5159" w:rsidRDefault="008F5159" w:rsidP="00BC4302">
          <w:pPr>
            <w:spacing w:before="40" w:afterLines="40" w:after="96"/>
          </w:pPr>
          <w:r>
            <w:rPr>
              <w:b/>
              <w:bCs/>
              <w:noProof/>
            </w:rPr>
            <w:fldChar w:fldCharType="end"/>
          </w:r>
        </w:p>
      </w:sdtContent>
    </w:sdt>
    <w:p w14:paraId="461DE248" w14:textId="4CAD0EF4" w:rsidR="00F422E6" w:rsidRPr="008F5159" w:rsidRDefault="00F422E6" w:rsidP="008F5159">
      <w:pPr>
        <w:autoSpaceDE w:val="0"/>
        <w:autoSpaceDN w:val="0"/>
        <w:adjustRightInd w:val="0"/>
        <w:spacing w:before="120"/>
        <w:jc w:val="center"/>
        <w:rPr>
          <w:rFonts w:cs="Times New Roman"/>
          <w:sz w:val="22"/>
        </w:rPr>
      </w:pPr>
    </w:p>
    <w:p w14:paraId="02654E9A" w14:textId="77777777" w:rsidR="006A4CD7" w:rsidRPr="006A4CD7" w:rsidRDefault="006A4CD7" w:rsidP="0060759C">
      <w:pPr>
        <w:autoSpaceDE w:val="0"/>
        <w:autoSpaceDN w:val="0"/>
        <w:adjustRightInd w:val="0"/>
        <w:jc w:val="center"/>
        <w:rPr>
          <w:rFonts w:cs="Times New Roman"/>
          <w:szCs w:val="24"/>
        </w:rPr>
      </w:pPr>
    </w:p>
    <w:p w14:paraId="3C42CFC2" w14:textId="19E49669" w:rsidR="006A4CD7" w:rsidRDefault="006A4CD7" w:rsidP="006C7AFB">
      <w:pPr>
        <w:autoSpaceDE w:val="0"/>
        <w:autoSpaceDN w:val="0"/>
        <w:adjustRightInd w:val="0"/>
        <w:jc w:val="center"/>
        <w:rPr>
          <w:rFonts w:cs="Times New Roman"/>
          <w:szCs w:val="24"/>
        </w:rPr>
      </w:pPr>
    </w:p>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033B9C">
          <w:footerReference w:type="default" r:id="rId12"/>
          <w:pgSz w:w="12240" w:h="15840"/>
          <w:pgMar w:top="1350" w:right="1530" w:bottom="1170" w:left="1440" w:header="1440" w:footer="1170" w:gutter="0"/>
          <w:pgNumType w:fmt="lowerRoman" w:start="4"/>
          <w:cols w:space="720"/>
        </w:sectPr>
      </w:pPr>
    </w:p>
    <w:p w14:paraId="6F9293C1" w14:textId="45319D92" w:rsidR="006A4CD7" w:rsidRPr="0060759C" w:rsidRDefault="006A4CD7" w:rsidP="00C23711">
      <w:pPr>
        <w:pStyle w:val="Heading2"/>
      </w:pPr>
      <w:bookmarkStart w:id="5" w:name="_Toc117512307"/>
      <w:r w:rsidRPr="0060759C">
        <w:lastRenderedPageBreak/>
        <w:t>1.  INSTRUCTIONS ON THE TRIAL PROCESS</w:t>
      </w:r>
      <w:bookmarkEnd w:id="5"/>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w:t>
      </w:r>
      <w:r w:rsidRPr="006A4CD7">
        <w:rPr>
          <w:rFonts w:cs="Times New Roman"/>
          <w:szCs w:val="24"/>
        </w:rPr>
        <w:tab/>
        <w:t>Cover Sheet</w:t>
      </w:r>
    </w:p>
    <w:p w14:paraId="59261131" w14:textId="22D95828"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r w:rsidR="004A232A">
        <w:rPr>
          <w:rFonts w:cs="Times New Roman"/>
          <w:szCs w:val="24"/>
        </w:rPr>
        <w:t xml:space="preserve"> at the Beginning of Trial</w:t>
      </w:r>
      <w:r w:rsidRPr="006A4CD7">
        <w:rPr>
          <w:rFonts w:cs="Times New Roman"/>
          <w:szCs w:val="24"/>
        </w:rPr>
        <w:t>)</w:t>
      </w:r>
    </w:p>
    <w:p w14:paraId="246E7A84" w14:textId="77777777" w:rsidR="006A4CD7" w:rsidRPr="006A4CD7" w:rsidRDefault="006A4CD7" w:rsidP="00825597">
      <w:pPr>
        <w:tabs>
          <w:tab w:val="left" w:pos="900"/>
        </w:tabs>
        <w:autoSpaceDE w:val="0"/>
        <w:autoSpaceDN w:val="0"/>
        <w:adjustRightInd w:val="0"/>
        <w:ind w:left="990" w:hanging="99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825597">
      <w:pPr>
        <w:tabs>
          <w:tab w:val="left" w:pos="900"/>
        </w:tabs>
        <w:autoSpaceDE w:val="0"/>
        <w:autoSpaceDN w:val="0"/>
        <w:adjustRightInd w:val="0"/>
        <w:ind w:left="900" w:hanging="90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7159A36A" w14:textId="39D32C44" w:rsidR="006A4CD7" w:rsidRPr="00734276" w:rsidRDefault="00734276" w:rsidP="0060759C">
      <w:pPr>
        <w:autoSpaceDE w:val="0"/>
        <w:autoSpaceDN w:val="0"/>
        <w:adjustRightInd w:val="0"/>
        <w:jc w:val="center"/>
        <w:rPr>
          <w:rFonts w:cs="Times New Roman"/>
          <w:szCs w:val="24"/>
        </w:rPr>
      </w:pPr>
      <w:r w:rsidRPr="00734276">
        <w:rPr>
          <w:rFonts w:cs="Times New Roman"/>
          <w:szCs w:val="24"/>
        </w:rPr>
        <w:t>____________________</w:t>
      </w:r>
    </w:p>
    <w:p w14:paraId="0B2277E0" w14:textId="445D7330" w:rsidR="00785181" w:rsidRDefault="00785181" w:rsidP="0060759C">
      <w:pPr>
        <w:autoSpaceDE w:val="0"/>
        <w:autoSpaceDN w:val="0"/>
        <w:adjustRightInd w:val="0"/>
        <w:jc w:val="center"/>
        <w:rPr>
          <w:rFonts w:cs="Times New Roman"/>
          <w:b/>
          <w:bCs/>
          <w:szCs w:val="24"/>
        </w:rPr>
      </w:pPr>
    </w:p>
    <w:p w14:paraId="5018D5B9" w14:textId="072C3851" w:rsidR="00785181" w:rsidRDefault="00785181" w:rsidP="0060759C">
      <w:pPr>
        <w:autoSpaceDE w:val="0"/>
        <w:autoSpaceDN w:val="0"/>
        <w:adjustRightInd w:val="0"/>
        <w:jc w:val="center"/>
        <w:rPr>
          <w:rFonts w:cs="Times New Roman"/>
          <w:b/>
          <w:bCs/>
          <w:szCs w:val="24"/>
        </w:rPr>
      </w:pPr>
    </w:p>
    <w:p w14:paraId="46793EA3" w14:textId="142E68B2" w:rsidR="00785181" w:rsidRDefault="00785181" w:rsidP="0060759C">
      <w:pPr>
        <w:autoSpaceDE w:val="0"/>
        <w:autoSpaceDN w:val="0"/>
        <w:adjustRightInd w:val="0"/>
        <w:jc w:val="center"/>
        <w:rPr>
          <w:rFonts w:cs="Times New Roman"/>
          <w:b/>
          <w:bCs/>
          <w:szCs w:val="24"/>
        </w:rPr>
      </w:pPr>
    </w:p>
    <w:p w14:paraId="537335C7" w14:textId="0CB62936" w:rsidR="00785181" w:rsidRDefault="00785181" w:rsidP="0060759C">
      <w:pPr>
        <w:autoSpaceDE w:val="0"/>
        <w:autoSpaceDN w:val="0"/>
        <w:adjustRightInd w:val="0"/>
        <w:jc w:val="center"/>
        <w:rPr>
          <w:rFonts w:cs="Times New Roman"/>
          <w:b/>
          <w:bCs/>
          <w:szCs w:val="24"/>
        </w:rPr>
      </w:pPr>
    </w:p>
    <w:p w14:paraId="4357AD65" w14:textId="758324C4" w:rsidR="00785181" w:rsidRDefault="00785181" w:rsidP="0060759C">
      <w:pPr>
        <w:autoSpaceDE w:val="0"/>
        <w:autoSpaceDN w:val="0"/>
        <w:adjustRightInd w:val="0"/>
        <w:jc w:val="center"/>
        <w:rPr>
          <w:rFonts w:cs="Times New Roman"/>
          <w:b/>
          <w:bCs/>
          <w:szCs w:val="24"/>
        </w:rPr>
      </w:pPr>
    </w:p>
    <w:p w14:paraId="43267102" w14:textId="338B2009" w:rsidR="00785181" w:rsidRDefault="00785181" w:rsidP="0060759C">
      <w:pPr>
        <w:autoSpaceDE w:val="0"/>
        <w:autoSpaceDN w:val="0"/>
        <w:adjustRightInd w:val="0"/>
        <w:jc w:val="center"/>
        <w:rPr>
          <w:rFonts w:cs="Times New Roman"/>
          <w:b/>
          <w:bCs/>
          <w:szCs w:val="24"/>
        </w:rPr>
      </w:pPr>
    </w:p>
    <w:p w14:paraId="7B58C2FF" w14:textId="2ED6BF6D" w:rsidR="00785181" w:rsidRDefault="00785181" w:rsidP="0060759C">
      <w:pPr>
        <w:autoSpaceDE w:val="0"/>
        <w:autoSpaceDN w:val="0"/>
        <w:adjustRightInd w:val="0"/>
        <w:jc w:val="center"/>
        <w:rPr>
          <w:rFonts w:cs="Times New Roman"/>
          <w:b/>
          <w:bCs/>
          <w:szCs w:val="24"/>
        </w:rPr>
      </w:pPr>
    </w:p>
    <w:p w14:paraId="7F7A761C" w14:textId="299B2B25" w:rsidR="00785181" w:rsidRDefault="00785181" w:rsidP="0060759C">
      <w:pPr>
        <w:autoSpaceDE w:val="0"/>
        <w:autoSpaceDN w:val="0"/>
        <w:adjustRightInd w:val="0"/>
        <w:jc w:val="center"/>
        <w:rPr>
          <w:rFonts w:cs="Times New Roman"/>
          <w:b/>
          <w:bCs/>
          <w:szCs w:val="24"/>
        </w:rPr>
      </w:pPr>
    </w:p>
    <w:p w14:paraId="40D2EAA8" w14:textId="75096BBB" w:rsidR="00785181" w:rsidRDefault="00785181" w:rsidP="0060759C">
      <w:pPr>
        <w:autoSpaceDE w:val="0"/>
        <w:autoSpaceDN w:val="0"/>
        <w:adjustRightInd w:val="0"/>
        <w:jc w:val="center"/>
        <w:rPr>
          <w:rFonts w:cs="Times New Roman"/>
          <w:b/>
          <w:bCs/>
          <w:szCs w:val="24"/>
        </w:rPr>
      </w:pPr>
    </w:p>
    <w:p w14:paraId="0576ED28" w14:textId="11CE66C4" w:rsidR="00785181" w:rsidRDefault="00785181" w:rsidP="0060759C">
      <w:pPr>
        <w:autoSpaceDE w:val="0"/>
        <w:autoSpaceDN w:val="0"/>
        <w:adjustRightInd w:val="0"/>
        <w:jc w:val="center"/>
        <w:rPr>
          <w:rFonts w:cs="Times New Roman"/>
          <w:b/>
          <w:bCs/>
          <w:szCs w:val="24"/>
        </w:rPr>
      </w:pPr>
    </w:p>
    <w:p w14:paraId="36491A29" w14:textId="7F9D8D5B" w:rsidR="00785181" w:rsidRDefault="00785181" w:rsidP="0060759C">
      <w:pPr>
        <w:autoSpaceDE w:val="0"/>
        <w:autoSpaceDN w:val="0"/>
        <w:adjustRightInd w:val="0"/>
        <w:jc w:val="center"/>
        <w:rPr>
          <w:rFonts w:cs="Times New Roman"/>
          <w:b/>
          <w:bCs/>
          <w:szCs w:val="24"/>
        </w:rPr>
      </w:pPr>
    </w:p>
    <w:p w14:paraId="5A44CDA6" w14:textId="11B1C95F" w:rsidR="00785181" w:rsidRDefault="00785181" w:rsidP="0060759C">
      <w:pPr>
        <w:autoSpaceDE w:val="0"/>
        <w:autoSpaceDN w:val="0"/>
        <w:adjustRightInd w:val="0"/>
        <w:jc w:val="center"/>
        <w:rPr>
          <w:rFonts w:cs="Times New Roman"/>
          <w:b/>
          <w:bCs/>
          <w:szCs w:val="24"/>
        </w:rPr>
      </w:pPr>
    </w:p>
    <w:p w14:paraId="6C870971" w14:textId="312113C5" w:rsidR="00785181" w:rsidRDefault="00785181" w:rsidP="0060759C">
      <w:pPr>
        <w:autoSpaceDE w:val="0"/>
        <w:autoSpaceDN w:val="0"/>
        <w:adjustRightInd w:val="0"/>
        <w:jc w:val="center"/>
        <w:rPr>
          <w:rFonts w:cs="Times New Roman"/>
          <w:b/>
          <w:bCs/>
          <w:szCs w:val="24"/>
        </w:rPr>
      </w:pPr>
    </w:p>
    <w:p w14:paraId="5D0031E0" w14:textId="5D711281" w:rsidR="00785181" w:rsidRDefault="00785181" w:rsidP="0060759C">
      <w:pPr>
        <w:autoSpaceDE w:val="0"/>
        <w:autoSpaceDN w:val="0"/>
        <w:adjustRightInd w:val="0"/>
        <w:jc w:val="center"/>
        <w:rPr>
          <w:rFonts w:cs="Times New Roman"/>
          <w:b/>
          <w:bCs/>
          <w:szCs w:val="24"/>
        </w:rPr>
      </w:pPr>
    </w:p>
    <w:p w14:paraId="55DFC06B" w14:textId="4BE8BC00" w:rsidR="00785181" w:rsidRDefault="00785181" w:rsidP="0060759C">
      <w:pPr>
        <w:autoSpaceDE w:val="0"/>
        <w:autoSpaceDN w:val="0"/>
        <w:adjustRightInd w:val="0"/>
        <w:jc w:val="center"/>
        <w:rPr>
          <w:rFonts w:cs="Times New Roman"/>
          <w:b/>
          <w:bCs/>
          <w:szCs w:val="24"/>
        </w:rPr>
      </w:pPr>
    </w:p>
    <w:p w14:paraId="3A812CA8" w14:textId="77777777" w:rsidR="00785181" w:rsidRPr="006A4CD7" w:rsidRDefault="00785181" w:rsidP="0060759C">
      <w:pPr>
        <w:autoSpaceDE w:val="0"/>
        <w:autoSpaceDN w:val="0"/>
        <w:adjustRightInd w:val="0"/>
        <w:jc w:val="center"/>
        <w:rPr>
          <w:rFonts w:cs="Times New Roman"/>
          <w:b/>
          <w:bCs/>
          <w:szCs w:val="24"/>
        </w:rPr>
      </w:pPr>
    </w:p>
    <w:p w14:paraId="38A6B5EC" w14:textId="77777777" w:rsidR="00F421A9" w:rsidRDefault="00F421A9" w:rsidP="00BF5CD7">
      <w:pPr>
        <w:pStyle w:val="Heading1"/>
      </w:pPr>
    </w:p>
    <w:p w14:paraId="16DF1465" w14:textId="1FC0FEAF" w:rsidR="006A4CD7" w:rsidRPr="00C23711" w:rsidRDefault="006A4CD7" w:rsidP="00BF5CD7">
      <w:pPr>
        <w:pStyle w:val="Heading1"/>
      </w:pPr>
      <w:bookmarkStart w:id="6" w:name="_Toc117512308"/>
      <w:r w:rsidRPr="00C23711">
        <w:lastRenderedPageBreak/>
        <w:t>Introductory Comment</w:t>
      </w:r>
      <w:bookmarkEnd w:id="6"/>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particular claims made.  There is no right or wrong way to accomplish this task.  It depends on the nature of the case, the preliminary rulings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386A4C38" w:rsidR="006A4CD7" w:rsidRPr="0060759C" w:rsidRDefault="006A4CD7" w:rsidP="0060759C">
      <w:pPr>
        <w:pStyle w:val="Heading2"/>
      </w:pPr>
      <w:bookmarkStart w:id="7" w:name="_Toc117512309"/>
      <w:r w:rsidRPr="0060759C">
        <w:lastRenderedPageBreak/>
        <w:t xml:space="preserve">1.1 </w:t>
      </w:r>
      <w:r w:rsidR="00785181">
        <w:t>Cover Sheet</w:t>
      </w:r>
      <w:bookmarkEnd w:id="7"/>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2B610988" w14:textId="1FF62CCA" w:rsidR="006A4CD7" w:rsidRDefault="006A4CD7" w:rsidP="00DC3111">
      <w:pPr>
        <w:pStyle w:val="Heading2"/>
      </w:pPr>
      <w:bookmarkStart w:id="8" w:name="_Toc117512310"/>
      <w:r w:rsidRPr="006A4CD7">
        <w:lastRenderedPageBreak/>
        <w:t xml:space="preserve">1.2 </w:t>
      </w:r>
      <w:r w:rsidR="00785181" w:rsidRPr="006A4CD7">
        <w:t>Duty of Jury (Court Reads and Provides Written Set of Instructions</w:t>
      </w:r>
      <w:r w:rsidR="004A232A">
        <w:t xml:space="preserve"> at the Beginning of Trial</w:t>
      </w:r>
      <w:r w:rsidR="00785181" w:rsidRPr="006A4CD7">
        <w:t>)</w:t>
      </w:r>
      <w:bookmarkEnd w:id="8"/>
    </w:p>
    <w:p w14:paraId="274A2C7F" w14:textId="77777777" w:rsidR="00785181" w:rsidRPr="00785181" w:rsidRDefault="00785181" w:rsidP="00785181"/>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0F2FAC8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w:t>
      </w:r>
      <w:r w:rsidR="00C23711" w:rsidRPr="006A4CD7">
        <w:rPr>
          <w:rFonts w:cs="Times New Roman"/>
          <w:szCs w:val="24"/>
        </w:rPr>
        <w:t>collected,</w:t>
      </w:r>
      <w:r w:rsidRPr="006A4CD7">
        <w:rPr>
          <w:rFonts w:cs="Times New Roman"/>
          <w:szCs w:val="24"/>
        </w:rPr>
        <w:t xml:space="preserve">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6F526FE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r w:rsidR="00C23711" w:rsidRPr="006A4CD7">
        <w:rPr>
          <w:rFonts w:cs="Times New Roman"/>
          <w:szCs w:val="24"/>
        </w:rPr>
        <w:t>prejudices,</w:t>
      </w:r>
      <w:r w:rsidRPr="006A4CD7">
        <w:rPr>
          <w:rFonts w:cs="Times New Roman"/>
          <w:szCs w:val="24"/>
        </w:rPr>
        <w:t xml:space="preserve">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292F8FAD" w14:textId="436827F4" w:rsidR="006A4CD7" w:rsidRPr="006A4CD7" w:rsidRDefault="006A4CD7" w:rsidP="00DC3111">
      <w:pPr>
        <w:pStyle w:val="Heading2"/>
      </w:pPr>
      <w:bookmarkStart w:id="9" w:name="_Toc117512311"/>
      <w:r w:rsidRPr="006A4CD7">
        <w:lastRenderedPageBreak/>
        <w:t xml:space="preserve">1.3 </w:t>
      </w:r>
      <w:r w:rsidR="00785181" w:rsidRPr="00785181">
        <w:t xml:space="preserve">Duty of Jury (Court Reads Instructions at the Beginning of Trial </w:t>
      </w:r>
      <w:r w:rsidR="004A232A">
        <w:t>b</w:t>
      </w:r>
      <w:r w:rsidR="00785181" w:rsidRPr="00785181">
        <w:t>ut Does Not Provide Written Copies</w:t>
      </w:r>
      <w:r w:rsidR="004A232A">
        <w:t>)</w:t>
      </w:r>
      <w:bookmarkEnd w:id="9"/>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0321E32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the end of the </w:t>
      </w:r>
      <w:r w:rsidR="00C23711" w:rsidRPr="006A4CD7">
        <w:rPr>
          <w:rFonts w:cs="Times New Roman"/>
          <w:szCs w:val="24"/>
        </w:rPr>
        <w:t>trial,</w:t>
      </w:r>
      <w:r w:rsidRPr="006A4CD7">
        <w:rPr>
          <w:rFonts w:cs="Times New Roman"/>
          <w:szCs w:val="24"/>
        </w:rPr>
        <w:t xml:space="preserve">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11907C5" w14:textId="796DA9E9" w:rsidR="006A4CD7" w:rsidRPr="006A4CD7" w:rsidRDefault="006A4CD7" w:rsidP="00DC3111">
      <w:pPr>
        <w:pStyle w:val="Heading2"/>
      </w:pPr>
      <w:bookmarkStart w:id="10" w:name="_Toc117512312"/>
      <w:r w:rsidRPr="006A4CD7">
        <w:lastRenderedPageBreak/>
        <w:t xml:space="preserve">1.4 </w:t>
      </w:r>
      <w:r w:rsidR="00785181" w:rsidRPr="00785181">
        <w:t xml:space="preserve">Duty of Jury (Court Reads </w:t>
      </w:r>
      <w:r w:rsidR="00785181">
        <w:t>a</w:t>
      </w:r>
      <w:r w:rsidR="00785181" w:rsidRPr="00785181">
        <w:t>nd Provides</w:t>
      </w:r>
      <w:r w:rsidR="00DC3111">
        <w:t xml:space="preserve"> </w:t>
      </w:r>
      <w:r w:rsidR="00785181" w:rsidRPr="00785181">
        <w:t>Written Instructions at End of Case</w:t>
      </w:r>
      <w:r w:rsidR="00785181">
        <w:t>)</w:t>
      </w:r>
      <w:bookmarkEnd w:id="10"/>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Now that you have heard all of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09AD6F55" w:rsidR="006A4CD7" w:rsidRPr="006A4CD7" w:rsidRDefault="006A4CD7" w:rsidP="00A838B0">
      <w:pPr>
        <w:pStyle w:val="Heading2"/>
      </w:pPr>
      <w:bookmarkStart w:id="11" w:name="_Toc117512313"/>
      <w:r w:rsidRPr="006A4CD7">
        <w:lastRenderedPageBreak/>
        <w:t xml:space="preserve">1.5 </w:t>
      </w:r>
      <w:r w:rsidR="00F421A9" w:rsidRPr="00F421A9">
        <w:t xml:space="preserve">Claims </w:t>
      </w:r>
      <w:r w:rsidR="00F421A9">
        <w:t>a</w:t>
      </w:r>
      <w:r w:rsidR="00F421A9" w:rsidRPr="00F421A9">
        <w:t>nd Defenses</w:t>
      </w:r>
      <w:bookmarkEnd w:id="11"/>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help you follow the evidence, I will give you a brief summary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[and also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787100C3" w:rsidR="006A4CD7" w:rsidRPr="006A4CD7" w:rsidRDefault="006A4CD7" w:rsidP="007B1C2E">
      <w:pPr>
        <w:pStyle w:val="Heading2"/>
      </w:pPr>
      <w:bookmarkStart w:id="12" w:name="_Toc117512314"/>
      <w:r w:rsidRPr="006A4CD7">
        <w:lastRenderedPageBreak/>
        <w:t xml:space="preserve">1.6 </w:t>
      </w:r>
      <w:r w:rsidR="00F421A9" w:rsidRPr="00F421A9">
        <w:t>Burden of Proof—Preponderance of the Evidence</w:t>
      </w:r>
      <w:bookmarkEnd w:id="12"/>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base your decision on all of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2AC643FF" w:rsidR="006A4CD7" w:rsidRPr="006A4CD7" w:rsidRDefault="006A4CD7" w:rsidP="00A838B0">
      <w:pPr>
        <w:pStyle w:val="Heading2"/>
      </w:pPr>
      <w:bookmarkStart w:id="13" w:name="_Toc117512315"/>
      <w:r w:rsidRPr="006A4CD7">
        <w:lastRenderedPageBreak/>
        <w:t xml:space="preserve">1.7 </w:t>
      </w:r>
      <w:r w:rsidR="00F421A9" w:rsidRPr="00F421A9">
        <w:t>Burden of Proof—</w:t>
      </w:r>
      <w:r w:rsidR="00033D65" w:rsidRPr="00033D65">
        <w:t xml:space="preserve"> </w:t>
      </w:r>
      <w:r w:rsidR="00033D65" w:rsidRPr="006A4CD7">
        <w:t>Clear and Convincing Evidence</w:t>
      </w:r>
      <w:bookmarkEnd w:id="13"/>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w:t>
      </w:r>
      <w:proofErr w:type="spellStart"/>
      <w:r w:rsidRPr="006A4CD7">
        <w:rPr>
          <w:rFonts w:cs="Times New Roman"/>
          <w:i/>
          <w:iCs/>
          <w:szCs w:val="24"/>
        </w:rPr>
        <w:t>Sophanthavong</w:t>
      </w:r>
      <w:proofErr w:type="spellEnd"/>
      <w:r w:rsidRPr="006A4CD7">
        <w:rPr>
          <w:rFonts w:cs="Times New Roman"/>
          <w:i/>
          <w:iCs/>
          <w:szCs w:val="24"/>
        </w:rPr>
        <w:t xml:space="preserve"> v. </w:t>
      </w:r>
      <w:proofErr w:type="spellStart"/>
      <w:r w:rsidRPr="006A4CD7">
        <w:rPr>
          <w:rFonts w:cs="Times New Roman"/>
          <w:i/>
          <w:iCs/>
          <w:szCs w:val="24"/>
        </w:rPr>
        <w:t>Palmateer</w:t>
      </w:r>
      <w:proofErr w:type="spellEnd"/>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2317A948" w:rsidR="006A4CD7" w:rsidRPr="006A4CD7" w:rsidRDefault="006A4CD7" w:rsidP="00A838B0">
      <w:pPr>
        <w:pStyle w:val="Heading2"/>
      </w:pPr>
      <w:r w:rsidRPr="006A4CD7">
        <w:br w:type="page"/>
      </w:r>
      <w:bookmarkStart w:id="14" w:name="_Toc117512316"/>
      <w:r w:rsidRPr="006A4CD7">
        <w:lastRenderedPageBreak/>
        <w:t xml:space="preserve">1.8 </w:t>
      </w:r>
      <w:r w:rsidR="00F421A9" w:rsidRPr="00F421A9">
        <w:t>Two or More Parties—Different Legal Rights</w:t>
      </w:r>
      <w:bookmarkEnd w:id="14"/>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689ED395" w:rsidR="006A4CD7" w:rsidRPr="006A4CD7" w:rsidRDefault="006A4CD7" w:rsidP="00A838B0">
      <w:pPr>
        <w:pStyle w:val="Heading2"/>
        <w:tabs>
          <w:tab w:val="left" w:pos="7020"/>
          <w:tab w:val="left" w:pos="7110"/>
        </w:tabs>
      </w:pPr>
      <w:bookmarkStart w:id="15" w:name="_Toc117512317"/>
      <w:r w:rsidRPr="006A4CD7">
        <w:lastRenderedPageBreak/>
        <w:t xml:space="preserve">1.9 </w:t>
      </w:r>
      <w:r w:rsidR="00F421A9" w:rsidRPr="00F421A9">
        <w:t>What is Evidence</w:t>
      </w:r>
      <w:bookmarkEnd w:id="15"/>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the sworn testimony of any witness;</w:t>
      </w:r>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the exhibits that are admitted into evidence;</w:t>
      </w:r>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10B40353" w:rsidR="006A4CD7" w:rsidRPr="006A4CD7" w:rsidRDefault="006A4CD7" w:rsidP="00A838B0">
      <w:pPr>
        <w:pStyle w:val="Heading2"/>
      </w:pPr>
      <w:bookmarkStart w:id="16" w:name="_Toc117512318"/>
      <w:r w:rsidRPr="006A4CD7">
        <w:lastRenderedPageBreak/>
        <w:t xml:space="preserve">1.10 </w:t>
      </w:r>
      <w:r w:rsidR="00F421A9" w:rsidRPr="00F421A9">
        <w:t>What is Not Evidence</w:t>
      </w:r>
      <w:bookmarkEnd w:id="16"/>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514D8596"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Testimony that is excluded or stricken, or that you [are] [have been] instructed to disregard, is not evidence and must not be considered.  In </w:t>
      </w:r>
      <w:r w:rsidR="00C23711" w:rsidRPr="006A4CD7">
        <w:rPr>
          <w:rFonts w:cs="Times New Roman"/>
          <w:szCs w:val="24"/>
        </w:rPr>
        <w:t>addition,</w:t>
      </w:r>
      <w:r w:rsidRPr="006A4CD7">
        <w:rPr>
          <w:rFonts w:cs="Times New Roman"/>
          <w:szCs w:val="24"/>
        </w:rPr>
        <w:t xml:space="preserve"> some evidence [may be] [was] received only for a limited purpose; when I [instruct] [have instructed] you to consider certain evidence only for a limited purpose, you must do </w:t>
      </w:r>
      <w:r w:rsidR="005663FC" w:rsidRPr="006A4CD7">
        <w:rPr>
          <w:rFonts w:cs="Times New Roman"/>
          <w:szCs w:val="24"/>
        </w:rPr>
        <w:t>so,</w:t>
      </w:r>
      <w:r w:rsidRPr="006A4CD7">
        <w:rPr>
          <w:rFonts w:cs="Times New Roman"/>
          <w:szCs w:val="24"/>
        </w:rPr>
        <w:t xml:space="preserve">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regard to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5ABEF0FC" w:rsidR="006A4CD7" w:rsidRPr="006A4CD7" w:rsidRDefault="006A4CD7" w:rsidP="00A838B0">
      <w:pPr>
        <w:pStyle w:val="Heading2"/>
      </w:pPr>
      <w:bookmarkStart w:id="17" w:name="_Toc117512319"/>
      <w:r w:rsidRPr="006A4CD7">
        <w:lastRenderedPageBreak/>
        <w:t xml:space="preserve">1.11 </w:t>
      </w:r>
      <w:r w:rsidR="00F421A9" w:rsidRPr="00F421A9">
        <w:t>Evidence for Limited Purpose</w:t>
      </w:r>
      <w:bookmarkEnd w:id="17"/>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proofErr w:type="spellStart"/>
      <w:r w:rsidRPr="006A4CD7">
        <w:rPr>
          <w:rFonts w:cs="Times New Roman"/>
          <w:i/>
          <w:iCs/>
          <w:szCs w:val="24"/>
        </w:rPr>
        <w:t>sua</w:t>
      </w:r>
      <w:proofErr w:type="spellEnd"/>
      <w:r w:rsidRPr="006A4CD7">
        <w:rPr>
          <w:rFonts w:cs="Times New Roman"/>
          <w:i/>
          <w:iCs/>
          <w:szCs w:val="24"/>
        </w:rPr>
        <w:t xml:space="preserve">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7B1B0259" w:rsidR="006A4CD7" w:rsidRPr="006A4CD7" w:rsidRDefault="006A4CD7" w:rsidP="00A838B0">
      <w:pPr>
        <w:pStyle w:val="Heading2"/>
      </w:pPr>
      <w:bookmarkStart w:id="18" w:name="_Toc117512320"/>
      <w:r w:rsidRPr="006A4CD7">
        <w:lastRenderedPageBreak/>
        <w:t xml:space="preserve">1.12 </w:t>
      </w:r>
      <w:r w:rsidR="00F421A9" w:rsidRPr="00F421A9">
        <w:t xml:space="preserve">Direct </w:t>
      </w:r>
      <w:r w:rsidR="00F421A9">
        <w:t>a</w:t>
      </w:r>
      <w:r w:rsidR="00F421A9" w:rsidRPr="00F421A9">
        <w:t>nd Circumstantial Evidence</w:t>
      </w:r>
      <w:bookmarkEnd w:id="18"/>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253179E3"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By way of example, if you wake up in the morning and see that the sidewalk is wet, you may find from that fact that it rained during the night. However, other evidence, such as a </w:t>
      </w:r>
      <w:r w:rsidR="00C23711" w:rsidRPr="006A4CD7">
        <w:rPr>
          <w:rFonts w:cs="Times New Roman"/>
          <w:szCs w:val="24"/>
        </w:rPr>
        <w:t>turned</w:t>
      </w:r>
      <w:r w:rsidR="00C23711">
        <w:rPr>
          <w:rFonts w:cs="Times New Roman"/>
          <w:szCs w:val="24"/>
        </w:rPr>
        <w:t>-on</w:t>
      </w:r>
      <w:r w:rsidRPr="006A4CD7">
        <w:rPr>
          <w:rFonts w:cs="Times New Roman"/>
          <w:szCs w:val="24"/>
        </w:rPr>
        <w:t xml:space="preserve"> garden hose, may provide a different explanation for the presence of water on the sidewalk.  Therefore, before you decide that a fact has been proved by circumstantial evidence, you must consider all the evidence in the light of reason, </w:t>
      </w:r>
      <w:r w:rsidR="00C23711" w:rsidRPr="006A4CD7">
        <w:rPr>
          <w:rFonts w:cs="Times New Roman"/>
          <w:szCs w:val="24"/>
        </w:rPr>
        <w:t>experience,</w:t>
      </w:r>
      <w:r w:rsidRPr="006A4CD7">
        <w:rPr>
          <w:rFonts w:cs="Times New Roman"/>
          <w:szCs w:val="24"/>
        </w:rPr>
        <w:t xml:space="preserv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385AABC6" w:rsidR="006A4CD7" w:rsidRPr="006A4CD7" w:rsidRDefault="006A4CD7" w:rsidP="007B1C2E">
      <w:pPr>
        <w:pStyle w:val="Heading2"/>
      </w:pPr>
      <w:bookmarkStart w:id="19" w:name="_Toc117512321"/>
      <w:r w:rsidRPr="006A4CD7">
        <w:lastRenderedPageBreak/>
        <w:t xml:space="preserve">1.13 </w:t>
      </w:r>
      <w:r w:rsidR="00F421A9" w:rsidRPr="00F421A9">
        <w:t xml:space="preserve">Ruling </w:t>
      </w:r>
      <w:r w:rsidR="00F421A9">
        <w:t>o</w:t>
      </w:r>
      <w:r w:rsidR="00F421A9" w:rsidRPr="00F421A9">
        <w:t>n Objections</w:t>
      </w:r>
      <w:bookmarkEnd w:id="19"/>
    </w:p>
    <w:p w14:paraId="2EEEAA55" w14:textId="77777777" w:rsidR="006A4CD7" w:rsidRPr="006A4CD7" w:rsidRDefault="006A4CD7" w:rsidP="0060759C">
      <w:pPr>
        <w:autoSpaceDE w:val="0"/>
        <w:autoSpaceDN w:val="0"/>
        <w:adjustRightInd w:val="0"/>
        <w:rPr>
          <w:rFonts w:cs="Times New Roman"/>
          <w:szCs w:val="24"/>
        </w:rPr>
      </w:pPr>
    </w:p>
    <w:p w14:paraId="15095726" w14:textId="28AC73F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w:t>
      </w:r>
      <w:r w:rsidR="00C23711" w:rsidRPr="006A4CD7">
        <w:rPr>
          <w:rFonts w:cs="Times New Roman"/>
          <w:szCs w:val="24"/>
        </w:rPr>
        <w:t>answered,</w:t>
      </w:r>
      <w:r w:rsidRPr="006A4CD7">
        <w:rPr>
          <w:rFonts w:cs="Times New Roman"/>
          <w:szCs w:val="24"/>
        </w:rPr>
        <w:t xml:space="preserve">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2F5F4F4D" w:rsidR="006A4CD7" w:rsidRPr="006A4CD7" w:rsidRDefault="006A4CD7" w:rsidP="007B1C2E">
      <w:pPr>
        <w:pStyle w:val="Heading2"/>
      </w:pPr>
      <w:bookmarkStart w:id="20" w:name="_Toc117512322"/>
      <w:r w:rsidRPr="006A4CD7">
        <w:lastRenderedPageBreak/>
        <w:t xml:space="preserve">1.14 </w:t>
      </w:r>
      <w:r w:rsidR="00F421A9" w:rsidRPr="00F421A9">
        <w:t>Credibility of Witnesses</w:t>
      </w:r>
      <w:bookmarkEnd w:id="20"/>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considering the testimony of any witness, you may take into account: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opportunity and ability of the witness to see or hear or know the things testified to;</w:t>
      </w:r>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witness’s memory;</w:t>
      </w:r>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witness’s manner while testifying;</w:t>
      </w:r>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witness’s interest in the outcome of the case, if any;</w:t>
      </w:r>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witness’s bias or prejudice, if any;</w:t>
      </w:r>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whether other evidence contradicted the witness’s testimony;</w:t>
      </w:r>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the reasonableness of the witness’s testimony in light of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77777777" w:rsidR="006A4CD7" w:rsidRPr="006A4CD7" w:rsidRDefault="006A4CD7" w:rsidP="0060759C">
      <w:pPr>
        <w:autoSpaceDE w:val="0"/>
        <w:autoSpaceDN w:val="0"/>
        <w:adjustRightInd w:val="0"/>
        <w:rPr>
          <w:rFonts w:cs="Times New Roman"/>
          <w:szCs w:val="24"/>
        </w:rPr>
      </w:pPr>
    </w:p>
    <w:p w14:paraId="33A7963D" w14:textId="77777777" w:rsidR="006A4CD7" w:rsidRPr="006A4CD7" w:rsidRDefault="006A4CD7" w:rsidP="0060759C">
      <w:pPr>
        <w:autoSpaceDE w:val="0"/>
        <w:autoSpaceDN w:val="0"/>
        <w:adjustRightInd w:val="0"/>
        <w:rPr>
          <w:rFonts w:cs="Times New Roman"/>
          <w:szCs w:val="24"/>
        </w:rPr>
      </w:pP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19AF31FA" w:rsidR="006A4CD7" w:rsidRPr="006A4CD7" w:rsidRDefault="006A4CD7" w:rsidP="007B1C2E">
      <w:pPr>
        <w:pStyle w:val="Heading2"/>
      </w:pPr>
      <w:bookmarkStart w:id="21" w:name="_Toc117512323"/>
      <w:r w:rsidRPr="006A4CD7">
        <w:lastRenderedPageBreak/>
        <w:t xml:space="preserve">1.15 </w:t>
      </w:r>
      <w:r w:rsidR="00F421A9" w:rsidRPr="00F421A9">
        <w:t>Conduct of the Jury</w:t>
      </w:r>
      <w:bookmarkEnd w:id="21"/>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66322A24"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w:t>
      </w:r>
      <w:proofErr w:type="spellStart"/>
      <w:r w:rsidRPr="00503C2A">
        <w:rPr>
          <w:rFonts w:cs="Times New Roman"/>
          <w:szCs w:val="24"/>
        </w:rPr>
        <w:t>Tiktok</w:t>
      </w:r>
      <w:proofErr w:type="spellEnd"/>
      <w:r w:rsidRPr="00503C2A">
        <w:rPr>
          <w:rFonts w:cs="Times New Roman"/>
          <w:szCs w:val="24"/>
        </w:rPr>
        <w:t xml:space="preserve">,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witnesses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054C9353" w14:textId="77777777" w:rsidR="005663FC"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 or misleading information that has not been tested by the trial process.  Each of the parties is entitled to a fair trial by an </w:t>
      </w:r>
    </w:p>
    <w:p w14:paraId="5FB552A6" w14:textId="260ABEF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impartial jury, and if you decide the case based on information not presented in court, you will have denied the parties a fair trial.  Remember, you have taken an oath to follow the rules, and it is very</w:t>
      </w:r>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05A91E9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C23711"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474ED0A8"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1044BE81" w:rsidR="006A4CD7" w:rsidRPr="006A4CD7" w:rsidRDefault="006A4CD7" w:rsidP="007B1C2E">
      <w:pPr>
        <w:pStyle w:val="Heading2"/>
      </w:pPr>
      <w:r w:rsidRPr="006A4CD7">
        <w:br w:type="page"/>
      </w:r>
      <w:bookmarkStart w:id="22" w:name="_Toc117512324"/>
      <w:r w:rsidRPr="006A4CD7">
        <w:lastRenderedPageBreak/>
        <w:t xml:space="preserve">1.16 </w:t>
      </w:r>
      <w:r w:rsidR="00F421A9" w:rsidRPr="00F421A9">
        <w:t>Publicity During Trial</w:t>
      </w:r>
      <w:bookmarkEnd w:id="22"/>
    </w:p>
    <w:p w14:paraId="4F6A9A40" w14:textId="77777777" w:rsidR="006A4CD7" w:rsidRPr="006A4CD7" w:rsidRDefault="006A4CD7" w:rsidP="0060759C">
      <w:pPr>
        <w:autoSpaceDE w:val="0"/>
        <w:autoSpaceDN w:val="0"/>
        <w:adjustRightInd w:val="0"/>
        <w:rPr>
          <w:rFonts w:cs="Times New Roman"/>
          <w:b/>
          <w:bCs/>
          <w:szCs w:val="24"/>
        </w:rPr>
      </w:pPr>
    </w:p>
    <w:p w14:paraId="47AC7BF7" w14:textId="136B52A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t>
      </w:r>
      <w:r w:rsidR="00C23711" w:rsidRPr="006A4CD7">
        <w:rPr>
          <w:rFonts w:cs="Times New Roman"/>
          <w:szCs w:val="24"/>
        </w:rPr>
        <w:t>watch,</w:t>
      </w:r>
      <w:r w:rsidRPr="006A4CD7">
        <w:rPr>
          <w:rFonts w:cs="Times New Roman"/>
          <w:szCs w:val="24"/>
        </w:rPr>
        <w:t xml:space="preserve">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382F86B1" w:rsidR="006A4CD7" w:rsidRPr="006A4CD7" w:rsidRDefault="006A4CD7" w:rsidP="007B1C2E">
      <w:pPr>
        <w:pStyle w:val="Heading2"/>
      </w:pPr>
      <w:bookmarkStart w:id="23" w:name="_Toc117512325"/>
      <w:r w:rsidRPr="006A4CD7">
        <w:lastRenderedPageBreak/>
        <w:t xml:space="preserve">1.17 </w:t>
      </w:r>
      <w:r w:rsidR="00F421A9" w:rsidRPr="00F421A9">
        <w:t xml:space="preserve">No Transcript Available </w:t>
      </w:r>
      <w:r w:rsidR="00F8289E">
        <w:t>t</w:t>
      </w:r>
      <w:r w:rsidR="00F421A9" w:rsidRPr="00F421A9">
        <w:t>o Jury</w:t>
      </w:r>
      <w:bookmarkEnd w:id="23"/>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5663FC">
      <w:pPr>
        <w:autoSpaceDE w:val="0"/>
        <w:autoSpaceDN w:val="0"/>
        <w:adjustRightInd w:val="0"/>
        <w:ind w:firstLine="720"/>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789124C0" w:rsidR="006A4CD7" w:rsidRPr="006A4CD7" w:rsidRDefault="006A4CD7" w:rsidP="007B1C2E">
      <w:pPr>
        <w:pStyle w:val="Heading2"/>
      </w:pPr>
      <w:bookmarkStart w:id="24" w:name="_Toc117512326"/>
      <w:r w:rsidRPr="006A4CD7">
        <w:lastRenderedPageBreak/>
        <w:t xml:space="preserve">1.18 </w:t>
      </w:r>
      <w:r w:rsidR="00F421A9" w:rsidRPr="00F421A9">
        <w:t>Taking Notes</w:t>
      </w:r>
      <w:bookmarkEnd w:id="24"/>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20EB9E04" w:rsidR="006A4CD7" w:rsidRPr="006A4CD7" w:rsidRDefault="006A4CD7" w:rsidP="007B1C2E">
      <w:pPr>
        <w:pStyle w:val="Heading2"/>
      </w:pPr>
      <w:bookmarkStart w:id="25" w:name="_Toc117512327"/>
      <w:r w:rsidRPr="006A4CD7">
        <w:lastRenderedPageBreak/>
        <w:t xml:space="preserve">1.19 </w:t>
      </w:r>
      <w:r w:rsidR="00F421A9" w:rsidRPr="00F421A9">
        <w:t xml:space="preserve">Questions </w:t>
      </w:r>
      <w:r w:rsidR="00F8289E">
        <w:t>t</w:t>
      </w:r>
      <w:r w:rsidR="00F421A9" w:rsidRPr="00F421A9">
        <w:t>o Witnesses by Jurors During Trial</w:t>
      </w:r>
      <w:bookmarkEnd w:id="25"/>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0705560D" w:rsidR="006A4CD7" w:rsidRPr="006A4CD7" w:rsidRDefault="006A4CD7" w:rsidP="006561DF">
      <w:pPr>
        <w:pStyle w:val="Heading2"/>
        <w:tabs>
          <w:tab w:val="left" w:pos="810"/>
        </w:tabs>
      </w:pPr>
      <w:r w:rsidRPr="006A4CD7">
        <w:br w:type="page"/>
      </w:r>
      <w:bookmarkStart w:id="26" w:name="_Toc117512328"/>
      <w:r w:rsidRPr="006A4CD7">
        <w:lastRenderedPageBreak/>
        <w:t xml:space="preserve">1.20 </w:t>
      </w:r>
      <w:r w:rsidR="00F421A9" w:rsidRPr="00F421A9">
        <w:t xml:space="preserve">Bench Conferences </w:t>
      </w:r>
      <w:r w:rsidR="00F421A9">
        <w:t>a</w:t>
      </w:r>
      <w:r w:rsidR="00F421A9" w:rsidRPr="00F421A9">
        <w:t>nd Recesses</w:t>
      </w:r>
      <w:bookmarkEnd w:id="26"/>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0682F411" w:rsidR="006A4CD7" w:rsidRPr="006A4CD7" w:rsidRDefault="006A4CD7" w:rsidP="007B1C2E">
      <w:pPr>
        <w:pStyle w:val="Heading2"/>
      </w:pPr>
      <w:bookmarkStart w:id="27" w:name="_Toc117512329"/>
      <w:r w:rsidRPr="006A4CD7">
        <w:lastRenderedPageBreak/>
        <w:t xml:space="preserve">1.21 </w:t>
      </w:r>
      <w:r w:rsidR="00F421A9" w:rsidRPr="00F421A9">
        <w:t>Outline of Trial</w:t>
      </w:r>
      <w:bookmarkEnd w:id="27"/>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03DA99A7" w:rsidR="006A4CD7" w:rsidRPr="006A4CD7" w:rsidRDefault="006A4CD7" w:rsidP="007B1C2E">
      <w:pPr>
        <w:pStyle w:val="Heading2"/>
      </w:pPr>
      <w:r w:rsidRPr="006A4CD7">
        <w:br w:type="page"/>
      </w:r>
      <w:bookmarkStart w:id="28" w:name="_Toc117512330"/>
      <w:r w:rsidRPr="006A4CD7">
        <w:lastRenderedPageBreak/>
        <w:t xml:space="preserve">1.22 </w:t>
      </w:r>
      <w:r w:rsidR="00F421A9" w:rsidRPr="00F421A9">
        <w:t>Self-Represented Party</w:t>
      </w:r>
      <w:bookmarkEnd w:id="28"/>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28D8DD4C" w:rsidR="006A4CD7" w:rsidRPr="006A4CD7" w:rsidRDefault="006A4CD7" w:rsidP="00BF5CD7">
      <w:pPr>
        <w:pStyle w:val="Heading1"/>
      </w:pPr>
      <w:r w:rsidRPr="006A4CD7">
        <w:br w:type="page"/>
      </w:r>
      <w:bookmarkStart w:id="29" w:name="_Toc117512331"/>
      <w:r w:rsidRPr="006A4CD7">
        <w:lastRenderedPageBreak/>
        <w:t>2.  INSTRUCTIONS ON TYPES OF EVIDENCE</w:t>
      </w:r>
      <w:bookmarkEnd w:id="29"/>
    </w:p>
    <w:p w14:paraId="0B51B049" w14:textId="77777777" w:rsidR="006A4CD7" w:rsidRPr="007B1C2E" w:rsidRDefault="006A4CD7" w:rsidP="007B1C2E"/>
    <w:p w14:paraId="57E4AA53" w14:textId="211D0A5D"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72235990" w14:textId="77777777" w:rsidR="00C64E8D" w:rsidRPr="006A4CD7" w:rsidRDefault="00C64E8D" w:rsidP="0060759C">
      <w:pPr>
        <w:autoSpaceDE w:val="0"/>
        <w:autoSpaceDN w:val="0"/>
        <w:adjustRightInd w:val="0"/>
        <w:rPr>
          <w:rFonts w:cs="Times New Roman"/>
          <w:color w:val="808080"/>
          <w:szCs w:val="24"/>
        </w:rPr>
      </w:pPr>
    </w:p>
    <w:p w14:paraId="7A6708C4" w14:textId="534EB18B" w:rsidR="006A4CD7" w:rsidRPr="006A4CD7" w:rsidRDefault="00C64E8D" w:rsidP="00C9762A">
      <w:pPr>
        <w:tabs>
          <w:tab w:val="left" w:pos="900"/>
        </w:tabs>
      </w:pPr>
      <w:r>
        <w:t>2.0</w:t>
      </w:r>
      <w:r>
        <w:tab/>
        <w:t>Cautionary Testimony</w:t>
      </w:r>
    </w:p>
    <w:p w14:paraId="5DC846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C9762A">
      <w:pPr>
        <w:tabs>
          <w:tab w:val="left" w:pos="180"/>
        </w:tabs>
        <w:autoSpaceDE w:val="0"/>
        <w:autoSpaceDN w:val="0"/>
        <w:adjustRightInd w:val="0"/>
        <w:ind w:left="900" w:hanging="90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C9762A">
      <w:pPr>
        <w:tabs>
          <w:tab w:val="left" w:pos="900"/>
        </w:tabs>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194BA557" w:rsidR="006A4CD7" w:rsidRPr="006A4CD7" w:rsidRDefault="006A4CD7" w:rsidP="00C9762A">
      <w:pPr>
        <w:tabs>
          <w:tab w:val="left" w:pos="990"/>
        </w:tabs>
        <w:autoSpaceDE w:val="0"/>
        <w:autoSpaceDN w:val="0"/>
        <w:adjustRightInd w:val="0"/>
        <w:ind w:left="900" w:hanging="900"/>
        <w:rPr>
          <w:rFonts w:cs="Times New Roman"/>
          <w:szCs w:val="24"/>
        </w:rPr>
      </w:pPr>
      <w:r w:rsidRPr="006A4CD7">
        <w:rPr>
          <w:rFonts w:cs="Times New Roman"/>
          <w:szCs w:val="24"/>
        </w:rPr>
        <w:t xml:space="preserve">2.15 </w:t>
      </w:r>
      <w:r w:rsidRPr="006A4CD7">
        <w:rPr>
          <w:rFonts w:cs="Times New Roman"/>
          <w:szCs w:val="24"/>
        </w:rPr>
        <w:tab/>
        <w:t xml:space="preserve">Charts and Summaries </w:t>
      </w:r>
      <w:r w:rsidR="00545512">
        <w:rPr>
          <w:rFonts w:cs="Times New Roman"/>
          <w:szCs w:val="24"/>
        </w:rPr>
        <w:t xml:space="preserve">Received </w:t>
      </w:r>
      <w:r w:rsidRPr="006A4CD7">
        <w:rPr>
          <w:rFonts w:cs="Times New Roman"/>
          <w:szCs w:val="24"/>
        </w:rPr>
        <w:t>in Evidence</w:t>
      </w:r>
    </w:p>
    <w:p w14:paraId="3DDC88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6483B11F" w:rsidR="006A4CD7" w:rsidRPr="006A4CD7" w:rsidRDefault="00734276" w:rsidP="0060759C">
      <w:pPr>
        <w:autoSpaceDE w:val="0"/>
        <w:autoSpaceDN w:val="0"/>
        <w:adjustRightInd w:val="0"/>
        <w:jc w:val="center"/>
        <w:rPr>
          <w:rFonts w:cs="Times New Roman"/>
          <w:color w:val="808080"/>
          <w:szCs w:val="24"/>
        </w:rPr>
      </w:pPr>
      <w:r>
        <w:rPr>
          <w:rFonts w:cs="Times New Roman"/>
          <w:color w:val="808080"/>
          <w:szCs w:val="24"/>
        </w:rPr>
        <w:t>____________________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7B1C2E">
      <w:pPr>
        <w:pStyle w:val="Heading2"/>
      </w:pPr>
    </w:p>
    <w:p w14:paraId="38A7BA8E" w14:textId="4665C938" w:rsidR="00E23BD4" w:rsidRDefault="00E23BD4" w:rsidP="007B1C2E">
      <w:pPr>
        <w:pStyle w:val="Heading2"/>
      </w:pPr>
    </w:p>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3D87E305" w14:textId="77777777" w:rsidR="00C64E8D" w:rsidRDefault="00C64E8D" w:rsidP="0006064C"/>
    <w:p w14:paraId="72A9A524" w14:textId="314E9EB9"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30" w:name="_Toc117512332"/>
      <w:r w:rsidRPr="0006064C">
        <w:t xml:space="preserve">2.0 </w:t>
      </w:r>
      <w:r w:rsidR="00F8289E" w:rsidRPr="00F8289E">
        <w:t>Cautionary Instructions</w:t>
      </w:r>
      <w:bookmarkEnd w:id="30"/>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 xml:space="preserve">[ALTERNATIVE 2 (during </w:t>
      </w:r>
      <w:proofErr w:type="spellStart"/>
      <w:r w:rsidRPr="0006064C">
        <w:rPr>
          <w:rFonts w:cs="Times New Roman"/>
          <w:szCs w:val="24"/>
        </w:rPr>
        <w:t>voir</w:t>
      </w:r>
      <w:proofErr w:type="spellEnd"/>
      <w:r w:rsidRPr="0006064C">
        <w:rPr>
          <w:rFonts w:cs="Times New Roman"/>
          <w:szCs w:val="24"/>
        </w:rPr>
        <w:t xml:space="preserve">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14FB2E46" w14:textId="77777777" w:rsidR="006561DF" w:rsidRDefault="006561DF" w:rsidP="0006064C">
      <w:pPr>
        <w:jc w:val="right"/>
        <w:rPr>
          <w:rFonts w:cs="Times New Roman"/>
          <w:i/>
          <w:iCs/>
          <w:szCs w:val="24"/>
        </w:rPr>
      </w:pPr>
    </w:p>
    <w:p w14:paraId="71EAF8E0" w14:textId="3AACDF31"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263E88B4" w14:textId="77777777" w:rsidR="0006064C" w:rsidRPr="0006064C" w:rsidRDefault="0006064C" w:rsidP="0006064C"/>
    <w:p w14:paraId="7AAE9135" w14:textId="6033B7FC" w:rsidR="006A4CD7" w:rsidRPr="006A4CD7" w:rsidRDefault="006A4CD7" w:rsidP="007B1C2E">
      <w:pPr>
        <w:pStyle w:val="Heading2"/>
      </w:pPr>
      <w:bookmarkStart w:id="31" w:name="_Toc117512333"/>
      <w:r w:rsidRPr="006A4CD7">
        <w:lastRenderedPageBreak/>
        <w:t xml:space="preserve">2.1 </w:t>
      </w:r>
      <w:r w:rsidR="00F8289E" w:rsidRPr="00F8289E">
        <w:t>Stipulated Testimony</w:t>
      </w:r>
      <w:bookmarkEnd w:id="31"/>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517AE1D9" w:rsidR="006A4CD7" w:rsidRPr="006A4CD7" w:rsidRDefault="006A4CD7" w:rsidP="007B1C2E">
      <w:pPr>
        <w:pStyle w:val="Heading2"/>
      </w:pPr>
      <w:bookmarkStart w:id="32" w:name="_Toc117512334"/>
      <w:r w:rsidRPr="006A4CD7">
        <w:lastRenderedPageBreak/>
        <w:t xml:space="preserve">2.2 </w:t>
      </w:r>
      <w:r w:rsidR="00F8289E" w:rsidRPr="00F8289E">
        <w:t>Stipulations of Fact</w:t>
      </w:r>
      <w:bookmarkEnd w:id="32"/>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enter into stipulations as to material facts, those facts will be deemed to have been conclusively proved, and the jury may be so instructed.  </w:t>
      </w:r>
      <w:r w:rsidRPr="006A4CD7">
        <w:rPr>
          <w:rFonts w:cs="Times New Roman"/>
          <w:i/>
          <w:iCs/>
          <w:szCs w:val="24"/>
        </w:rPr>
        <w:t xml:space="preserve">United States v. </w:t>
      </w:r>
      <w:proofErr w:type="spellStart"/>
      <w:r w:rsidRPr="006A4CD7">
        <w:rPr>
          <w:rFonts w:cs="Times New Roman"/>
          <w:i/>
          <w:iCs/>
          <w:szCs w:val="24"/>
        </w:rPr>
        <w:t>Mikaelian</w:t>
      </w:r>
      <w:proofErr w:type="spellEnd"/>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27E300B0" w:rsidR="006A4CD7" w:rsidRPr="006A4CD7" w:rsidRDefault="006A4CD7" w:rsidP="007B1C2E">
      <w:pPr>
        <w:pStyle w:val="Heading2"/>
      </w:pPr>
      <w:r w:rsidRPr="006A4CD7">
        <w:br w:type="page"/>
      </w:r>
      <w:bookmarkStart w:id="33" w:name="_Toc117512335"/>
      <w:r w:rsidRPr="006A4CD7">
        <w:lastRenderedPageBreak/>
        <w:t xml:space="preserve">2.3 </w:t>
      </w:r>
      <w:r w:rsidR="00F8289E" w:rsidRPr="00F8289E">
        <w:t>Judicial Notice</w:t>
      </w:r>
      <w:bookmarkEnd w:id="33"/>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1B9F04CC" w:rsidR="006A4CD7" w:rsidRPr="006A4CD7" w:rsidRDefault="006A4CD7" w:rsidP="007B1C2E">
      <w:pPr>
        <w:pStyle w:val="Heading2"/>
      </w:pPr>
      <w:bookmarkStart w:id="34" w:name="_Toc117512336"/>
      <w:r w:rsidRPr="006A4CD7">
        <w:lastRenderedPageBreak/>
        <w:t xml:space="preserve">2.4 </w:t>
      </w:r>
      <w:r w:rsidR="00F8289E" w:rsidRPr="00F8289E">
        <w:t>Deposition in Lieu of Live Testimony</w:t>
      </w:r>
      <w:bookmarkEnd w:id="34"/>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Insofar as possible, you should consider deposition testimony, presented to you in court in lieu of live testimony, in the same way as if the witness had been present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269A2B5E" w:rsidR="006A4CD7" w:rsidRPr="006A4CD7" w:rsidRDefault="006A4CD7" w:rsidP="007B1C2E">
      <w:pPr>
        <w:pStyle w:val="Heading2"/>
      </w:pPr>
      <w:bookmarkStart w:id="35" w:name="_Toc117512337"/>
      <w:r w:rsidRPr="006A4CD7">
        <w:lastRenderedPageBreak/>
        <w:t xml:space="preserve">2.5 </w:t>
      </w:r>
      <w:r w:rsidR="00F8289E" w:rsidRPr="00F8289E">
        <w:t>Transcript of Recording in English</w:t>
      </w:r>
      <w:bookmarkEnd w:id="35"/>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 xml:space="preserve">abrogated on other grounds by United States v. </w:t>
      </w:r>
      <w:proofErr w:type="spellStart"/>
      <w:r w:rsidRPr="006A4CD7">
        <w:rPr>
          <w:rFonts w:cs="Times New Roman"/>
          <w:i/>
          <w:iCs/>
          <w:szCs w:val="24"/>
        </w:rPr>
        <w:t>Katakis</w:t>
      </w:r>
      <w:proofErr w:type="spellEnd"/>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6A9D63A" w:rsidR="006A4CD7" w:rsidRPr="006A4CD7" w:rsidRDefault="006A4CD7" w:rsidP="007B1C2E">
      <w:pPr>
        <w:pStyle w:val="Heading2"/>
      </w:pPr>
      <w:r w:rsidRPr="006A4CD7">
        <w:br w:type="page"/>
      </w:r>
      <w:bookmarkStart w:id="36" w:name="_Toc117512338"/>
      <w:r w:rsidRPr="006A4CD7">
        <w:lastRenderedPageBreak/>
        <w:t xml:space="preserve">2.6 </w:t>
      </w:r>
      <w:r w:rsidR="00F8289E" w:rsidRPr="00F8289E">
        <w:t>Transcript of Recording in Foreign Language</w:t>
      </w:r>
      <w:bookmarkEnd w:id="36"/>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w:t>
      </w:r>
      <w:proofErr w:type="spellStart"/>
      <w:r w:rsidRPr="006A4CD7">
        <w:rPr>
          <w:rFonts w:cs="Times New Roman"/>
          <w:i/>
          <w:iCs/>
          <w:szCs w:val="24"/>
        </w:rPr>
        <w:t>Rrapi</w:t>
      </w:r>
      <w:proofErr w:type="spellEnd"/>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2104E347" w:rsidR="006A4CD7" w:rsidRPr="006A4CD7" w:rsidRDefault="006A4CD7" w:rsidP="007B1C2E">
      <w:pPr>
        <w:pStyle w:val="Heading2"/>
      </w:pPr>
      <w:r w:rsidRPr="006A4CD7">
        <w:br w:type="page"/>
      </w:r>
      <w:bookmarkStart w:id="37" w:name="_Toc117512339"/>
      <w:r w:rsidRPr="006A4CD7">
        <w:lastRenderedPageBreak/>
        <w:t xml:space="preserve">2.7 </w:t>
      </w:r>
      <w:r w:rsidR="00F8289E" w:rsidRPr="00F8289E">
        <w:t>Disputed Transcript of Recording in Foreign Language</w:t>
      </w:r>
      <w:bookmarkEnd w:id="37"/>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6C037F4C" w:rsidR="006A4CD7" w:rsidRPr="006A4CD7" w:rsidRDefault="006A4CD7" w:rsidP="00F84FDE">
      <w:pPr>
        <w:pStyle w:val="Heading2"/>
      </w:pPr>
      <w:r w:rsidRPr="006A4CD7">
        <w:br w:type="page"/>
      </w:r>
      <w:bookmarkStart w:id="38" w:name="_Toc117512340"/>
      <w:r w:rsidRPr="006A4CD7">
        <w:lastRenderedPageBreak/>
        <w:t xml:space="preserve">2.8 </w:t>
      </w:r>
      <w:r w:rsidR="00F8289E" w:rsidRPr="00F8289E">
        <w:t>Foreign Language Testimony</w:t>
      </w:r>
      <w:bookmarkEnd w:id="38"/>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475C97F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must not make any assumptions about a </w:t>
      </w:r>
      <w:r w:rsidR="008A3CE4" w:rsidRPr="006A4CD7">
        <w:rPr>
          <w:rFonts w:cs="Times New Roman"/>
          <w:szCs w:val="24"/>
        </w:rPr>
        <w:t>witness,</w:t>
      </w:r>
      <w:r w:rsidRPr="006A4CD7">
        <w:rPr>
          <w:rFonts w:cs="Times New Roman"/>
          <w:szCs w:val="24"/>
        </w:rPr>
        <w:t xml:space="preserve">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w:t>
      </w:r>
      <w:proofErr w:type="spellStart"/>
      <w:r w:rsidRPr="006A4CD7">
        <w:rPr>
          <w:rFonts w:cs="Times New Roman"/>
          <w:i/>
          <w:iCs/>
          <w:szCs w:val="24"/>
        </w:rPr>
        <w:t>Rrapi</w:t>
      </w:r>
      <w:proofErr w:type="spellEnd"/>
      <w:r w:rsidRPr="006A4CD7">
        <w:rPr>
          <w:rFonts w:cs="Times New Roman"/>
          <w:szCs w:val="24"/>
        </w:rPr>
        <w:t xml:space="preserve">, 175 F.3d 742, 746 (9th Cir. 1999); </w:t>
      </w:r>
      <w:r w:rsidRPr="006A4CD7">
        <w:rPr>
          <w:rFonts w:cs="Times New Roman"/>
          <w:i/>
          <w:iCs/>
          <w:szCs w:val="24"/>
        </w:rPr>
        <w:t>United States v. Fuentes–</w:t>
      </w:r>
      <w:proofErr w:type="spellStart"/>
      <w:r w:rsidRPr="006A4CD7">
        <w:rPr>
          <w:rFonts w:cs="Times New Roman"/>
          <w:i/>
          <w:iCs/>
          <w:szCs w:val="24"/>
        </w:rPr>
        <w:t>Montijo</w:t>
      </w:r>
      <w:proofErr w:type="spellEnd"/>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2CA2CDF8" w:rsidR="006A4CD7" w:rsidRPr="006A4CD7" w:rsidRDefault="006A4CD7" w:rsidP="00F84FDE">
      <w:pPr>
        <w:pStyle w:val="Heading2"/>
      </w:pPr>
      <w:bookmarkStart w:id="39" w:name="_Toc117512341"/>
      <w:r w:rsidRPr="006A4CD7">
        <w:lastRenderedPageBreak/>
        <w:t xml:space="preserve">2.9 </w:t>
      </w:r>
      <w:r w:rsidR="00F8289E" w:rsidRPr="00F8289E">
        <w:t>Impeachment Evidence—Witness</w:t>
      </w:r>
      <w:bookmarkEnd w:id="39"/>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may be considered, along with all other evidence, in deciding whether or not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0FCC3656" w:rsidR="006A4CD7" w:rsidRPr="006A4CD7" w:rsidRDefault="006A4CD7" w:rsidP="00F84FDE">
      <w:pPr>
        <w:pStyle w:val="Heading2"/>
      </w:pPr>
      <w:bookmarkStart w:id="40" w:name="_Toc117512342"/>
      <w:r w:rsidRPr="006A4CD7">
        <w:lastRenderedPageBreak/>
        <w:t xml:space="preserve">2.10 </w:t>
      </w:r>
      <w:r w:rsidR="00F8289E" w:rsidRPr="00F8289E">
        <w:t xml:space="preserve">Tests </w:t>
      </w:r>
      <w:r w:rsidR="00A25782">
        <w:t>a</w:t>
      </w:r>
      <w:r w:rsidR="00F8289E" w:rsidRPr="00F8289E">
        <w:t>nd Experiments</w:t>
      </w:r>
      <w:bookmarkEnd w:id="40"/>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d’Hedouville</w:t>
      </w:r>
      <w:proofErr w:type="spellEnd"/>
      <w:r w:rsidRPr="006A4CD7">
        <w:rPr>
          <w:rFonts w:cs="Times New Roman"/>
          <w:i/>
          <w:iCs/>
          <w:szCs w:val="24"/>
        </w:rPr>
        <w:t xml:space="preserv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(internal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2C1AC5A1" w:rsidR="006A4CD7" w:rsidRPr="006A4CD7" w:rsidRDefault="006A4CD7" w:rsidP="00F84FDE">
      <w:pPr>
        <w:pStyle w:val="Heading2"/>
      </w:pPr>
      <w:bookmarkStart w:id="41" w:name="_Toc117512343"/>
      <w:r w:rsidRPr="006A4CD7">
        <w:lastRenderedPageBreak/>
        <w:t xml:space="preserve">2.11 </w:t>
      </w:r>
      <w:r w:rsidR="00F8289E" w:rsidRPr="00F8289E">
        <w:t>Use of Interrogatories</w:t>
      </w:r>
      <w:bookmarkEnd w:id="41"/>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54466393" w:rsidR="006A4CD7" w:rsidRDefault="006A4CD7" w:rsidP="00F84FDE">
      <w:pPr>
        <w:pStyle w:val="Heading2"/>
      </w:pPr>
      <w:r w:rsidRPr="006A4CD7">
        <w:br w:type="page"/>
      </w:r>
      <w:bookmarkStart w:id="42" w:name="_Toc117512344"/>
      <w:r w:rsidRPr="006A4CD7">
        <w:lastRenderedPageBreak/>
        <w:t xml:space="preserve">2.12 </w:t>
      </w:r>
      <w:r w:rsidR="00F8289E" w:rsidRPr="00F8289E">
        <w:t>Use of Requests for Admission</w:t>
      </w:r>
      <w:bookmarkEnd w:id="42"/>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0C9469C1" w:rsidR="006A4CD7" w:rsidRPr="006A4CD7" w:rsidRDefault="006A4CD7" w:rsidP="00F84FDE">
      <w:pPr>
        <w:pStyle w:val="Heading2"/>
      </w:pPr>
      <w:r w:rsidRPr="006A4CD7">
        <w:br w:type="page"/>
      </w:r>
      <w:bookmarkStart w:id="43" w:name="_Toc117512345"/>
      <w:r w:rsidRPr="006A4CD7">
        <w:lastRenderedPageBreak/>
        <w:t xml:space="preserve">2.13 </w:t>
      </w:r>
      <w:r w:rsidR="00F8289E" w:rsidRPr="00F8289E">
        <w:t>Expert Opinion</w:t>
      </w:r>
      <w:bookmarkEnd w:id="43"/>
    </w:p>
    <w:p w14:paraId="1F3555D9" w14:textId="77777777" w:rsidR="006A4CD7" w:rsidRPr="006A4CD7" w:rsidRDefault="006A4CD7" w:rsidP="0060759C">
      <w:pPr>
        <w:autoSpaceDE w:val="0"/>
        <w:autoSpaceDN w:val="0"/>
        <w:adjustRightInd w:val="0"/>
        <w:rPr>
          <w:rFonts w:cs="Times New Roman"/>
          <w:szCs w:val="24"/>
        </w:rPr>
      </w:pPr>
    </w:p>
    <w:p w14:paraId="5C2B2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[have heard] [are about to hear] testimony from [</w:t>
      </w:r>
      <w:r w:rsidRPr="006A4CD7">
        <w:rPr>
          <w:rFonts w:cs="Times New Roman"/>
          <w:i/>
          <w:iCs/>
          <w:szCs w:val="24"/>
          <w:u w:val="single"/>
        </w:rPr>
        <w:t>name</w:t>
      </w:r>
      <w:r w:rsidRPr="006A4CD7">
        <w:rPr>
          <w:rFonts w:cs="Times New Roman"/>
          <w:szCs w:val="24"/>
        </w:rPr>
        <w:t xml:space="preserve">] who [testified] [will testify] to opinions and the reasons for [his] [her] opinions. This opinion testimony is allowed, because of the education or experience of this witness. </w:t>
      </w:r>
    </w:p>
    <w:p w14:paraId="7D9070B2" w14:textId="77777777" w:rsidR="006A4CD7" w:rsidRPr="006A4CD7" w:rsidRDefault="006A4CD7" w:rsidP="0060759C">
      <w:pPr>
        <w:autoSpaceDE w:val="0"/>
        <w:autoSpaceDN w:val="0"/>
        <w:adjustRightInd w:val="0"/>
        <w:rPr>
          <w:rFonts w:cs="Times New Roman"/>
          <w:szCs w:val="24"/>
        </w:rPr>
      </w:pPr>
    </w:p>
    <w:p w14:paraId="29404830" w14:textId="11A6B45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Such opinion testimony should be judged like any other testimony. You may accept it or reject </w:t>
      </w:r>
      <w:r w:rsidR="008A3CE4" w:rsidRPr="006A4CD7">
        <w:rPr>
          <w:rFonts w:cs="Times New Roman"/>
          <w:szCs w:val="24"/>
        </w:rPr>
        <w:t>it and</w:t>
      </w:r>
      <w:r w:rsidRPr="006A4CD7">
        <w:rPr>
          <w:rFonts w:cs="Times New Roman"/>
          <w:szCs w:val="24"/>
        </w:rPr>
        <w:t xml:space="preserve"> give it as much weight as you think it deserves, considering the witness’s education and experience, the reasons given for the opinion, and all the other evidence in the case.</w:t>
      </w:r>
    </w:p>
    <w:p w14:paraId="221E2617" w14:textId="77777777" w:rsidR="006A4CD7" w:rsidRPr="006A4CD7" w:rsidRDefault="006A4CD7" w:rsidP="002B1D90"/>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0285B1C6" w:rsidR="006A4CD7" w:rsidRPr="006A4CD7" w:rsidRDefault="006A4CD7" w:rsidP="0060759C">
      <w:pPr>
        <w:autoSpaceDE w:val="0"/>
        <w:autoSpaceDN w:val="0"/>
        <w:adjustRightInd w:val="0"/>
        <w:rPr>
          <w:rFonts w:cs="Times New Roman"/>
          <w:szCs w:val="24"/>
        </w:rPr>
      </w:pPr>
      <w:r w:rsidRPr="006A4CD7">
        <w:rPr>
          <w:rFonts w:cs="Times New Roman"/>
          <w:szCs w:val="24"/>
        </w:rPr>
        <w:tab/>
        <w:t>According to Federal Rule of Evidence 702, “[t]he purpose of expert testimony is to ‘assist the trier of fact to understand the evidence or to determine a fact in issue’ by providing opinions on ‘scientific, technical, or other specialized knowledge.</w:t>
      </w:r>
      <w:r w:rsidR="00135045" w:rsidRPr="006A4CD7">
        <w:rPr>
          <w:rFonts w:cs="Times New Roman"/>
          <w:szCs w:val="24"/>
        </w:rPr>
        <w:t>’”</w:t>
      </w:r>
      <w:r w:rsidRPr="006A4CD7">
        <w:rPr>
          <w:rFonts w:cs="Times New Roman"/>
          <w:szCs w:val="24"/>
        </w:rPr>
        <w:t xml:space="preserve">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particular field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0BC6FB8"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w:t>
      </w:r>
      <w:r w:rsidR="008A3CE4" w:rsidRPr="006A4CD7">
        <w:rPr>
          <w:rFonts w:cs="Times New Roman"/>
          <w:szCs w:val="24"/>
        </w:rPr>
        <w:t>ensure [</w:t>
      </w:r>
      <w:r w:rsidRPr="006A4CD7">
        <w:rPr>
          <w:rFonts w:cs="Times New Roman"/>
          <w:szCs w:val="24"/>
        </w:rPr>
        <w:t>]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09D33CE" w14:textId="31CBB118" w:rsidR="006A4CD7" w:rsidRP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79D90F91" w14:textId="77777777" w:rsidR="006A4CD7" w:rsidRPr="006A4CD7" w:rsidRDefault="006A4CD7" w:rsidP="0060759C">
      <w:pPr>
        <w:autoSpaceDE w:val="0"/>
        <w:autoSpaceDN w:val="0"/>
        <w:adjustRightInd w:val="0"/>
        <w:rPr>
          <w:rFonts w:cs="Times New Roman"/>
          <w:szCs w:val="24"/>
        </w:rPr>
      </w:pPr>
    </w:p>
    <w:p w14:paraId="1737348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63ECB66C" w:rsidR="006A4CD7" w:rsidRPr="006A4CD7" w:rsidRDefault="006A4CD7" w:rsidP="00F84FDE">
      <w:pPr>
        <w:pStyle w:val="Heading2"/>
      </w:pPr>
      <w:bookmarkStart w:id="44" w:name="_Toc117512346"/>
      <w:r w:rsidRPr="006A4CD7">
        <w:lastRenderedPageBreak/>
        <w:t xml:space="preserve">2.14 </w:t>
      </w:r>
      <w:r w:rsidR="00F8289E" w:rsidRPr="00F8289E">
        <w:t xml:space="preserve">Charts </w:t>
      </w:r>
      <w:r w:rsidR="00F8289E">
        <w:t>a</w:t>
      </w:r>
      <w:r w:rsidR="00F8289E" w:rsidRPr="00F8289E">
        <w:t>nd Summaries Not Received in Evidence</w:t>
      </w:r>
      <w:bookmarkEnd w:id="44"/>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in order to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 xml:space="preserve">United States v. </w:t>
      </w:r>
      <w:proofErr w:type="spellStart"/>
      <w:r w:rsidRPr="006A4CD7">
        <w:rPr>
          <w:i/>
          <w:iCs/>
        </w:rPr>
        <w:t>Soulard</w:t>
      </w:r>
      <w:proofErr w:type="spellEnd"/>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65E2A58D" w:rsidR="006A4CD7" w:rsidRPr="006A4CD7" w:rsidRDefault="006A4CD7" w:rsidP="00F84FDE">
      <w:pPr>
        <w:pStyle w:val="Heading2"/>
      </w:pPr>
      <w:bookmarkStart w:id="45" w:name="_Toc117512347"/>
      <w:r w:rsidRPr="006A4CD7">
        <w:lastRenderedPageBreak/>
        <w:t xml:space="preserve">2.15 </w:t>
      </w:r>
      <w:r w:rsidR="00F8289E" w:rsidRPr="00F8289E">
        <w:t xml:space="preserve">Charts </w:t>
      </w:r>
      <w:r w:rsidR="00F8289E">
        <w:t>a</w:t>
      </w:r>
      <w:r w:rsidR="00F8289E" w:rsidRPr="00F8289E">
        <w:t>nd Summaries Received in Evidence</w:t>
      </w:r>
      <w:bookmarkEnd w:id="45"/>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 xml:space="preserve">See United States v. </w:t>
      </w:r>
      <w:proofErr w:type="spellStart"/>
      <w:r w:rsidRPr="006A4CD7">
        <w:rPr>
          <w:i/>
          <w:iCs/>
        </w:rPr>
        <w:t>Anekwu</w:t>
      </w:r>
      <w:proofErr w:type="spellEnd"/>
      <w:r w:rsidRPr="006A4CD7">
        <w:t>, 695 F.3d 967, 981 (9th Cir. 2012)</w:t>
      </w:r>
      <w:r w:rsidRPr="006A4CD7">
        <w:rPr>
          <w:i/>
          <w:iCs/>
        </w:rPr>
        <w:t xml:space="preserve"> </w:t>
      </w:r>
      <w:r w:rsidRPr="006A4CD7">
        <w:t xml:space="preserve">(“[T]he proponent of a summary must demonstrate the admissibility of the underlying writings or records summarized, as a condition precedent to introduction of the summary into evidence under [Fed. R. Evid. Evid.] 1006.”) (quoting </w:t>
      </w:r>
      <w:r w:rsidRPr="006A4CD7">
        <w:rPr>
          <w:i/>
          <w:iCs/>
        </w:rPr>
        <w:t>United States v. Johnson</w:t>
      </w:r>
      <w:r w:rsidRPr="006A4CD7">
        <w:t xml:space="preserve">, 594 F.2d 1253, 1257 (9th Cir. 1979)); </w:t>
      </w:r>
      <w:r w:rsidRPr="006A4CD7">
        <w:rPr>
          <w:i/>
          <w:iCs/>
        </w:rPr>
        <w:t xml:space="preserve">United States v. </w:t>
      </w:r>
      <w:proofErr w:type="spellStart"/>
      <w:r w:rsidRPr="006A4CD7">
        <w:rPr>
          <w:i/>
          <w:iCs/>
        </w:rPr>
        <w:t>Rizk</w:t>
      </w:r>
      <w:proofErr w:type="spellEnd"/>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679F84A7" w:rsidR="006A4CD7" w:rsidRPr="006A4CD7" w:rsidRDefault="006A4CD7" w:rsidP="00F84FDE">
      <w:pPr>
        <w:pStyle w:val="Heading2"/>
      </w:pPr>
      <w:bookmarkStart w:id="46" w:name="_Toc117512348"/>
      <w:r w:rsidRPr="006A4CD7">
        <w:lastRenderedPageBreak/>
        <w:t xml:space="preserve">2.16 </w:t>
      </w:r>
      <w:r w:rsidR="00F8289E" w:rsidRPr="00F8289E">
        <w:t>Evidence in Electronic Format</w:t>
      </w:r>
      <w:bookmarkEnd w:id="46"/>
    </w:p>
    <w:p w14:paraId="2FC51679" w14:textId="77777777" w:rsidR="006A4CD7" w:rsidRPr="006A4CD7" w:rsidRDefault="006A4CD7" w:rsidP="0060759C">
      <w:pPr>
        <w:autoSpaceDE w:val="0"/>
        <w:autoSpaceDN w:val="0"/>
        <w:adjustRightInd w:val="0"/>
        <w:rPr>
          <w:rFonts w:cs="Times New Roman"/>
          <w:szCs w:val="24"/>
        </w:rPr>
      </w:pPr>
    </w:p>
    <w:p w14:paraId="36FBFE38" w14:textId="4D36D58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Those exhibits received in evidence that are capable of being displayed electronically will be provided to you in that form, and you will be able to view them in the jury room.  A computer, projector, </w:t>
      </w:r>
      <w:r w:rsidR="008A3CE4" w:rsidRPr="006A4CD7">
        <w:rPr>
          <w:rFonts w:cs="Times New Roman"/>
          <w:szCs w:val="24"/>
        </w:rPr>
        <w:t>printer,</w:t>
      </w:r>
      <w:r w:rsidRPr="006A4CD7">
        <w:rPr>
          <w:rFonts w:cs="Times New Roman"/>
          <w:szCs w:val="24"/>
        </w:rPr>
        <w:t xml:space="preserve">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w:t>
      </w:r>
      <w:proofErr w:type="spellStart"/>
      <w:r w:rsidRPr="006A4CD7">
        <w:rPr>
          <w:rFonts w:cs="Times New Roman"/>
          <w:szCs w:val="24"/>
        </w:rPr>
        <w:t>nonjuror</w:t>
      </w:r>
      <w:proofErr w:type="spellEnd"/>
      <w:r w:rsidRPr="006A4CD7">
        <w:rPr>
          <w:rFonts w:cs="Times New Roman"/>
          <w:szCs w:val="24"/>
        </w:rPr>
        <w:t xml:space="preserve"> is in the jury room, the jury shall not deliberate.  No juror may say anything to the court technician or any </w:t>
      </w:r>
      <w:proofErr w:type="spellStart"/>
      <w:r w:rsidRPr="006A4CD7">
        <w:rPr>
          <w:rFonts w:cs="Times New Roman"/>
          <w:szCs w:val="24"/>
        </w:rPr>
        <w:t>nonjuror</w:t>
      </w:r>
      <w:proofErr w:type="spellEnd"/>
      <w:r w:rsidRPr="006A4CD7">
        <w:rPr>
          <w:rFonts w:cs="Times New Roman"/>
          <w:szCs w:val="24"/>
        </w:rPr>
        <w:t xml:space="preserve">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406BAF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w:t>
      </w:r>
      <w:r w:rsidR="008A3CE4" w:rsidRPr="006A4CD7">
        <w:rPr>
          <w:rFonts w:cs="Times New Roman"/>
          <w:szCs w:val="24"/>
        </w:rPr>
        <w:t>procedures,</w:t>
      </w:r>
      <w:r w:rsidRPr="006A4CD7">
        <w:rPr>
          <w:rFonts w:cs="Times New Roman"/>
          <w:szCs w:val="24"/>
        </w:rPr>
        <w:t xml:space="preserve">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parties jointly arrange to load images of the admitted exhibits onto a hard drive in “PDF” format.  (This format is meant to assure maximum </w:t>
      </w:r>
      <w:r w:rsidRPr="006A4CD7">
        <w:rPr>
          <w:rFonts w:cs="Times New Roman"/>
          <w:szCs w:val="24"/>
        </w:rPr>
        <w:lastRenderedPageBreak/>
        <w:t>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parties jointly compile a document entitled “Admitted Exhibit List” that consists of all trial exhibits actually received into evidence, listed in numerical order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Before the jury retires to deliberate, the parties will review the notebook computer, the exhibit list interface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2E5DA17E" w14:textId="7E262682" w:rsidR="006A4CD7" w:rsidRPr="006A4CD7" w:rsidRDefault="006A4CD7" w:rsidP="008A3CE4">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020EDA2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w:t>
      </w:r>
      <w:proofErr w:type="spellStart"/>
      <w:r w:rsidRPr="006A4CD7">
        <w:rPr>
          <w:rFonts w:cs="Times New Roman"/>
          <w:szCs w:val="24"/>
        </w:rPr>
        <w:t>nonjuror</w:t>
      </w:r>
      <w:proofErr w:type="spellEnd"/>
      <w:r w:rsidRPr="006A4CD7">
        <w:rPr>
          <w:rFonts w:cs="Times New Roman"/>
          <w:szCs w:val="24"/>
        </w:rPr>
        <w:t xml:space="preserve"> might be required to enter the jury room to deal with a technical problem, the judge should </w:t>
      </w:r>
      <w:proofErr w:type="spellStart"/>
      <w:r w:rsidRPr="006A4CD7">
        <w:rPr>
          <w:rFonts w:cs="Times New Roman"/>
          <w:i/>
          <w:iCs/>
          <w:szCs w:val="24"/>
        </w:rPr>
        <w:t>sua</w:t>
      </w:r>
      <w:proofErr w:type="spellEnd"/>
      <w:r w:rsidRPr="006A4CD7">
        <w:rPr>
          <w:rFonts w:cs="Times New Roman"/>
          <w:i/>
          <w:iCs/>
          <w:szCs w:val="24"/>
        </w:rPr>
        <w:t xml:space="preserve">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Can the technical problem be addressed without entry into the room;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lastRenderedPageBreak/>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3C0F1EC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38DC477C" w:rsidR="006A4CD7" w:rsidRPr="006A4CD7" w:rsidRDefault="006A4CD7" w:rsidP="00BF5CD7">
      <w:pPr>
        <w:pStyle w:val="Heading1"/>
      </w:pPr>
      <w:r w:rsidRPr="006A4CD7">
        <w:br w:type="page"/>
      </w:r>
      <w:bookmarkStart w:id="47" w:name="_Toc117512349"/>
      <w:r w:rsidRPr="006A4CD7">
        <w:lastRenderedPageBreak/>
        <w:t>3.  INSTRUCTIONS CONCERNING DELIBERATIONS</w:t>
      </w:r>
      <w:bookmarkEnd w:id="47"/>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A44BFD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3.4 </w:t>
      </w:r>
      <w:r w:rsidRPr="006A4CD7">
        <w:rPr>
          <w:rFonts w:cs="Times New Roman"/>
          <w:szCs w:val="24"/>
        </w:rPr>
        <w:tab/>
        <w:t>Readback or Playback</w:t>
      </w:r>
    </w:p>
    <w:p w14:paraId="6861AAC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05209FC7"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3118F9A5" w:rsidR="006A4CD7" w:rsidRPr="006A4CD7" w:rsidRDefault="006A4CD7" w:rsidP="00F84FDE">
      <w:pPr>
        <w:pStyle w:val="Heading2"/>
      </w:pPr>
      <w:bookmarkStart w:id="48" w:name="_Toc117512350"/>
      <w:r w:rsidRPr="006A4CD7">
        <w:lastRenderedPageBreak/>
        <w:t>3.1 D</w:t>
      </w:r>
      <w:r w:rsidR="00A25782">
        <w:t>uty</w:t>
      </w:r>
      <w:r w:rsidRPr="006A4CD7">
        <w:t xml:space="preserve"> </w:t>
      </w:r>
      <w:r w:rsidR="00A25782">
        <w:t>to</w:t>
      </w:r>
      <w:r w:rsidRPr="006A4CD7">
        <w:t xml:space="preserve"> D</w:t>
      </w:r>
      <w:r w:rsidR="00A25782">
        <w:t>eliberate</w:t>
      </w:r>
      <w:bookmarkEnd w:id="48"/>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shall diligently strive to reach agreement with all of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must decide the case for yourself, but you should do so only after you have considered all of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578FB9B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w:t>
      </w:r>
      <w:r w:rsidR="008A3CE4" w:rsidRPr="006A4CD7">
        <w:rPr>
          <w:rFonts w:cs="Times New Roman"/>
          <w:szCs w:val="24"/>
        </w:rPr>
        <w:t>right or</w:t>
      </w:r>
      <w:r w:rsidRPr="006A4CD7">
        <w:rPr>
          <w:rFonts w:cs="Times New Roman"/>
          <w:szCs w:val="24"/>
        </w:rPr>
        <w:t xml:space="preserve">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unanimous, unless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w:t>
      </w:r>
      <w:proofErr w:type="spellStart"/>
      <w:r w:rsidRPr="006A4CD7">
        <w:rPr>
          <w:rFonts w:cs="Times New Roman"/>
          <w:i/>
          <w:iCs/>
          <w:szCs w:val="24"/>
        </w:rPr>
        <w:t>Jazzabi</w:t>
      </w:r>
      <w:proofErr w:type="spellEnd"/>
      <w:r w:rsidRPr="006A4CD7">
        <w:rPr>
          <w:rFonts w:cs="Times New Roman"/>
          <w:i/>
          <w:iCs/>
          <w:szCs w:val="24"/>
        </w:rPr>
        <w:t xml:space="preserve">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7AF1B5FE" w:rsidR="006A4CD7" w:rsidRPr="006A4CD7" w:rsidRDefault="006A4CD7" w:rsidP="00CD224B">
      <w:pPr>
        <w:pStyle w:val="Heading2"/>
      </w:pPr>
      <w:r w:rsidRPr="006A4CD7">
        <w:br w:type="page"/>
      </w:r>
      <w:bookmarkStart w:id="49" w:name="_Toc117512351"/>
      <w:r w:rsidRPr="006A4CD7">
        <w:lastRenderedPageBreak/>
        <w:t>3.2 C</w:t>
      </w:r>
      <w:r w:rsidR="00A25782">
        <w:t>onsideration</w:t>
      </w:r>
      <w:r w:rsidRPr="006A4CD7">
        <w:t xml:space="preserve"> </w:t>
      </w:r>
      <w:r w:rsidR="00A25782">
        <w:t>of</w:t>
      </w:r>
      <w:r w:rsidRPr="006A4CD7">
        <w:t xml:space="preserve"> E</w:t>
      </w:r>
      <w:r w:rsidR="00A25782">
        <w:t>vidence</w:t>
      </w:r>
      <w:r w:rsidRPr="006A4CD7">
        <w:t>—C</w:t>
      </w:r>
      <w:r w:rsidR="00A25782">
        <w:t>onduct</w:t>
      </w:r>
      <w:r w:rsidRPr="006A4CD7">
        <w:t xml:space="preserve"> </w:t>
      </w:r>
      <w:r w:rsidR="00A25782">
        <w:t>of</w:t>
      </w:r>
      <w:r w:rsidRPr="006A4CD7">
        <w:t xml:space="preserve"> </w:t>
      </w:r>
      <w:r w:rsidR="00A25782">
        <w:t>the</w:t>
      </w:r>
      <w:r w:rsidRPr="006A4CD7">
        <w:t xml:space="preserve"> J</w:t>
      </w:r>
      <w:r w:rsidR="00A25782">
        <w:t>ury</w:t>
      </w:r>
      <w:bookmarkEnd w:id="49"/>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39CB8D62"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00ED3E36"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 xml:space="preserve">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t>
      </w:r>
      <w:r w:rsidR="008A3CE4" w:rsidRPr="00177034">
        <w:rPr>
          <w:rFonts w:cs="Times New Roman"/>
          <w:szCs w:val="24"/>
        </w:rPr>
        <w:t>witnesses,</w:t>
      </w:r>
      <w:r w:rsidRPr="00177034">
        <w:rPr>
          <w:rFonts w:cs="Times New Roman"/>
          <w:szCs w:val="24"/>
        </w:rPr>
        <w:t xml:space="preserve">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1ECDAB83" w14:textId="0DD33D7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r w:rsidR="008A3CE4" w:rsidRPr="006A4CD7">
        <w:rPr>
          <w:rFonts w:cs="Times New Roman"/>
          <w:szCs w:val="24"/>
        </w:rPr>
        <w:t>incomplete,</w:t>
      </w:r>
      <w:r w:rsidRPr="006A4CD7">
        <w:rPr>
          <w:rFonts w:cs="Times New Roman"/>
          <w:szCs w:val="24"/>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1B432FDE" w14:textId="71A9F68F" w:rsidR="00177034" w:rsidRDefault="006A4CD7" w:rsidP="002B1D90">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8A3CE4"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5B2DD8DC" w14:textId="77777777" w:rsidR="008A3CE4" w:rsidRDefault="008A3CE4" w:rsidP="009958B1">
      <w:pPr>
        <w:autoSpaceDE w:val="0"/>
        <w:autoSpaceDN w:val="0"/>
        <w:adjustRightInd w:val="0"/>
        <w:jc w:val="right"/>
        <w:rPr>
          <w:rFonts w:cs="Times New Roman"/>
          <w:i/>
          <w:iCs/>
          <w:szCs w:val="24"/>
        </w:rPr>
      </w:pPr>
    </w:p>
    <w:p w14:paraId="2B47E90D" w14:textId="2064C2A3" w:rsidR="009958B1" w:rsidRDefault="00177034" w:rsidP="008A3CE4">
      <w:pPr>
        <w:autoSpaceDE w:val="0"/>
        <w:autoSpaceDN w:val="0"/>
        <w:adjustRightInd w:val="0"/>
        <w:jc w:val="right"/>
        <w:rPr>
          <w:rFonts w:cs="Times New Roman"/>
          <w:i/>
          <w:iCs/>
          <w:szCs w:val="24"/>
        </w:rPr>
      </w:pPr>
      <w:r w:rsidRPr="00177034">
        <w:rPr>
          <w:rFonts w:cs="Times New Roman"/>
          <w:i/>
          <w:iCs/>
          <w:szCs w:val="24"/>
        </w:rPr>
        <w:t>Revised Dec. 2020</w:t>
      </w:r>
    </w:p>
    <w:p w14:paraId="548BB643" w14:textId="77777777" w:rsidR="00E546CD" w:rsidRPr="009958B1" w:rsidRDefault="00E546CD" w:rsidP="008A3CE4">
      <w:pPr>
        <w:autoSpaceDE w:val="0"/>
        <w:autoSpaceDN w:val="0"/>
        <w:adjustRightInd w:val="0"/>
        <w:jc w:val="right"/>
        <w:rPr>
          <w:rFonts w:cs="Times New Roman"/>
          <w:i/>
          <w:iCs/>
          <w:szCs w:val="24"/>
        </w:rPr>
      </w:pPr>
    </w:p>
    <w:p w14:paraId="0594410E" w14:textId="2C157C9E" w:rsidR="006A4CD7" w:rsidRPr="006A4CD7" w:rsidRDefault="006A4CD7" w:rsidP="00CD224B">
      <w:pPr>
        <w:pStyle w:val="Heading2"/>
      </w:pPr>
      <w:bookmarkStart w:id="50" w:name="_Toc117512352"/>
      <w:r w:rsidRPr="006A4CD7">
        <w:lastRenderedPageBreak/>
        <w:t>3.3 C</w:t>
      </w:r>
      <w:r w:rsidR="00A25782">
        <w:t>ommunication</w:t>
      </w:r>
      <w:r w:rsidRPr="006A4CD7">
        <w:t xml:space="preserve"> </w:t>
      </w:r>
      <w:r w:rsidR="00A25782">
        <w:t>with</w:t>
      </w:r>
      <w:r w:rsidRPr="006A4CD7">
        <w:t xml:space="preserve"> C</w:t>
      </w:r>
      <w:r w:rsidR="00A25782">
        <w:t>ourt</w:t>
      </w:r>
      <w:bookmarkEnd w:id="50"/>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03BF4F14" w:rsidR="006A4CD7" w:rsidRPr="006A4CD7" w:rsidRDefault="006A4CD7" w:rsidP="00CD224B">
      <w:pPr>
        <w:pStyle w:val="Heading2"/>
      </w:pPr>
      <w:r w:rsidRPr="006A4CD7">
        <w:br w:type="page"/>
      </w:r>
      <w:bookmarkStart w:id="51" w:name="_Toc117512353"/>
      <w:r w:rsidRPr="006A4CD7">
        <w:lastRenderedPageBreak/>
        <w:t>3.4 R</w:t>
      </w:r>
      <w:r w:rsidR="00A25782">
        <w:t>eadback</w:t>
      </w:r>
      <w:r w:rsidRPr="006A4CD7">
        <w:t xml:space="preserve"> </w:t>
      </w:r>
      <w:r w:rsidR="00A25782">
        <w:t>or</w:t>
      </w:r>
      <w:r w:rsidRPr="006A4CD7">
        <w:t xml:space="preserve"> P</w:t>
      </w:r>
      <w:r w:rsidR="00A25782">
        <w:t>layback</w:t>
      </w:r>
      <w:bookmarkEnd w:id="51"/>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during jury deliberations a request is made by the jury or by one or more jurors for a readback of a portion or all of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256FAB8"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xml:space="preserve">]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8A3CE4" w:rsidRPr="006A4CD7">
        <w:rPr>
          <w:rFonts w:cs="Times New Roman"/>
          <w:szCs w:val="24"/>
        </w:rPr>
        <w:t>isolation but</w:t>
      </w:r>
      <w:r w:rsidRPr="006A4CD7">
        <w:rPr>
          <w:rFonts w:cs="Times New Roman"/>
          <w:szCs w:val="24"/>
        </w:rPr>
        <w:t xml:space="preserve">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w:t>
      </w:r>
      <w:proofErr w:type="spellStart"/>
      <w:r w:rsidRPr="006A4CD7">
        <w:rPr>
          <w:rFonts w:ascii="TimesNewRomanPSMT,Italic" w:hAnsi="TimesNewRomanPSMT,Italic" w:cs="TimesNewRomanPSMT,Italic"/>
          <w:i/>
          <w:iCs/>
          <w:szCs w:val="24"/>
        </w:rPr>
        <w:t>Newhoff</w:t>
      </w:r>
      <w:proofErr w:type="spellEnd"/>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77627466" w:rsidR="006A4CD7" w:rsidRPr="006A4CD7" w:rsidRDefault="006A4CD7" w:rsidP="00CD224B">
      <w:pPr>
        <w:pStyle w:val="Heading2"/>
      </w:pPr>
      <w:bookmarkStart w:id="52" w:name="_Toc117512354"/>
      <w:r w:rsidRPr="006A4CD7">
        <w:lastRenderedPageBreak/>
        <w:t>3.5 R</w:t>
      </w:r>
      <w:r w:rsidR="00A25782">
        <w:t>eturn</w:t>
      </w:r>
      <w:r w:rsidRPr="006A4CD7">
        <w:t xml:space="preserve"> </w:t>
      </w:r>
      <w:r w:rsidR="00A25782">
        <w:t>of</w:t>
      </w:r>
      <w:r w:rsidRPr="006A4CD7">
        <w:t xml:space="preserve"> V</w:t>
      </w:r>
      <w:r w:rsidR="00A25782">
        <w:t>erdict</w:t>
      </w:r>
      <w:bookmarkEnd w:id="52"/>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After you have reached unanimous agreement on a verdict, your [presiding juror] [foreperson] should complete the verdict form according to your deliberations, sign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may also wish to explain to the jury the particular form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52F4A591" w:rsidR="006A4CD7" w:rsidRPr="006A4CD7" w:rsidRDefault="006A4CD7" w:rsidP="00CD224B">
      <w:pPr>
        <w:pStyle w:val="Heading2"/>
      </w:pPr>
      <w:bookmarkStart w:id="53" w:name="_Toc117512355"/>
      <w:r w:rsidRPr="006A4CD7">
        <w:lastRenderedPageBreak/>
        <w:t>3.6 A</w:t>
      </w:r>
      <w:r w:rsidR="00A25782">
        <w:t>dditional</w:t>
      </w:r>
      <w:r w:rsidRPr="006A4CD7">
        <w:t xml:space="preserve"> I</w:t>
      </w:r>
      <w:r w:rsidR="00A25782">
        <w:t>nstructions</w:t>
      </w:r>
      <w:r w:rsidRPr="006A4CD7">
        <w:t xml:space="preserve"> </w:t>
      </w:r>
      <w:r w:rsidR="00A25782">
        <w:t>of</w:t>
      </w:r>
      <w:r w:rsidRPr="006A4CD7">
        <w:t xml:space="preserve"> L</w:t>
      </w:r>
      <w:r w:rsidR="00A25782">
        <w:t>aw</w:t>
      </w:r>
      <w:bookmarkEnd w:id="53"/>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this point I will give you an additional instruction.  By giving an additional instruction at this time,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not to attach undue importance to the fact that this instruction was read separately to you.  You must consider this instruction together with all of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66E730E5" w:rsidR="006A4CD7" w:rsidRPr="006A4CD7" w:rsidRDefault="006A4CD7" w:rsidP="00CD224B">
      <w:pPr>
        <w:pStyle w:val="Heading2"/>
      </w:pPr>
      <w:bookmarkStart w:id="54" w:name="_Toc117512356"/>
      <w:r w:rsidRPr="006A4CD7">
        <w:lastRenderedPageBreak/>
        <w:t>3.7 D</w:t>
      </w:r>
      <w:r w:rsidR="00A25782">
        <w:t>eadlocked</w:t>
      </w:r>
      <w:r w:rsidRPr="006A4CD7">
        <w:t xml:space="preserve"> J</w:t>
      </w:r>
      <w:r w:rsidR="00A25782">
        <w:t>ury</w:t>
      </w:r>
      <w:bookmarkEnd w:id="54"/>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remind you that in your deliberations you are to consider the instructions I have given you as a whole.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427E0535" w:rsidR="006A4CD7" w:rsidRPr="006A4CD7" w:rsidRDefault="006A4CD7" w:rsidP="00CD224B">
      <w:pPr>
        <w:pStyle w:val="Heading2"/>
      </w:pPr>
      <w:r w:rsidRPr="006A4CD7">
        <w:br w:type="page"/>
      </w:r>
      <w:bookmarkStart w:id="55" w:name="_Toc117512357"/>
      <w:r w:rsidRPr="006A4CD7">
        <w:lastRenderedPageBreak/>
        <w:t>3.8 C</w:t>
      </w:r>
      <w:r w:rsidR="00A25782">
        <w:t>ontinuing</w:t>
      </w:r>
      <w:r w:rsidRPr="006A4CD7">
        <w:t xml:space="preserve"> D</w:t>
      </w:r>
      <w:r w:rsidR="00A25782">
        <w:t>eliberations</w:t>
      </w:r>
      <w:r w:rsidRPr="006A4CD7">
        <w:t xml:space="preserve"> A</w:t>
      </w:r>
      <w:r w:rsidR="00A25782">
        <w:t>fter</w:t>
      </w:r>
      <w:r w:rsidRPr="006A4CD7">
        <w:t xml:space="preserve"> J</w:t>
      </w:r>
      <w:r w:rsidR="00A25782">
        <w:t>uror</w:t>
      </w:r>
      <w:r w:rsidRPr="006A4CD7">
        <w:t xml:space="preserve"> </w:t>
      </w:r>
      <w:r w:rsidR="00A25782">
        <w:t>is</w:t>
      </w:r>
      <w:r w:rsidRPr="006A4CD7">
        <w:t xml:space="preserve"> D</w:t>
      </w:r>
      <w:r w:rsidR="00A25782">
        <w:t>ischarged</w:t>
      </w:r>
      <w:bookmarkEnd w:id="55"/>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4317ED0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w:t>
      </w:r>
      <w:r w:rsidR="00734276">
        <w:rPr>
          <w:rFonts w:cs="Times New Roman"/>
          <w:szCs w:val="24"/>
        </w:rPr>
        <w:t xml:space="preserve"> </w:t>
      </w:r>
      <w:r w:rsidRPr="006A4CD7">
        <w:rPr>
          <w:rFonts w:cs="Times New Roman"/>
          <w:i/>
          <w:iCs/>
          <w:szCs w:val="24"/>
        </w:rPr>
        <w:t>See</w:t>
      </w:r>
      <w:r w:rsidR="00734276">
        <w:rPr>
          <w:rFonts w:cs="Times New Roman"/>
          <w:szCs w:val="24"/>
        </w:rPr>
        <w:t xml:space="preserve"> </w:t>
      </w:r>
      <w:r w:rsidRPr="006A4CD7">
        <w:rPr>
          <w:rFonts w:cs="Times New Roman"/>
          <w:szCs w:val="24"/>
        </w:rPr>
        <w:t>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1590B4F1" w:rsidR="006A4CD7" w:rsidRPr="006A4CD7" w:rsidRDefault="006A4CD7" w:rsidP="00CD224B">
      <w:pPr>
        <w:pStyle w:val="Heading2"/>
      </w:pPr>
      <w:r w:rsidRPr="006A4CD7">
        <w:br w:type="page"/>
      </w:r>
      <w:bookmarkStart w:id="56" w:name="_Toc117512358"/>
      <w:r w:rsidRPr="006A4CD7">
        <w:lastRenderedPageBreak/>
        <w:t xml:space="preserve">3.9 </w:t>
      </w:r>
      <w:r w:rsidR="00A25782">
        <w:t>Post</w:t>
      </w:r>
      <w:r w:rsidRPr="006A4CD7">
        <w:t>-D</w:t>
      </w:r>
      <w:r w:rsidR="00A25782">
        <w:t>ischarge</w:t>
      </w:r>
      <w:r w:rsidRPr="006A4CD7">
        <w:t xml:space="preserve"> I</w:t>
      </w:r>
      <w:r w:rsidR="00A25782">
        <w:t>nstruction</w:t>
      </w:r>
      <w:bookmarkEnd w:id="56"/>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3E8BDE0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[Finally, if you would prefer not to discuss the case with anyone, but are feeling undue pressure to do so, please feel free to contact the courtroom deputy, who will notify </w:t>
      </w:r>
      <w:r w:rsidR="00734276" w:rsidRPr="006A4CD7">
        <w:rPr>
          <w:rFonts w:cs="Times New Roman"/>
          <w:szCs w:val="24"/>
        </w:rPr>
        <w:t>me,</w:t>
      </w:r>
      <w:r w:rsidRPr="006A4CD7">
        <w:rPr>
          <w:rFonts w:cs="Times New Roman"/>
          <w:szCs w:val="24"/>
        </w:rPr>
        <w:t xml:space="preserv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6E794C67" w:rsidR="006A4CD7" w:rsidRPr="006A4CD7" w:rsidRDefault="006A4CD7" w:rsidP="00BF5CD7">
      <w:pPr>
        <w:pStyle w:val="Heading1"/>
      </w:pPr>
      <w:r w:rsidRPr="006A4CD7">
        <w:br w:type="page"/>
      </w:r>
      <w:bookmarkStart w:id="57" w:name="_Toc117512359"/>
      <w:r w:rsidRPr="006A4CD7">
        <w:lastRenderedPageBreak/>
        <w:t>4.  AGENCY</w:t>
      </w:r>
      <w:bookmarkEnd w:id="57"/>
    </w:p>
    <w:p w14:paraId="7CA527B1" w14:textId="77777777" w:rsidR="006A4CD7" w:rsidRPr="006A4CD7" w:rsidRDefault="006A4CD7" w:rsidP="0060759C">
      <w:pPr>
        <w:autoSpaceDE w:val="0"/>
        <w:autoSpaceDN w:val="0"/>
        <w:adjustRightInd w:val="0"/>
        <w:rPr>
          <w:rFonts w:cs="Times New Roman"/>
          <w:szCs w:val="24"/>
        </w:rPr>
      </w:pPr>
    </w:p>
    <w:p w14:paraId="66F0BE64" w14:textId="5544D3B8"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4C7B27C3" w14:textId="77777777" w:rsidR="00A25782" w:rsidRPr="006A4CD7" w:rsidRDefault="00A25782" w:rsidP="0060759C">
      <w:pPr>
        <w:autoSpaceDE w:val="0"/>
        <w:autoSpaceDN w:val="0"/>
        <w:adjustRightInd w:val="0"/>
        <w:rPr>
          <w:rFonts w:cs="Times New Roman"/>
          <w:szCs w:val="24"/>
        </w:rPr>
      </w:pP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C9762A">
      <w:pPr>
        <w:autoSpaceDE w:val="0"/>
        <w:autoSpaceDN w:val="0"/>
        <w:adjustRightInd w:val="0"/>
        <w:ind w:left="864" w:hanging="864"/>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4.7</w:t>
      </w:r>
      <w:r w:rsidRPr="006A4CD7">
        <w:rPr>
          <w:rFonts w:cs="Times New Roman"/>
          <w:szCs w:val="24"/>
        </w:rPr>
        <w:tab/>
        <w:t>Ratification</w:t>
      </w:r>
    </w:p>
    <w:p w14:paraId="3216468F" w14:textId="78E82CDF"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4.8</w:t>
      </w:r>
      <w:r w:rsidRPr="006A4CD7">
        <w:rPr>
          <w:rFonts w:cs="Times New Roman"/>
          <w:szCs w:val="24"/>
        </w:rPr>
        <w:tab/>
        <w:t xml:space="preserve">Act of Agent </w:t>
      </w:r>
      <w:r w:rsidR="00545512">
        <w:rPr>
          <w:rFonts w:cs="Times New Roman"/>
          <w:szCs w:val="24"/>
        </w:rPr>
        <w:t>i</w:t>
      </w:r>
      <w:r w:rsidRPr="006A4CD7">
        <w:rPr>
          <w:rFonts w:cs="Times New Roman"/>
          <w:szCs w:val="24"/>
        </w:rPr>
        <w:t>s Act of Principal—Scope of Authority Not in Issue</w:t>
      </w:r>
    </w:p>
    <w:p w14:paraId="1B9DA3B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4C470EF9"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4.17</w:t>
      </w:r>
      <w:r w:rsidRPr="006A4CD7">
        <w:rPr>
          <w:rFonts w:cs="Times New Roman"/>
          <w:szCs w:val="24"/>
        </w:rPr>
        <w:tab/>
        <w:t xml:space="preserve">General Partnership—Act of Partner </w:t>
      </w:r>
      <w:r w:rsidR="00A25782">
        <w:rPr>
          <w:rFonts w:cs="Times New Roman"/>
          <w:szCs w:val="24"/>
        </w:rPr>
        <w:t>i</w:t>
      </w:r>
      <w:r w:rsidRPr="006A4CD7">
        <w:rPr>
          <w:rFonts w:cs="Times New Roman"/>
          <w:szCs w:val="24"/>
        </w:rPr>
        <w:t>s Act of All Partners</w:t>
      </w:r>
    </w:p>
    <w:p w14:paraId="1EE543D5" w14:textId="77FE551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4.18</w:t>
      </w:r>
      <w:r w:rsidRPr="006A4CD7">
        <w:rPr>
          <w:rFonts w:cs="Times New Roman"/>
          <w:szCs w:val="24"/>
        </w:rPr>
        <w:tab/>
        <w:t xml:space="preserve">General Partnership—Liability of Partner—No Issue as to Partnership, Agency, or </w:t>
      </w:r>
      <w:r w:rsidR="00734276">
        <w:rPr>
          <w:rFonts w:cs="Times New Roman"/>
          <w:szCs w:val="24"/>
        </w:rPr>
        <w:t xml:space="preserve">Scope </w:t>
      </w:r>
      <w:r w:rsidRPr="006A4CD7">
        <w:rPr>
          <w:rFonts w:cs="Times New Roman"/>
          <w:szCs w:val="24"/>
        </w:rPr>
        <w:t>of Authority</w:t>
      </w:r>
    </w:p>
    <w:p w14:paraId="5C67F5C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6B15DAEE" w14:textId="59B3952E"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407CD0AD" w14:textId="77777777" w:rsidR="006A4CD7" w:rsidRPr="006A4CD7" w:rsidRDefault="006A4CD7" w:rsidP="0060759C">
      <w:pPr>
        <w:autoSpaceDE w:val="0"/>
        <w:autoSpaceDN w:val="0"/>
        <w:adjustRightInd w:val="0"/>
        <w:rPr>
          <w:rFonts w:cs="Times New Roman"/>
          <w:szCs w:val="24"/>
        </w:rPr>
      </w:pPr>
    </w:p>
    <w:p w14:paraId="4F9E38CF"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2F9E01B7" w14:textId="77777777" w:rsidR="006A4CD7" w:rsidRPr="006A4CD7" w:rsidRDefault="006A4CD7" w:rsidP="002B1D90"/>
    <w:p w14:paraId="5BB4A45E" w14:textId="6F70AFDA" w:rsidR="006A4CD7" w:rsidRPr="006A4CD7" w:rsidRDefault="006A4CD7" w:rsidP="00BF5CD7">
      <w:pPr>
        <w:pStyle w:val="Heading1"/>
      </w:pPr>
      <w:bookmarkStart w:id="58" w:name="_Toc117512360"/>
      <w:r w:rsidRPr="006A4CD7">
        <w:t>Introductory Comment</w:t>
      </w:r>
      <w:bookmarkEnd w:id="58"/>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in order to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61B48DAD" w:rsidR="006A4CD7" w:rsidRPr="006A4CD7" w:rsidRDefault="006A4CD7" w:rsidP="00CD224B">
      <w:pPr>
        <w:pStyle w:val="Heading2"/>
      </w:pPr>
      <w:bookmarkStart w:id="59" w:name="_Toc117512361"/>
      <w:r w:rsidRPr="006A4CD7">
        <w:lastRenderedPageBreak/>
        <w:t>4.1 C</w:t>
      </w:r>
      <w:r w:rsidR="00A25782">
        <w:t>orporations</w:t>
      </w:r>
      <w:r w:rsidRPr="006A4CD7">
        <w:t xml:space="preserve"> </w:t>
      </w:r>
      <w:r w:rsidR="00A25782">
        <w:t>and</w:t>
      </w:r>
      <w:r w:rsidRPr="006A4CD7">
        <w:t xml:space="preserve"> P</w:t>
      </w:r>
      <w:r w:rsidR="00A25782">
        <w:t>artnerships</w:t>
      </w:r>
      <w:r w:rsidRPr="006A4CD7">
        <w:t>—F</w:t>
      </w:r>
      <w:r w:rsidR="00A25782">
        <w:t>air</w:t>
      </w:r>
      <w:r w:rsidRPr="006A4CD7">
        <w:t xml:space="preserve"> T</w:t>
      </w:r>
      <w:r w:rsidR="00A25782">
        <w:t>reatment</w:t>
      </w:r>
      <w:bookmarkEnd w:id="59"/>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64C55768" w:rsidR="006A4CD7" w:rsidRPr="006A4CD7" w:rsidRDefault="006A4CD7" w:rsidP="00CD224B">
      <w:pPr>
        <w:pStyle w:val="Heading2"/>
      </w:pPr>
      <w:r w:rsidRPr="006A4CD7">
        <w:br w:type="page"/>
      </w:r>
      <w:bookmarkStart w:id="60" w:name="_Toc117512362"/>
      <w:r w:rsidRPr="006A4CD7">
        <w:lastRenderedPageBreak/>
        <w:t>4.2 L</w:t>
      </w:r>
      <w:r w:rsidR="00A25782">
        <w:t>iability</w:t>
      </w:r>
      <w:r w:rsidRPr="006A4CD7">
        <w:t xml:space="preserve"> </w:t>
      </w:r>
      <w:r w:rsidR="00A25782">
        <w:t>of</w:t>
      </w:r>
      <w:r w:rsidRPr="006A4CD7">
        <w:t xml:space="preserve"> C</w:t>
      </w:r>
      <w:r w:rsidR="00A25782">
        <w:t>orporations</w:t>
      </w:r>
      <w:r w:rsidRPr="006A4CD7">
        <w:t>—S</w:t>
      </w:r>
      <w:r w:rsidR="00A25782">
        <w:t>cope</w:t>
      </w:r>
      <w:r w:rsidRPr="006A4CD7">
        <w:t xml:space="preserve"> </w:t>
      </w:r>
      <w:r w:rsidR="00A25782">
        <w:t>of</w:t>
      </w:r>
      <w:r w:rsidRPr="006A4CD7">
        <w:t xml:space="preserve"> </w:t>
      </w:r>
      <w:r w:rsidR="00CD224B">
        <w:t>A</w:t>
      </w:r>
      <w:r w:rsidR="00A25782">
        <w:t>uthority</w:t>
      </w:r>
      <w:r w:rsidRPr="006A4CD7">
        <w:t xml:space="preserve"> N</w:t>
      </w:r>
      <w:r w:rsidR="00A25782">
        <w:t>ot</w:t>
      </w:r>
      <w:r w:rsidRPr="006A4CD7">
        <w:t xml:space="preserve"> </w:t>
      </w:r>
      <w:r w:rsidR="00A25782">
        <w:t>in</w:t>
      </w:r>
      <w:r w:rsidRPr="006A4CD7">
        <w:t xml:space="preserve"> I</w:t>
      </w:r>
      <w:r w:rsidR="00A25782">
        <w:t>ssue</w:t>
      </w:r>
      <w:bookmarkEnd w:id="60"/>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 corporation is considered to be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39A1A1C1" w:rsidR="00CD224B" w:rsidRPr="006A4CD7" w:rsidRDefault="006A4CD7" w:rsidP="00CD224B">
      <w:pPr>
        <w:pStyle w:val="Heading2"/>
      </w:pPr>
      <w:bookmarkStart w:id="61" w:name="_Toc117512363"/>
      <w:r w:rsidRPr="006A4CD7">
        <w:lastRenderedPageBreak/>
        <w:t>4.3 L</w:t>
      </w:r>
      <w:r w:rsidR="002F1CAD">
        <w:t>iability</w:t>
      </w:r>
      <w:r w:rsidRPr="006A4CD7">
        <w:t xml:space="preserve"> </w:t>
      </w:r>
      <w:r w:rsidR="002F1CAD">
        <w:t>of</w:t>
      </w:r>
      <w:r w:rsidRPr="006A4CD7">
        <w:t xml:space="preserve"> P</w:t>
      </w:r>
      <w:r w:rsidR="002F1CAD">
        <w:t>artnerships</w:t>
      </w:r>
      <w:r w:rsidRPr="006A4CD7">
        <w:t>—S</w:t>
      </w:r>
      <w:r w:rsidR="002F1CAD">
        <w:t>cope</w:t>
      </w:r>
      <w:r w:rsidRPr="006A4CD7">
        <w:t xml:space="preserve"> </w:t>
      </w:r>
      <w:r w:rsidR="002F1CAD">
        <w:t>of</w:t>
      </w:r>
      <w:r w:rsidRPr="006A4CD7">
        <w:t xml:space="preserve"> A</w:t>
      </w:r>
      <w:r w:rsidR="002F1CAD">
        <w:t>uthority</w:t>
      </w:r>
      <w:r w:rsidR="00CD224B">
        <w:t xml:space="preserve"> </w:t>
      </w:r>
      <w:r w:rsidRPr="006A4CD7">
        <w:t>N</w:t>
      </w:r>
      <w:r w:rsidR="002F1CAD">
        <w:t>ot</w:t>
      </w:r>
      <w:r w:rsidRPr="006A4CD7">
        <w:t xml:space="preserve"> </w:t>
      </w:r>
      <w:r w:rsidR="002F1CAD">
        <w:t>in</w:t>
      </w:r>
      <w:r w:rsidRPr="006A4CD7">
        <w:t xml:space="preserve"> I</w:t>
      </w:r>
      <w:r w:rsidR="002F1CAD">
        <w:t>ssue</w:t>
      </w:r>
      <w:bookmarkEnd w:id="61"/>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4C1081E3" w:rsidR="006A4CD7" w:rsidRPr="006A4CD7" w:rsidRDefault="006A4CD7" w:rsidP="00CD224B">
      <w:pPr>
        <w:pStyle w:val="Heading2"/>
      </w:pPr>
      <w:bookmarkStart w:id="62" w:name="_Toc117512364"/>
      <w:r w:rsidRPr="006A4CD7">
        <w:lastRenderedPageBreak/>
        <w:t>4.4 A</w:t>
      </w:r>
      <w:r w:rsidR="002F1CAD">
        <w:t>gent</w:t>
      </w:r>
      <w:r w:rsidRPr="006A4CD7">
        <w:t xml:space="preserve"> </w:t>
      </w:r>
      <w:r w:rsidR="002F1CAD">
        <w:t>and</w:t>
      </w:r>
      <w:r w:rsidRPr="006A4CD7">
        <w:t xml:space="preserve"> P</w:t>
      </w:r>
      <w:r w:rsidR="002F1CAD">
        <w:t>rincipal</w:t>
      </w:r>
      <w:r w:rsidRPr="006A4CD7">
        <w:t>—D</w:t>
      </w:r>
      <w:r w:rsidR="002F1CAD">
        <w:t>efinition</w:t>
      </w:r>
      <w:bookmarkEnd w:id="62"/>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210C5281" w:rsidR="006A4CD7" w:rsidRPr="006A4CD7" w:rsidRDefault="006A4CD7" w:rsidP="00CD224B">
      <w:pPr>
        <w:pStyle w:val="Heading2"/>
      </w:pPr>
      <w:bookmarkStart w:id="63" w:name="_Toc117512365"/>
      <w:r w:rsidRPr="006A4CD7">
        <w:lastRenderedPageBreak/>
        <w:t>4.5 A</w:t>
      </w:r>
      <w:r w:rsidR="002F1CAD">
        <w:t>gent</w:t>
      </w:r>
      <w:r w:rsidRPr="006A4CD7">
        <w:t>—S</w:t>
      </w:r>
      <w:r w:rsidR="002F1CAD">
        <w:t>cope</w:t>
      </w:r>
      <w:r w:rsidRPr="006A4CD7">
        <w:t xml:space="preserve"> </w:t>
      </w:r>
      <w:r w:rsidR="002F1CAD">
        <w:t>of</w:t>
      </w:r>
      <w:r w:rsidRPr="006A4CD7">
        <w:t xml:space="preserve"> A</w:t>
      </w:r>
      <w:r w:rsidR="002F1CAD">
        <w:t>uthority</w:t>
      </w:r>
      <w:r w:rsidRPr="006A4CD7">
        <w:t xml:space="preserve"> D</w:t>
      </w:r>
      <w:r w:rsidR="002F1CAD">
        <w:t>efined</w:t>
      </w:r>
      <w:bookmarkEnd w:id="63"/>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7423F53C" w:rsidR="006A4CD7" w:rsidRPr="006A4CD7" w:rsidRDefault="006A4CD7" w:rsidP="00CD224B">
      <w:pPr>
        <w:pStyle w:val="Heading2"/>
      </w:pPr>
      <w:r w:rsidRPr="006A4CD7">
        <w:br w:type="page"/>
      </w:r>
      <w:bookmarkStart w:id="64" w:name="_Toc117512366"/>
      <w:r w:rsidRPr="006A4CD7">
        <w:lastRenderedPageBreak/>
        <w:t>4.6 A</w:t>
      </w:r>
      <w:r w:rsidR="002F1CAD">
        <w:t>pparent</w:t>
      </w:r>
      <w:r w:rsidRPr="006A4CD7">
        <w:t xml:space="preserve"> A</w:t>
      </w:r>
      <w:r w:rsidR="002F1CAD">
        <w:t>gency</w:t>
      </w:r>
      <w:bookmarkEnd w:id="64"/>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was the principal’s agent;</w:t>
      </w:r>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5410760C" w:rsidR="006A4CD7" w:rsidRPr="006A4CD7" w:rsidRDefault="006A4CD7" w:rsidP="00CD224B">
      <w:pPr>
        <w:pStyle w:val="Heading2"/>
      </w:pPr>
      <w:r w:rsidRPr="006A4CD7">
        <w:br w:type="page"/>
      </w:r>
      <w:bookmarkStart w:id="65" w:name="_Toc117512367"/>
      <w:r w:rsidRPr="006A4CD7">
        <w:lastRenderedPageBreak/>
        <w:t>4.7 R</w:t>
      </w:r>
      <w:r w:rsidR="002F1CAD">
        <w:t>atification</w:t>
      </w:r>
      <w:bookmarkEnd w:id="65"/>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xml:space="preserve">, 319 F.2d 704, 710 (9th Cir. 1963) (“The doctrine of ratification has as its foundation, knowledge of all the facts.”) (citation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144845D6" w:rsidR="00CD224B" w:rsidRPr="006A4CD7" w:rsidRDefault="006A4CD7" w:rsidP="00CD224B">
      <w:pPr>
        <w:pStyle w:val="Heading2"/>
      </w:pPr>
      <w:r w:rsidRPr="006A4CD7">
        <w:br w:type="page"/>
      </w:r>
      <w:bookmarkStart w:id="66" w:name="_Toc117512368"/>
      <w:r w:rsidRPr="006A4CD7">
        <w:lastRenderedPageBreak/>
        <w:t>4.8 A</w:t>
      </w:r>
      <w:r w:rsidR="002F1CAD">
        <w:t>ct</w:t>
      </w:r>
      <w:r w:rsidRPr="006A4CD7">
        <w:t xml:space="preserve"> </w:t>
      </w:r>
      <w:r w:rsidR="002F1CAD">
        <w:t>of</w:t>
      </w:r>
      <w:r w:rsidRPr="006A4CD7">
        <w:t xml:space="preserve"> A</w:t>
      </w:r>
      <w:r w:rsidR="002F1CAD">
        <w:t>gent</w:t>
      </w:r>
      <w:r w:rsidRPr="006A4CD7">
        <w:t xml:space="preserve"> </w:t>
      </w:r>
      <w:r w:rsidR="002F1CAD">
        <w:t>is</w:t>
      </w:r>
      <w:r w:rsidRPr="006A4CD7">
        <w:t xml:space="preserve"> A</w:t>
      </w:r>
      <w:r w:rsidR="002F1CAD">
        <w:t>ct</w:t>
      </w:r>
      <w:r w:rsidRPr="006A4CD7">
        <w:t xml:space="preserve"> </w:t>
      </w:r>
      <w:r w:rsidR="002F1CAD">
        <w:t>of</w:t>
      </w:r>
      <w:r w:rsidRPr="006A4CD7">
        <w:t xml:space="preserve"> P</w:t>
      </w:r>
      <w:r w:rsidR="002F1CAD">
        <w:t>rincipal</w:t>
      </w:r>
      <w:r w:rsidRPr="006A4CD7">
        <w:t>—S</w:t>
      </w:r>
      <w:r w:rsidR="002F1CAD">
        <w:t>cope</w:t>
      </w:r>
      <w:r w:rsidRPr="006A4CD7">
        <w:t xml:space="preserve"> </w:t>
      </w:r>
      <w:r w:rsidR="002F1CAD">
        <w:t>of</w:t>
      </w:r>
      <w:r w:rsidRPr="006A4CD7">
        <w:t xml:space="preserve"> A</w:t>
      </w:r>
      <w:r w:rsidR="002F1CAD">
        <w:t>uthority</w:t>
      </w:r>
      <w:r w:rsidRPr="006A4CD7">
        <w:t xml:space="preserve"> N</w:t>
      </w:r>
      <w:r w:rsidR="002F1CAD">
        <w:t>ot</w:t>
      </w:r>
      <w:r w:rsidRPr="006A4CD7">
        <w:t xml:space="preserve"> </w:t>
      </w:r>
      <w:r w:rsidR="002F1CAD">
        <w:t>in</w:t>
      </w:r>
      <w:r w:rsidRPr="006A4CD7">
        <w:t xml:space="preserve"> </w:t>
      </w:r>
      <w:r w:rsidR="002F1CAD">
        <w:t>Issue</w:t>
      </w:r>
      <w:bookmarkEnd w:id="66"/>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472A6C2F" w14:textId="3055C15E" w:rsidR="006A4CD7" w:rsidRPr="006A4CD7" w:rsidRDefault="006A4CD7" w:rsidP="00DC3111">
      <w:pPr>
        <w:pStyle w:val="Heading2"/>
      </w:pPr>
      <w:bookmarkStart w:id="67" w:name="_Toc117512369"/>
      <w:r w:rsidRPr="006A4CD7">
        <w:lastRenderedPageBreak/>
        <w:t xml:space="preserve">4.9 </w:t>
      </w:r>
      <w:r w:rsidR="002F1CAD">
        <w:t>Both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w:t>
      </w:r>
      <w:r w:rsidR="002F1CAD">
        <w:t>No</w:t>
      </w:r>
      <w:r w:rsidRPr="006A4CD7">
        <w:t xml:space="preserve"> 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r w:rsidR="002F1CAD">
        <w:t>uthority</w:t>
      </w:r>
      <w:bookmarkEnd w:id="67"/>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4DFD0B46" w14:textId="3552F58A" w:rsidR="006A4CD7" w:rsidRPr="006A4CD7" w:rsidRDefault="006A4CD7" w:rsidP="00DC3111">
      <w:pPr>
        <w:pStyle w:val="Heading2"/>
      </w:pPr>
      <w:bookmarkStart w:id="68" w:name="_Toc117512370"/>
      <w:r w:rsidRPr="006A4CD7">
        <w:lastRenderedPageBreak/>
        <w:t>4.10 P</w:t>
      </w:r>
      <w:r w:rsidR="002F1CAD">
        <w:t>rincipal</w:t>
      </w:r>
      <w:r w:rsidRPr="006A4CD7">
        <w:t xml:space="preserve"> S</w:t>
      </w:r>
      <w:r w:rsidR="002F1CAD">
        <w:t>ued</w:t>
      </w:r>
      <w:r w:rsidRPr="006A4CD7">
        <w:t xml:space="preserve"> </w:t>
      </w:r>
      <w:r w:rsidR="002F1CAD">
        <w:t xml:space="preserve">but </w:t>
      </w:r>
      <w:r w:rsidRPr="006A4CD7">
        <w:t>N</w:t>
      </w:r>
      <w:r w:rsidR="002F1CAD">
        <w:t>ot</w:t>
      </w:r>
      <w:r w:rsidRPr="006A4CD7">
        <w:t xml:space="preserve"> A</w:t>
      </w:r>
      <w:r w:rsidR="002F1CAD">
        <w:t>gent</w:t>
      </w:r>
      <w:r w:rsidRPr="006A4CD7">
        <w:t>—N</w:t>
      </w:r>
      <w:r w:rsidR="002F1CAD">
        <w:t>o</w:t>
      </w:r>
      <w:r w:rsidR="00CA1450">
        <w:t xml:space="preserve"> </w:t>
      </w:r>
      <w:bookmarkStart w:id="69" w:name="_Toc65157254"/>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9"/>
      <w:r w:rsidR="002F1CAD">
        <w:t>uthority</w:t>
      </w:r>
      <w:bookmarkEnd w:id="68"/>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680F1309" w14:textId="0DF354DA" w:rsidR="006A4CD7" w:rsidRPr="006A4CD7" w:rsidRDefault="006A4CD7" w:rsidP="00DC3111">
      <w:pPr>
        <w:pStyle w:val="Heading2"/>
      </w:pPr>
      <w:bookmarkStart w:id="70" w:name="_Toc117512371"/>
      <w:r w:rsidRPr="006A4CD7">
        <w:lastRenderedPageBreak/>
        <w:t>4.11 B</w:t>
      </w:r>
      <w:r w:rsidR="002F1CAD">
        <w:t>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—A</w:t>
      </w:r>
      <w:r w:rsidR="002F1CAD">
        <w:t>gency</w:t>
      </w:r>
      <w:r w:rsidRPr="006A4CD7">
        <w:t xml:space="preserve"> </w:t>
      </w:r>
      <w:r w:rsidR="002F1CAD">
        <w:t>or</w:t>
      </w:r>
      <w:r w:rsidRPr="006A4CD7">
        <w:t xml:space="preserve"> A</w:t>
      </w:r>
      <w:r w:rsidR="002F1CAD">
        <w:t>uthority</w:t>
      </w:r>
      <w:r w:rsidRPr="006A4CD7">
        <w:t xml:space="preserve"> D</w:t>
      </w:r>
      <w:r w:rsidR="002F1CAD">
        <w:t>enied</w:t>
      </w:r>
      <w:bookmarkEnd w:id="70"/>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30E60FE7" w14:textId="4B09A984" w:rsidR="006A4CD7" w:rsidRPr="006A4CD7" w:rsidRDefault="006A4CD7" w:rsidP="00DC3111">
      <w:pPr>
        <w:pStyle w:val="Heading2"/>
      </w:pPr>
      <w:bookmarkStart w:id="71" w:name="_Toc117512372"/>
      <w:r w:rsidRPr="006A4CD7">
        <w:lastRenderedPageBreak/>
        <w:t>4.12 P</w:t>
      </w:r>
      <w:r w:rsidR="002F1CAD">
        <w:t>rincipal</w:t>
      </w:r>
      <w:r w:rsidRPr="006A4CD7">
        <w:t xml:space="preserve"> S</w:t>
      </w:r>
      <w:r w:rsidR="002F1CAD">
        <w:t>ued</w:t>
      </w:r>
      <w:r w:rsidRPr="006A4CD7">
        <w:t xml:space="preserve"> </w:t>
      </w:r>
      <w:r w:rsidR="002F1CAD">
        <w:t>but</w:t>
      </w:r>
      <w:r w:rsidRPr="006A4CD7">
        <w:t xml:space="preserve"> N</w:t>
      </w:r>
      <w:r w:rsidR="002F1CAD">
        <w:t>ot</w:t>
      </w:r>
      <w:r w:rsidRPr="006A4CD7">
        <w:t xml:space="preserve"> A</w:t>
      </w:r>
      <w:r w:rsidR="002F1CAD">
        <w:t>gent</w:t>
      </w:r>
      <w:r w:rsidRPr="006A4CD7">
        <w:t>—A</w:t>
      </w:r>
      <w:r w:rsidR="00A34435">
        <w:t>gency</w:t>
      </w:r>
      <w:r w:rsidRPr="006A4CD7">
        <w:t xml:space="preserve"> </w:t>
      </w:r>
      <w:r w:rsidR="00A34435">
        <w:t>or</w:t>
      </w:r>
      <w:r w:rsidRPr="006A4CD7">
        <w:t xml:space="preserve"> A</w:t>
      </w:r>
      <w:r w:rsidR="00A34435">
        <w:t>uthority</w:t>
      </w:r>
      <w:r w:rsidRPr="006A4CD7">
        <w:t xml:space="preserve"> D</w:t>
      </w:r>
      <w:r w:rsidR="00A34435">
        <w:t>enied</w:t>
      </w:r>
      <w:bookmarkEnd w:id="71"/>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03E17E6F" w:rsidR="006A4CD7" w:rsidRPr="006A4CD7" w:rsidRDefault="006A4CD7" w:rsidP="00CD224B">
      <w:pPr>
        <w:pStyle w:val="Heading2"/>
      </w:pPr>
      <w:r w:rsidRPr="006A4CD7">
        <w:br w:type="page"/>
      </w:r>
      <w:bookmarkStart w:id="72" w:name="_Toc117512373"/>
      <w:r w:rsidRPr="006A4CD7">
        <w:lastRenderedPageBreak/>
        <w:t>4.13 A</w:t>
      </w:r>
      <w:r w:rsidR="00A34435">
        <w:t>dverse</w:t>
      </w:r>
      <w:r w:rsidRPr="006A4CD7">
        <w:t xml:space="preserve"> I</w:t>
      </w:r>
      <w:r w:rsidR="00A34435">
        <w:t>nterest</w:t>
      </w:r>
      <w:r w:rsidRPr="006A4CD7">
        <w:t xml:space="preserve"> E</w:t>
      </w:r>
      <w:r w:rsidR="00A34435">
        <w:t>xception</w:t>
      </w:r>
      <w:bookmarkEnd w:id="72"/>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 xml:space="preserve">USACM Liquidating Trust v. Deloitte &amp; </w:t>
      </w:r>
      <w:proofErr w:type="spellStart"/>
      <w:r w:rsidRPr="006A4CD7">
        <w:rPr>
          <w:rFonts w:cs="Times New Roman"/>
          <w:i/>
          <w:iCs/>
          <w:szCs w:val="24"/>
        </w:rPr>
        <w:t>Touche</w:t>
      </w:r>
      <w:proofErr w:type="spellEnd"/>
      <w:r w:rsidRPr="006A4CD7">
        <w:rPr>
          <w:rFonts w:cs="Times New Roman"/>
          <w:i/>
          <w:iCs/>
          <w:szCs w:val="24"/>
        </w:rPr>
        <w:t xml:space="preserv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0FE7E2C6" w:rsidR="006A4CD7" w:rsidRPr="006A4CD7" w:rsidRDefault="006A4CD7" w:rsidP="00CD224B">
      <w:pPr>
        <w:pStyle w:val="Heading2"/>
      </w:pPr>
      <w:r w:rsidRPr="006A4CD7">
        <w:br w:type="page"/>
      </w:r>
      <w:bookmarkStart w:id="73" w:name="_Toc117512374"/>
      <w:r w:rsidRPr="006A4CD7">
        <w:lastRenderedPageBreak/>
        <w:t>4.14 I</w:t>
      </w:r>
      <w:r w:rsidR="00A34435">
        <w:t>ndependent</w:t>
      </w:r>
      <w:r w:rsidRPr="006A4CD7">
        <w:t xml:space="preserve"> C</w:t>
      </w:r>
      <w:r w:rsidR="00A34435">
        <w:t>ontractor</w:t>
      </w:r>
      <w:r w:rsidRPr="006A4CD7">
        <w:t>—D</w:t>
      </w:r>
      <w:r w:rsidR="00A34435">
        <w:t>efinition</w:t>
      </w:r>
      <w:bookmarkEnd w:id="73"/>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3B0D6CDE" w:rsidR="006A4CD7" w:rsidRPr="006A4CD7" w:rsidRDefault="006A4CD7" w:rsidP="00CD224B">
      <w:pPr>
        <w:pStyle w:val="Heading2"/>
      </w:pPr>
      <w:bookmarkStart w:id="74" w:name="_Toc117512375"/>
      <w:r w:rsidRPr="006A4CD7">
        <w:lastRenderedPageBreak/>
        <w:t>4.15 G</w:t>
      </w:r>
      <w:r w:rsidR="00A34435">
        <w:t>eneral</w:t>
      </w:r>
      <w:r w:rsidRPr="006A4CD7">
        <w:t xml:space="preserve"> P</w:t>
      </w:r>
      <w:r w:rsidR="00A34435">
        <w:t>artnership</w:t>
      </w:r>
      <w:r w:rsidRPr="006A4CD7">
        <w:t>—D</w:t>
      </w:r>
      <w:r w:rsidR="00A34435">
        <w:t>efinition</w:t>
      </w:r>
      <w:bookmarkEnd w:id="74"/>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53352597" w:rsidR="006A4CD7" w:rsidRPr="006A4CD7" w:rsidRDefault="006A4CD7" w:rsidP="00CD224B">
      <w:pPr>
        <w:pStyle w:val="Heading2"/>
      </w:pPr>
      <w:bookmarkStart w:id="75" w:name="_Toc117512376"/>
      <w:r w:rsidRPr="006A4CD7">
        <w:lastRenderedPageBreak/>
        <w:t>4.16 G</w:t>
      </w:r>
      <w:r w:rsidR="00A34435">
        <w:t>eneral</w:t>
      </w:r>
      <w:r w:rsidRPr="006A4CD7">
        <w:t xml:space="preserve"> P</w:t>
      </w:r>
      <w:r w:rsidR="00A34435">
        <w:t>artnership</w:t>
      </w:r>
      <w:r w:rsidRPr="006A4CD7">
        <w:t>—S</w:t>
      </w:r>
      <w:r w:rsidR="00A34435">
        <w:t>cope</w:t>
      </w:r>
      <w:r w:rsidRPr="006A4CD7">
        <w:t xml:space="preserve"> </w:t>
      </w:r>
      <w:r w:rsidR="00A34435">
        <w:t>of</w:t>
      </w:r>
      <w:r w:rsidR="00DC3111">
        <w:t xml:space="preserve"> </w:t>
      </w:r>
      <w:r w:rsidRPr="006A4CD7">
        <w:t>P</w:t>
      </w:r>
      <w:r w:rsidR="00A34435">
        <w:t>artnership</w:t>
      </w:r>
      <w:r w:rsidRPr="006A4CD7">
        <w:t xml:space="preserve"> B</w:t>
      </w:r>
      <w:r w:rsidR="00A34435">
        <w:t>usiness</w:t>
      </w:r>
      <w:r w:rsidRPr="006A4CD7">
        <w:t xml:space="preserve"> D</w:t>
      </w:r>
      <w:r w:rsidR="00A34435">
        <w:t>efined</w:t>
      </w:r>
      <w:bookmarkEnd w:id="75"/>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679FB4A8" w:rsidR="006A4CD7" w:rsidRPr="006A4CD7" w:rsidRDefault="006A4CD7" w:rsidP="00CD224B">
      <w:pPr>
        <w:pStyle w:val="Heading2"/>
      </w:pPr>
      <w:bookmarkStart w:id="76" w:name="_Toc117512377"/>
      <w:r w:rsidRPr="006A4CD7">
        <w:lastRenderedPageBreak/>
        <w:t>4.17 G</w:t>
      </w:r>
      <w:r w:rsidR="00A34435">
        <w:t>eneral</w:t>
      </w:r>
      <w:r w:rsidRPr="006A4CD7">
        <w:t xml:space="preserve"> P</w:t>
      </w:r>
      <w:r w:rsidR="00A34435">
        <w:t>artnership</w:t>
      </w:r>
      <w:r w:rsidRPr="006A4CD7">
        <w:t>—A</w:t>
      </w:r>
      <w:r w:rsidR="00A34435">
        <w:t>ct</w:t>
      </w:r>
      <w:r w:rsidRPr="006A4CD7">
        <w:t xml:space="preserve"> </w:t>
      </w:r>
      <w:r w:rsidR="00A34435">
        <w:t>o</w:t>
      </w:r>
      <w:r w:rsidR="00DC3111">
        <w:t xml:space="preserve">f </w:t>
      </w:r>
      <w:r w:rsidRPr="006A4CD7">
        <w:t>P</w:t>
      </w:r>
      <w:r w:rsidR="00A34435">
        <w:t>artner</w:t>
      </w:r>
      <w:r w:rsidRPr="006A4CD7">
        <w:t xml:space="preserve"> </w:t>
      </w:r>
      <w:r w:rsidR="00A34435">
        <w:t xml:space="preserve">is </w:t>
      </w:r>
      <w:r w:rsidRPr="006A4CD7">
        <w:t>A</w:t>
      </w:r>
      <w:r w:rsidR="00A34435">
        <w:t>ct</w:t>
      </w:r>
      <w:r w:rsidRPr="006A4CD7">
        <w:t xml:space="preserve"> </w:t>
      </w:r>
      <w:r w:rsidR="00A34435">
        <w:t>of</w:t>
      </w:r>
      <w:r w:rsidRPr="006A4CD7">
        <w:t xml:space="preserve"> A</w:t>
      </w:r>
      <w:r w:rsidR="00A34435">
        <w:t>ll</w:t>
      </w:r>
      <w:r w:rsidRPr="006A4CD7">
        <w:t xml:space="preserve"> P</w:t>
      </w:r>
      <w:r w:rsidR="00A34435">
        <w:t>artners</w:t>
      </w:r>
      <w:bookmarkEnd w:id="76"/>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6FEEDE6D" w14:textId="603906BF" w:rsidR="006A4CD7" w:rsidRPr="006A4CD7" w:rsidRDefault="006A4CD7" w:rsidP="00DC3111">
      <w:pPr>
        <w:pStyle w:val="Heading2"/>
      </w:pPr>
      <w:bookmarkStart w:id="77" w:name="_Toc117512378"/>
      <w:r w:rsidRPr="006A4CD7">
        <w:lastRenderedPageBreak/>
        <w:t>4.18 G</w:t>
      </w:r>
      <w:r w:rsidR="00A34435">
        <w:t>eneral</w:t>
      </w:r>
      <w:r w:rsidRPr="006A4CD7">
        <w:t xml:space="preserve"> P</w:t>
      </w:r>
      <w:r w:rsidR="00A34435">
        <w:t>artnership</w:t>
      </w:r>
      <w:r w:rsidRPr="006A4CD7">
        <w:t>—L</w:t>
      </w:r>
      <w:r w:rsidR="00496196">
        <w:t>iability</w:t>
      </w:r>
      <w:r w:rsidRPr="006A4CD7">
        <w:t xml:space="preserve"> </w:t>
      </w:r>
      <w:r w:rsidR="00496196">
        <w:t>of</w:t>
      </w:r>
      <w:r w:rsidRPr="006A4CD7">
        <w:t xml:space="preserve"> P</w:t>
      </w:r>
      <w:r w:rsidR="00496196">
        <w:t>artner</w:t>
      </w:r>
      <w:r w:rsidRPr="006A4CD7">
        <w:t>—N</w:t>
      </w:r>
      <w:r w:rsidR="00496196">
        <w:t>o</w:t>
      </w:r>
      <w:r w:rsidRPr="006A4CD7">
        <w:t xml:space="preserve"> I</w:t>
      </w:r>
      <w:r w:rsidR="00496196">
        <w:t>ssue</w:t>
      </w:r>
      <w:r w:rsidRPr="006A4CD7">
        <w:t xml:space="preserve"> </w:t>
      </w:r>
      <w:r w:rsidR="00496196">
        <w:t>as</w:t>
      </w:r>
      <w:r w:rsidRPr="006A4CD7">
        <w:t xml:space="preserve"> </w:t>
      </w:r>
      <w:r w:rsidR="00496196">
        <w:t>to</w:t>
      </w:r>
      <w:r w:rsidRPr="006A4CD7">
        <w:t xml:space="preserve"> P</w:t>
      </w:r>
      <w:r w:rsidR="00496196">
        <w:t>artnership</w:t>
      </w:r>
      <w:r w:rsidRPr="006A4CD7">
        <w:t>, A</w:t>
      </w:r>
      <w:r w:rsidR="00496196">
        <w:t>gency</w:t>
      </w:r>
      <w:r w:rsidRPr="006A4CD7">
        <w:t xml:space="preserve">, </w:t>
      </w:r>
      <w:r w:rsidR="00496196">
        <w:t>or</w:t>
      </w:r>
      <w:r w:rsidRPr="006A4CD7">
        <w:t xml:space="preserve"> S</w:t>
      </w:r>
      <w:r w:rsidR="00496196">
        <w:t>cope</w:t>
      </w:r>
      <w:r w:rsidRPr="006A4CD7">
        <w:t xml:space="preserve"> </w:t>
      </w:r>
      <w:r w:rsidR="00496196">
        <w:t>of</w:t>
      </w:r>
      <w:r w:rsidRPr="006A4CD7">
        <w:t xml:space="preserve"> A</w:t>
      </w:r>
      <w:r w:rsidR="00496196">
        <w:t>uthority</w:t>
      </w:r>
      <w:bookmarkEnd w:id="77"/>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was acting on behalf of the partnership and within the scope of authority.  Therefore, if you decide for the plaintiff, your verdict must be against all of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2B60C68A" w14:textId="18AFADC8" w:rsidR="006A4CD7" w:rsidRPr="006A4CD7" w:rsidRDefault="006A4CD7" w:rsidP="00DC3111">
      <w:pPr>
        <w:pStyle w:val="Heading2"/>
      </w:pPr>
      <w:bookmarkStart w:id="78" w:name="_Toc117512379"/>
      <w:r w:rsidRPr="006A4CD7">
        <w:lastRenderedPageBreak/>
        <w:t>4.19 P</w:t>
      </w:r>
      <w:r w:rsidR="00496196">
        <w:t>artnership</w:t>
      </w:r>
      <w:r w:rsidRPr="006A4CD7">
        <w:t>—E</w:t>
      </w:r>
      <w:r w:rsidR="00496196">
        <w:t>xistence</w:t>
      </w:r>
      <w:r w:rsidRPr="006A4CD7">
        <w:t xml:space="preserve"> A</w:t>
      </w:r>
      <w:r w:rsidR="00496196">
        <w:t>dmitted</w:t>
      </w:r>
      <w:r w:rsidRPr="006A4CD7">
        <w:t>—</w:t>
      </w:r>
      <w:r w:rsidR="00496196">
        <w:t>Scope of</w:t>
      </w:r>
      <w:r w:rsidR="00DC3111">
        <w:t xml:space="preserve"> </w:t>
      </w:r>
      <w:r w:rsidRPr="006A4CD7">
        <w:t>P</w:t>
      </w:r>
      <w:r w:rsidR="00496196">
        <w:t>artnership</w:t>
      </w:r>
      <w:r w:rsidRPr="006A4CD7">
        <w:t xml:space="preserve"> B</w:t>
      </w:r>
      <w:r w:rsidR="00496196">
        <w:t>usiness</w:t>
      </w:r>
      <w:r w:rsidRPr="006A4CD7">
        <w:t xml:space="preserve"> </w:t>
      </w:r>
      <w:r w:rsidR="00496196">
        <w:t xml:space="preserve">in </w:t>
      </w:r>
      <w:r w:rsidRPr="006A4CD7">
        <w:t>I</w:t>
      </w:r>
      <w:r w:rsidR="00496196">
        <w:t>ssue</w:t>
      </w:r>
      <w:r w:rsidRPr="006A4CD7">
        <w:t>—E</w:t>
      </w:r>
      <w:r w:rsidR="00496196">
        <w:t>ffect</w:t>
      </w:r>
      <w:bookmarkEnd w:id="78"/>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are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69ACC556" w14:textId="37697DB6" w:rsidR="006A4CD7" w:rsidRPr="006A4CD7" w:rsidRDefault="006A4CD7" w:rsidP="00496196">
      <w:pPr>
        <w:pStyle w:val="Heading2"/>
      </w:pPr>
      <w:bookmarkStart w:id="79" w:name="_Toc117512380"/>
      <w:r w:rsidRPr="006A4CD7">
        <w:lastRenderedPageBreak/>
        <w:t>4.20 P</w:t>
      </w:r>
      <w:r w:rsidR="00496196">
        <w:t>artnership</w:t>
      </w:r>
      <w:r w:rsidRPr="006A4CD7">
        <w:t>—E</w:t>
      </w:r>
      <w:r w:rsidR="00496196">
        <w:t>xistence</w:t>
      </w:r>
      <w:r w:rsidRPr="006A4CD7">
        <w:t xml:space="preserve"> </w:t>
      </w:r>
      <w:r w:rsidR="00496196">
        <w:t>of Partnership in Issue</w:t>
      </w:r>
      <w:r w:rsidR="00496196" w:rsidRPr="006A4CD7">
        <w:t>—E</w:t>
      </w:r>
      <w:r w:rsidR="00496196">
        <w:t>ffect</w:t>
      </w:r>
      <w:bookmarkEnd w:id="79"/>
      <w:r w:rsidRPr="006A4CD7">
        <w:cr/>
        <w:t xml:space="preserve"> </w:t>
      </w:r>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31A93730" w:rsidR="006A4CD7" w:rsidRPr="006A4CD7" w:rsidRDefault="006A4CD7" w:rsidP="00BF5CD7">
      <w:pPr>
        <w:pStyle w:val="Heading1"/>
      </w:pPr>
      <w:r w:rsidRPr="006A4CD7">
        <w:br w:type="page"/>
      </w:r>
      <w:bookmarkStart w:id="80" w:name="_Toc117512381"/>
      <w:r w:rsidRPr="006A4CD7">
        <w:lastRenderedPageBreak/>
        <w:t>5.  DAMAGES</w:t>
      </w:r>
      <w:bookmarkEnd w:id="80"/>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03F63ACA"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27987B78" w:rsidR="006A4CD7" w:rsidRPr="006A4CD7" w:rsidRDefault="006A4CD7" w:rsidP="00432687">
      <w:pPr>
        <w:pStyle w:val="Heading2"/>
      </w:pPr>
      <w:r w:rsidRPr="006A4CD7">
        <w:br w:type="page"/>
      </w:r>
      <w:bookmarkStart w:id="81" w:name="_Toc117512382"/>
      <w:r w:rsidRPr="006A4CD7">
        <w:lastRenderedPageBreak/>
        <w:t>5.1 D</w:t>
      </w:r>
      <w:r w:rsidR="00496196">
        <w:t>amages</w:t>
      </w:r>
      <w:r w:rsidRPr="006A4CD7">
        <w:t>—P</w:t>
      </w:r>
      <w:r w:rsidR="00496196">
        <w:t>roof</w:t>
      </w:r>
      <w:bookmarkEnd w:id="81"/>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Your award must be based upon evidence and not upon speculation, guesswork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62493F39" w:rsidR="006A4CD7" w:rsidRPr="006A4CD7" w:rsidRDefault="006A4CD7" w:rsidP="00432687">
      <w:pPr>
        <w:pStyle w:val="Heading2"/>
      </w:pPr>
      <w:bookmarkStart w:id="82" w:name="_Toc117512383"/>
      <w:r w:rsidRPr="006A4CD7">
        <w:lastRenderedPageBreak/>
        <w:t>5.2 M</w:t>
      </w:r>
      <w:r w:rsidR="00496196">
        <w:t>easures</w:t>
      </w:r>
      <w:r w:rsidRPr="006A4CD7">
        <w:t xml:space="preserve"> </w:t>
      </w:r>
      <w:r w:rsidR="00496196">
        <w:t>of</w:t>
      </w:r>
      <w:r w:rsidRPr="006A4CD7">
        <w:t xml:space="preserve"> T</w:t>
      </w:r>
      <w:r w:rsidR="00496196">
        <w:t>ypes</w:t>
      </w:r>
      <w:r w:rsidRPr="006A4CD7">
        <w:t xml:space="preserve"> </w:t>
      </w:r>
      <w:r w:rsidR="00496196">
        <w:t>of</w:t>
      </w:r>
      <w:r w:rsidRPr="006A4CD7">
        <w:t xml:space="preserve"> D</w:t>
      </w:r>
      <w:r w:rsidR="00496196">
        <w:t>amages</w:t>
      </w:r>
      <w:bookmarkEnd w:id="82"/>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lastRenderedPageBreak/>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Particular claims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amount of damages available under Title VII,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Gotthardt</w:t>
      </w:r>
      <w:proofErr w:type="spellEnd"/>
      <w:r w:rsidRPr="006A4CD7">
        <w:rPr>
          <w:rFonts w:cs="Times New Roman"/>
          <w:i/>
          <w:iCs/>
          <w:szCs w:val="24"/>
        </w:rPr>
        <w:t xml:space="preserve"> v. </w:t>
      </w:r>
      <w:proofErr w:type="spellStart"/>
      <w:r w:rsidRPr="006A4CD7">
        <w:rPr>
          <w:rFonts w:cs="Times New Roman"/>
          <w:i/>
          <w:iCs/>
          <w:szCs w:val="24"/>
        </w:rPr>
        <w:t>Nat’l</w:t>
      </w:r>
      <w:proofErr w:type="spellEnd"/>
      <w:r w:rsidRPr="006A4CD7">
        <w:rPr>
          <w:rFonts w:cs="Times New Roman"/>
          <w:i/>
          <w:iCs/>
          <w:szCs w:val="24"/>
        </w:rPr>
        <w:t xml:space="preserve">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 xml:space="preserve">Traxler v. Multnomah </w:t>
      </w:r>
      <w:proofErr w:type="spellStart"/>
      <w:r w:rsidRPr="006A4CD7">
        <w:rPr>
          <w:rFonts w:cs="Times New Roman"/>
          <w:i/>
          <w:iCs/>
          <w:szCs w:val="24"/>
        </w:rPr>
        <w:t>Cnty</w:t>
      </w:r>
      <w:proofErr w:type="spellEnd"/>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079A8F2F" w:rsidR="006A4CD7" w:rsidRPr="006A4CD7" w:rsidRDefault="006A4CD7" w:rsidP="00432687">
      <w:pPr>
        <w:pStyle w:val="Heading2"/>
      </w:pPr>
      <w:bookmarkStart w:id="83" w:name="_Toc117512384"/>
      <w:r w:rsidRPr="006A4CD7">
        <w:lastRenderedPageBreak/>
        <w:t>5.3 D</w:t>
      </w:r>
      <w:r w:rsidR="00496196">
        <w:t>amages</w:t>
      </w:r>
      <w:r w:rsidRPr="006A4CD7">
        <w:t>—M</w:t>
      </w:r>
      <w:r w:rsidR="00496196">
        <w:t>itigation</w:t>
      </w:r>
      <w:bookmarkEnd w:id="83"/>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2D80696" w14:textId="509E4570" w:rsidR="006A4CD7" w:rsidRPr="006A4CD7" w:rsidRDefault="006A4CD7" w:rsidP="007C35D5">
      <w:pPr>
        <w:pStyle w:val="Heading2"/>
      </w:pPr>
      <w:bookmarkStart w:id="84" w:name="_Toc117512385"/>
      <w:r w:rsidRPr="006A4CD7">
        <w:lastRenderedPageBreak/>
        <w:t>5.4 D</w:t>
      </w:r>
      <w:r w:rsidR="00496196">
        <w:t>amages</w:t>
      </w:r>
      <w:r w:rsidRPr="006A4CD7">
        <w:t xml:space="preserve"> A</w:t>
      </w:r>
      <w:r w:rsidR="00496196">
        <w:t>rising</w:t>
      </w:r>
      <w:r w:rsidRPr="006A4CD7">
        <w:t xml:space="preserve"> </w:t>
      </w:r>
      <w:r w:rsidR="00496196">
        <w:t>in the</w:t>
      </w:r>
      <w:r w:rsidRPr="006A4CD7">
        <w:t xml:space="preserve"> F</w:t>
      </w:r>
      <w:r w:rsidR="00496196">
        <w:t>uture</w:t>
      </w:r>
      <w:r w:rsidRPr="006A4CD7">
        <w:t>—D</w:t>
      </w:r>
      <w:r w:rsidR="00496196">
        <w:t xml:space="preserve">iscount to </w:t>
      </w:r>
      <w:r w:rsidRPr="006A4CD7">
        <w:t>P</w:t>
      </w:r>
      <w:r w:rsidR="00496196">
        <w:t>resent</w:t>
      </w:r>
      <w:r w:rsidRPr="006A4CD7">
        <w:t xml:space="preserve"> C</w:t>
      </w:r>
      <w:r w:rsidR="00496196">
        <w:t>ash</w:t>
      </w:r>
      <w:r w:rsidRPr="006A4CD7">
        <w:t xml:space="preserve"> V</w:t>
      </w:r>
      <w:r w:rsidR="00496196">
        <w:t>alue</w:t>
      </w:r>
      <w:bookmarkEnd w:id="84"/>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 xml:space="preserve">see also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1944F081" w:rsidR="006A4CD7" w:rsidRPr="006A4CD7" w:rsidRDefault="006A4CD7" w:rsidP="00432687">
      <w:pPr>
        <w:pStyle w:val="Heading2"/>
      </w:pPr>
      <w:bookmarkStart w:id="85" w:name="_Toc117512386"/>
      <w:r w:rsidRPr="006A4CD7">
        <w:lastRenderedPageBreak/>
        <w:t>5.5 P</w:t>
      </w:r>
      <w:r w:rsidR="00496196">
        <w:t>unitive</w:t>
      </w:r>
      <w:r w:rsidRPr="006A4CD7">
        <w:t xml:space="preserve"> D</w:t>
      </w:r>
      <w:r w:rsidR="00496196">
        <w:t>amages</w:t>
      </w:r>
      <w:bookmarkEnd w:id="85"/>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6C0199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w:t>
      </w:r>
      <w:r w:rsidR="004153D5" w:rsidRPr="006A4CD7">
        <w:rPr>
          <w:rFonts w:cs="Times New Roman"/>
          <w:szCs w:val="24"/>
        </w:rPr>
        <w:t>prejudice,</w:t>
      </w:r>
      <w:r w:rsidRPr="006A4CD7">
        <w:rPr>
          <w:rFonts w:cs="Times New Roman"/>
          <w:szCs w:val="24"/>
        </w:rPr>
        <w:t xml:space="preserv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in order to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5D63DE94"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xml:space="preserve">.]  [You may impose punitive damages against one or more of the defendants and not </w:t>
      </w:r>
      <w:r w:rsidR="004153D5" w:rsidRPr="006A4CD7">
        <w:rPr>
          <w:rFonts w:cs="Times New Roman"/>
          <w:szCs w:val="24"/>
        </w:rPr>
        <w:t>others and</w:t>
      </w:r>
      <w:r w:rsidRPr="006A4CD7">
        <w:rPr>
          <w:rFonts w:cs="Times New Roman"/>
          <w:szCs w:val="24"/>
        </w:rPr>
        <w:t xml:space="preserve">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w:t>
      </w:r>
      <w:proofErr w:type="spellStart"/>
      <w:r w:rsidRPr="006A4CD7">
        <w:rPr>
          <w:rFonts w:cs="Times New Roman"/>
          <w:i/>
          <w:iCs/>
          <w:szCs w:val="24"/>
        </w:rPr>
        <w:t>Monell</w:t>
      </w:r>
      <w:proofErr w:type="spellEnd"/>
      <w:r w:rsidRPr="006A4CD7">
        <w:rPr>
          <w:rFonts w:cs="Times New Roman"/>
          <w:i/>
          <w:iCs/>
          <w:szCs w:val="24"/>
        </w:rPr>
        <w:t xml:space="preserve">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6" w:name="SR_59_15662"/>
      <w:bookmarkEnd w:id="86"/>
      <w:r w:rsidRPr="006A4CD7">
        <w:rPr>
          <w:rFonts w:cs="Times New Roman"/>
          <w:szCs w:val="24"/>
        </w:rPr>
        <w:t xml:space="preserve">punitive </w:t>
      </w:r>
      <w:bookmarkStart w:id="87" w:name="SR_59_15663"/>
      <w:bookmarkEnd w:id="87"/>
      <w:r w:rsidRPr="006A4CD7">
        <w:rPr>
          <w:rFonts w:cs="Times New Roman"/>
          <w:szCs w:val="24"/>
        </w:rPr>
        <w:t xml:space="preserve">damages when the employer “discriminate[s] in the face of a perceived risk that its actions will violate </w:t>
      </w:r>
      <w:bookmarkStart w:id="88" w:name="SR_59_15683"/>
      <w:bookmarkEnd w:id="88"/>
      <w:r w:rsidRPr="006A4CD7">
        <w:rPr>
          <w:rFonts w:cs="Times New Roman"/>
          <w:szCs w:val="24"/>
        </w:rPr>
        <w:t xml:space="preserve">federal </w:t>
      </w:r>
      <w:bookmarkStart w:id="89" w:name="SR_59_15684"/>
      <w:bookmarkEnd w:id="89"/>
      <w:r w:rsidRPr="006A4CD7">
        <w:rPr>
          <w:rFonts w:cs="Times New Roman"/>
          <w:szCs w:val="24"/>
        </w:rPr>
        <w:t xml:space="preserve">law.”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 xml:space="preserve">American Dental </w:t>
      </w:r>
      <w:proofErr w:type="spellStart"/>
      <w:r w:rsidRPr="006A4CD7">
        <w:rPr>
          <w:rFonts w:cs="Times New Roman"/>
          <w:i/>
          <w:iCs/>
          <w:szCs w:val="24"/>
        </w:rPr>
        <w:t>Ass’n</w:t>
      </w:r>
      <w:proofErr w:type="spellEnd"/>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w:t>
      </w:r>
      <w:proofErr w:type="spellStart"/>
      <w:r w:rsidRPr="006A4CD7">
        <w:rPr>
          <w:rFonts w:cs="Times New Roman"/>
          <w:szCs w:val="24"/>
        </w:rPr>
        <w:t>en</w:t>
      </w:r>
      <w:proofErr w:type="spellEnd"/>
      <w:r w:rsidRPr="006A4CD7">
        <w:rPr>
          <w:rFonts w:cs="Times New Roman"/>
          <w:szCs w:val="24"/>
        </w:rPr>
        <w:t xml:space="preserve">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to § 1983 claims, “[</w:t>
      </w:r>
      <w:proofErr w:type="spellStart"/>
      <w:r w:rsidRPr="006A4CD7">
        <w:rPr>
          <w:rFonts w:cs="Times New Roman"/>
          <w:szCs w:val="24"/>
        </w:rPr>
        <w:t>i</w:t>
      </w:r>
      <w:proofErr w:type="spellEnd"/>
      <w:r w:rsidRPr="006A4CD7">
        <w:rPr>
          <w:rFonts w:cs="Times New Roman"/>
          <w:szCs w:val="24"/>
        </w:rPr>
        <w:t xml:space="preserve">]t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i/>
          <w:iCs/>
          <w:szCs w:val="24"/>
        </w:rPr>
        <w:t>,</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[M]</w:t>
      </w:r>
      <w:proofErr w:type="spellStart"/>
      <w:r w:rsidRPr="006A4CD7">
        <w:rPr>
          <w:rFonts w:cs="Times New Roman"/>
          <w:szCs w:val="24"/>
        </w:rPr>
        <w:t>alicious</w:t>
      </w:r>
      <w:proofErr w:type="spellEnd"/>
      <w:r w:rsidRPr="006A4CD7">
        <w:rPr>
          <w:rFonts w:cs="Times New Roman"/>
          <w:szCs w:val="24"/>
        </w:rPr>
        <w:t xml:space="preserve">,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3C1DF2C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w:t>
      </w:r>
      <w:r w:rsidR="007C35D5" w:rsidRPr="006A4CD7">
        <w:rPr>
          <w:rFonts w:cs="Times New Roman"/>
          <w:szCs w:val="24"/>
        </w:rPr>
        <w:t>claim</w:t>
      </w:r>
      <w:r w:rsidRPr="006A4CD7">
        <w:rPr>
          <w:rFonts w:cs="Times New Roman"/>
          <w:szCs w:val="24"/>
        </w:rPr>
        <w:t xml:space="preserve">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w:t>
      </w:r>
      <w:proofErr w:type="spellStart"/>
      <w:r w:rsidRPr="006A4CD7">
        <w:rPr>
          <w:rFonts w:cs="Times New Roman"/>
          <w:i/>
          <w:iCs/>
          <w:szCs w:val="24"/>
        </w:rPr>
        <w:t>Ass’n</w:t>
      </w:r>
      <w:proofErr w:type="spellEnd"/>
      <w:r w:rsidRPr="006A4CD7">
        <w:rPr>
          <w:rFonts w:cs="Times New Roman"/>
          <w:i/>
          <w:iCs/>
          <w:szCs w:val="24"/>
        </w:rPr>
        <w:t xml:space="preserve">,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proofErr w:type="spellStart"/>
      <w:r w:rsidRPr="006A4CD7">
        <w:rPr>
          <w:rFonts w:cs="Times New Roman"/>
          <w:i/>
          <w:iCs/>
          <w:szCs w:val="24"/>
        </w:rPr>
        <w:t>Batteron</w:t>
      </w:r>
      <w:proofErr w:type="spellEnd"/>
      <w:r w:rsidRPr="006A4CD7">
        <w:rPr>
          <w:rFonts w:cs="Times New Roman"/>
          <w:i/>
          <w:iCs/>
          <w:szCs w:val="24"/>
        </w:rPr>
        <w:t xml:space="preserve"> v. Dutra Group</w:t>
      </w:r>
      <w:r w:rsidRPr="006A4CD7">
        <w:rPr>
          <w:rFonts w:cs="Times New Roman"/>
          <w:szCs w:val="24"/>
        </w:rPr>
        <w:t xml:space="preserve">, 880 F.3d 1089 (9th Cir. 2018).  But they are not available for Jones Act claims.  </w:t>
      </w:r>
      <w:proofErr w:type="spellStart"/>
      <w:r w:rsidRPr="006A4CD7">
        <w:rPr>
          <w:rFonts w:cs="Times New Roman"/>
          <w:i/>
          <w:iCs/>
          <w:szCs w:val="24"/>
        </w:rPr>
        <w:t>Evich</w:t>
      </w:r>
      <w:proofErr w:type="spellEnd"/>
      <w:r w:rsidRPr="006A4CD7">
        <w:rPr>
          <w:rFonts w:cs="Times New Roman"/>
          <w:i/>
          <w:iCs/>
          <w:szCs w:val="24"/>
        </w:rPr>
        <w:t xml:space="preserve"> v. Morris</w:t>
      </w:r>
      <w:r w:rsidRPr="006A4CD7">
        <w:rPr>
          <w:rFonts w:cs="Times New Roman"/>
          <w:szCs w:val="24"/>
        </w:rPr>
        <w:t xml:space="preserve">, 819 F.2d 256, 258 (9th Cir. 1987) (citing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 xml:space="preserve">Pac. Mut. Life Ins. Co. v. </w:t>
      </w:r>
      <w:proofErr w:type="spellStart"/>
      <w:r w:rsidRPr="006A4CD7">
        <w:rPr>
          <w:rFonts w:cs="Times New Roman"/>
          <w:i/>
          <w:iCs/>
          <w:szCs w:val="24"/>
        </w:rPr>
        <w:t>Haslip</w:t>
      </w:r>
      <w:proofErr w:type="spellEnd"/>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w:t>
      </w:r>
      <w:r w:rsidRPr="006A4CD7">
        <w:rPr>
          <w:rFonts w:cs="Times New Roman"/>
          <w:szCs w:val="24"/>
        </w:rPr>
        <w:lastRenderedPageBreak/>
        <w:t>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w:t>
      </w:r>
      <w:proofErr w:type="spellStart"/>
      <w:r w:rsidRPr="006A4CD7">
        <w:rPr>
          <w:rFonts w:cs="Times New Roman"/>
          <w:i/>
          <w:iCs/>
          <w:szCs w:val="24"/>
        </w:rPr>
        <w:t>Haslip</w:t>
      </w:r>
      <w:proofErr w:type="spellEnd"/>
      <w:r w:rsidRPr="006A4CD7">
        <w:rPr>
          <w:rFonts w:cs="Times New Roman"/>
          <w:szCs w:val="24"/>
        </w:rPr>
        <w:t xml:space="preserve">, 499 U.S. 1 (1991); </w:t>
      </w:r>
      <w:r w:rsidRPr="006A4CD7">
        <w:rPr>
          <w:rFonts w:cs="Times New Roman"/>
          <w:i/>
          <w:iCs/>
          <w:szCs w:val="24"/>
        </w:rPr>
        <w:t xml:space="preserve">see also Morgan v. </w:t>
      </w:r>
      <w:proofErr w:type="spellStart"/>
      <w:r w:rsidRPr="006A4CD7">
        <w:rPr>
          <w:rFonts w:cs="Times New Roman"/>
          <w:i/>
          <w:iCs/>
          <w:szCs w:val="24"/>
        </w:rPr>
        <w:t>Woessner</w:t>
      </w:r>
      <w:proofErr w:type="spellEnd"/>
      <w:r w:rsidRPr="006A4CD7">
        <w:rPr>
          <w:rFonts w:cs="Times New Roman"/>
          <w:szCs w:val="24"/>
        </w:rPr>
        <w:t>, 997 F.2d 1244, 1256 (9th Cir. 1993) (“</w:t>
      </w:r>
      <w:proofErr w:type="spellStart"/>
      <w:r w:rsidRPr="006A4CD7">
        <w:rPr>
          <w:rFonts w:cs="Times New Roman"/>
          <w:i/>
          <w:iCs/>
          <w:szCs w:val="24"/>
        </w:rPr>
        <w:t>Haslip</w:t>
      </w:r>
      <w:proofErr w:type="spellEnd"/>
      <w:r w:rsidRPr="006A4CD7">
        <w:rPr>
          <w:rFonts w:cs="Times New Roman"/>
          <w:i/>
          <w:iCs/>
          <w:szCs w:val="24"/>
        </w:rPr>
        <w:t xml:space="preserve">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amount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63F8D433"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proofErr w:type="spellStart"/>
      <w:r w:rsidRPr="006A4CD7">
        <w:rPr>
          <w:rFonts w:cs="Times New Roman"/>
          <w:i/>
          <w:iCs/>
          <w:szCs w:val="24"/>
        </w:rPr>
        <w:t>Haslip</w:t>
      </w:r>
      <w:proofErr w:type="spellEnd"/>
      <w:r w:rsidRPr="006A4CD7">
        <w:rPr>
          <w:rFonts w:cs="Times New Roman"/>
          <w:szCs w:val="24"/>
        </w:rPr>
        <w:t xml:space="preserve"> and stating that “[s]</w:t>
      </w:r>
      <w:proofErr w:type="spellStart"/>
      <w:r w:rsidRPr="006A4CD7">
        <w:rPr>
          <w:rFonts w:cs="Times New Roman"/>
          <w:szCs w:val="24"/>
        </w:rPr>
        <w:t>ingle</w:t>
      </w:r>
      <w:proofErr w:type="spellEnd"/>
      <w:r w:rsidRPr="006A4CD7">
        <w:rPr>
          <w:rFonts w:cs="Times New Roman"/>
          <w:szCs w:val="24"/>
        </w:rPr>
        <w:t xml:space="preserv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amount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2FBAAC24" w:rsidR="006A4CD7" w:rsidRPr="006A4CD7" w:rsidRDefault="006A4CD7" w:rsidP="00432687">
      <w:pPr>
        <w:pStyle w:val="Heading2"/>
      </w:pPr>
      <w:bookmarkStart w:id="90" w:name="_Toc117512387"/>
      <w:r w:rsidRPr="006A4CD7">
        <w:lastRenderedPageBreak/>
        <w:t>5.6 N</w:t>
      </w:r>
      <w:r w:rsidR="00496196">
        <w:t>ominal</w:t>
      </w:r>
      <w:r w:rsidRPr="006A4CD7">
        <w:t xml:space="preserve"> D</w:t>
      </w:r>
      <w:r w:rsidR="00496196">
        <w:t>amages</w:t>
      </w:r>
      <w:bookmarkEnd w:id="90"/>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proofErr w:type="spellStart"/>
      <w:r w:rsidRPr="006A4CD7">
        <w:rPr>
          <w:rFonts w:cs="Times New Roman"/>
          <w:i/>
          <w:iCs/>
          <w:szCs w:val="24"/>
        </w:rPr>
        <w:t>Hazle</w:t>
      </w:r>
      <w:proofErr w:type="spellEnd"/>
      <w:r w:rsidRPr="006A4CD7">
        <w:rPr>
          <w:rFonts w:cs="Times New Roman"/>
          <w:i/>
          <w:iCs/>
          <w:szCs w:val="24"/>
        </w:rPr>
        <w:t xml:space="preserve"> v. </w:t>
      </w:r>
      <w:proofErr w:type="spellStart"/>
      <w:r w:rsidRPr="006A4CD7">
        <w:rPr>
          <w:rFonts w:cs="Times New Roman"/>
          <w:i/>
          <w:iCs/>
          <w:szCs w:val="24"/>
        </w:rPr>
        <w:t>Crofoot</w:t>
      </w:r>
      <w:proofErr w:type="spellEnd"/>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 xml:space="preserve">see Carey v. </w:t>
      </w:r>
      <w:proofErr w:type="spellStart"/>
      <w:r w:rsidRPr="006A4CD7">
        <w:rPr>
          <w:rFonts w:cs="Times New Roman"/>
          <w:i/>
          <w:iCs/>
          <w:szCs w:val="24"/>
        </w:rPr>
        <w:t>Piphus</w:t>
      </w:r>
      <w:proofErr w:type="spellEnd"/>
      <w:r w:rsidRPr="006A4CD7">
        <w:rPr>
          <w:rFonts w:cs="Times New Roman"/>
          <w:szCs w:val="24"/>
        </w:rPr>
        <w:t xml:space="preserve">, 435 U.S. 247, 266-67 (1978) (involving violation of procedural due process); </w:t>
      </w:r>
      <w:proofErr w:type="spellStart"/>
      <w:r w:rsidRPr="006A4CD7">
        <w:rPr>
          <w:rFonts w:cs="Times New Roman"/>
          <w:i/>
          <w:iCs/>
          <w:szCs w:val="24"/>
        </w:rPr>
        <w:t>Hazle</w:t>
      </w:r>
      <w:proofErr w:type="spellEnd"/>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4AA3AEC7" w:rsidR="006A4CD7" w:rsidRPr="006A4CD7" w:rsidRDefault="006A4CD7" w:rsidP="00BF5CD7">
      <w:pPr>
        <w:pStyle w:val="Heading1"/>
      </w:pPr>
      <w:r w:rsidRPr="006A4CD7">
        <w:br w:type="page"/>
      </w:r>
      <w:bookmarkStart w:id="91" w:name="_Toc117512388"/>
      <w:r w:rsidRPr="006A4CD7">
        <w:lastRenderedPageBreak/>
        <w:t>6.  FEDERAL EMPLOYERS’ LIABILITY ACT</w:t>
      </w:r>
      <w:bookmarkEnd w:id="91"/>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670DBCC2" w14:textId="77777777" w:rsidR="00496196" w:rsidRDefault="006A4CD7" w:rsidP="00C9762A">
      <w:pPr>
        <w:autoSpaceDE w:val="0"/>
        <w:autoSpaceDN w:val="0"/>
        <w:adjustRightInd w:val="0"/>
        <w:ind w:left="900" w:hanging="900"/>
        <w:rPr>
          <w:rFonts w:cs="Times New Roman"/>
          <w:szCs w:val="24"/>
        </w:rPr>
      </w:pPr>
      <w:r w:rsidRPr="006A4CD7">
        <w:rPr>
          <w:rFonts w:cs="Times New Roman"/>
          <w:szCs w:val="24"/>
        </w:rPr>
        <w:t>6.1</w:t>
      </w:r>
      <w:r w:rsidRPr="006A4CD7">
        <w:rPr>
          <w:rFonts w:cs="Times New Roman"/>
          <w:szCs w:val="24"/>
        </w:rPr>
        <w:tab/>
        <w:t xml:space="preserve">Preliminary Jury Instruction—Federal Employers’ Liability Act </w:t>
      </w:r>
    </w:p>
    <w:p w14:paraId="5BB7A597" w14:textId="2FA6B157" w:rsidR="006A4CD7" w:rsidRPr="006A4CD7" w:rsidRDefault="006A4CD7" w:rsidP="00C9762A">
      <w:pPr>
        <w:autoSpaceDE w:val="0"/>
        <w:autoSpaceDN w:val="0"/>
        <w:adjustRightInd w:val="0"/>
        <w:ind w:left="900"/>
        <w:rPr>
          <w:rFonts w:cs="Times New Roman"/>
          <w:szCs w:val="24"/>
        </w:rPr>
      </w:pPr>
      <w:r w:rsidRPr="006A4CD7">
        <w:rPr>
          <w:rFonts w:cs="Times New Roman"/>
          <w:szCs w:val="24"/>
        </w:rPr>
        <w:t>(45 U.S.C. §§ 51 and 53)</w:t>
      </w:r>
    </w:p>
    <w:p w14:paraId="2F588B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6.4</w:t>
      </w:r>
      <w:r w:rsidRPr="006A4CD7">
        <w:rPr>
          <w:rFonts w:cs="Times New Roman"/>
          <w:szCs w:val="24"/>
        </w:rPr>
        <w:tab/>
        <w:t>FELA—Causation</w:t>
      </w:r>
    </w:p>
    <w:p w14:paraId="58A7AB09" w14:textId="0003576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6.5</w:t>
      </w:r>
      <w:r w:rsidRPr="006A4CD7">
        <w:rPr>
          <w:rFonts w:cs="Times New Roman"/>
          <w:szCs w:val="24"/>
        </w:rPr>
        <w:tab/>
        <w:t xml:space="preserve">FELA—Plaintiff’s Compliance </w:t>
      </w:r>
      <w:r w:rsidR="00496196">
        <w:rPr>
          <w:rFonts w:cs="Times New Roman"/>
          <w:szCs w:val="24"/>
        </w:rPr>
        <w:t>w</w:t>
      </w:r>
      <w:r w:rsidRPr="006A4CD7">
        <w:rPr>
          <w:rFonts w:cs="Times New Roman"/>
          <w:szCs w:val="24"/>
        </w:rPr>
        <w:t>ith Defendant’s Request or Directions</w:t>
      </w:r>
    </w:p>
    <w:p w14:paraId="335958A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5BF1A309"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52245CA" w14:textId="77777777" w:rsidR="006A4CD7" w:rsidRPr="006A4CD7" w:rsidRDefault="006A4CD7" w:rsidP="0060759C">
      <w:pPr>
        <w:autoSpaceDE w:val="0"/>
        <w:autoSpaceDN w:val="0"/>
        <w:adjustRightInd w:val="0"/>
        <w:rPr>
          <w:rFonts w:cs="Times New Roman"/>
          <w:szCs w:val="24"/>
        </w:rPr>
      </w:pPr>
    </w:p>
    <w:p w14:paraId="0EDC1A6C" w14:textId="34EF1D37" w:rsidR="006A4CD7" w:rsidRPr="006A4CD7" w:rsidRDefault="006A4CD7" w:rsidP="00DC3111">
      <w:pPr>
        <w:pStyle w:val="Heading2"/>
      </w:pPr>
      <w:r w:rsidRPr="006A4CD7">
        <w:br w:type="page"/>
      </w:r>
      <w:bookmarkStart w:id="92" w:name="_Toc117512389"/>
      <w:r w:rsidRPr="006A4CD7">
        <w:lastRenderedPageBreak/>
        <w:t>6.1 P</w:t>
      </w:r>
      <w:r w:rsidR="00496196">
        <w:t>reliminary</w:t>
      </w:r>
      <w:r w:rsidRPr="006A4CD7">
        <w:t xml:space="preserve"> J</w:t>
      </w:r>
      <w:r w:rsidR="00496196">
        <w:t xml:space="preserve">ury </w:t>
      </w:r>
      <w:r w:rsidRPr="006A4CD7">
        <w:t>I</w:t>
      </w:r>
      <w:r w:rsidR="00496196">
        <w:t>nstruction</w:t>
      </w:r>
      <w:r w:rsidRPr="006A4CD7">
        <w:t>—F</w:t>
      </w:r>
      <w:r w:rsidR="00496196">
        <w:t>ederal</w:t>
      </w:r>
      <w:r w:rsidRPr="006A4CD7">
        <w:t xml:space="preserve"> E</w:t>
      </w:r>
      <w:r w:rsidR="00496196">
        <w:t>mployers</w:t>
      </w:r>
      <w:r w:rsidRPr="006A4CD7">
        <w:t>’ L</w:t>
      </w:r>
      <w:r w:rsidR="00496196">
        <w:t>iability</w:t>
      </w:r>
      <w:r w:rsidRPr="006A4CD7">
        <w:t xml:space="preserve"> A</w:t>
      </w:r>
      <w:r w:rsidR="00496196">
        <w:t>ct</w:t>
      </w:r>
      <w:r w:rsidR="00432687">
        <w:t xml:space="preserve"> </w:t>
      </w:r>
      <w:r w:rsidRPr="006A4CD7">
        <w:t xml:space="preserve">(45 U.S.C. §§ 51 </w:t>
      </w:r>
      <w:r w:rsidR="00496196">
        <w:t>and</w:t>
      </w:r>
      <w:r w:rsidRPr="006A4CD7">
        <w:t xml:space="preserve"> 53)</w:t>
      </w:r>
      <w:bookmarkEnd w:id="92"/>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negligent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 xml:space="preserve">Forrester v. Am. </w:t>
      </w:r>
      <w:proofErr w:type="spellStart"/>
      <w:r w:rsidRPr="006A4CD7">
        <w:rPr>
          <w:rFonts w:cs="Times New Roman"/>
          <w:i/>
          <w:iCs/>
          <w:szCs w:val="24"/>
        </w:rPr>
        <w:t>Dieselectric</w:t>
      </w:r>
      <w:proofErr w:type="spellEnd"/>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 xml:space="preserve">Rivera v. </w:t>
      </w:r>
      <w:proofErr w:type="spellStart"/>
      <w:r w:rsidRPr="006A4CD7">
        <w:rPr>
          <w:rFonts w:cs="Times New Roman"/>
          <w:i/>
          <w:iCs/>
          <w:szCs w:val="24"/>
        </w:rPr>
        <w:t>Nat’l</w:t>
      </w:r>
      <w:proofErr w:type="spellEnd"/>
      <w:r w:rsidRPr="006A4CD7">
        <w:rPr>
          <w:rFonts w:cs="Times New Roman"/>
          <w:i/>
          <w:iCs/>
          <w:szCs w:val="24"/>
        </w:rPr>
        <w:t xml:space="preserve">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41E7465B" w:rsidR="006A4CD7" w:rsidRPr="006A4CD7" w:rsidRDefault="006A4CD7" w:rsidP="00432687">
      <w:pPr>
        <w:pStyle w:val="Heading2"/>
      </w:pPr>
      <w:r w:rsidRPr="006A4CD7">
        <w:br w:type="page"/>
      </w:r>
      <w:bookmarkStart w:id="93" w:name="_Toc117512390"/>
      <w:r w:rsidRPr="006A4CD7">
        <w:lastRenderedPageBreak/>
        <w:t>6.2 FELA—E</w:t>
      </w:r>
      <w:r w:rsidR="00496196">
        <w:t>lements and</w:t>
      </w:r>
      <w:r w:rsidRPr="006A4CD7">
        <w:t xml:space="preserve"> B</w:t>
      </w:r>
      <w:r w:rsidR="00496196">
        <w:t>urden</w:t>
      </w:r>
      <w:r w:rsidRPr="006A4CD7">
        <w:t xml:space="preserve"> </w:t>
      </w:r>
      <w:r w:rsidR="00496196">
        <w:t>of</w:t>
      </w:r>
      <w:r w:rsidRPr="006A4CD7">
        <w:t xml:space="preserve"> P</w:t>
      </w:r>
      <w:r w:rsidR="00496196">
        <w:t>roof</w:t>
      </w:r>
      <w:bookmarkEnd w:id="93"/>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these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 has proved both of these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1C830D73" w:rsidR="006A4CD7" w:rsidRPr="006A4CD7" w:rsidRDefault="006A4CD7" w:rsidP="00432687">
      <w:pPr>
        <w:pStyle w:val="Heading2"/>
      </w:pPr>
      <w:bookmarkStart w:id="94" w:name="_Toc117512391"/>
      <w:r w:rsidRPr="006A4CD7">
        <w:lastRenderedPageBreak/>
        <w:t>6.3 FELA—N</w:t>
      </w:r>
      <w:r w:rsidR="00496196">
        <w:t>egligence</w:t>
      </w:r>
      <w:r w:rsidRPr="006A4CD7">
        <w:t xml:space="preserve"> D</w:t>
      </w:r>
      <w:r w:rsidR="00496196">
        <w:t>efined</w:t>
      </w:r>
      <w:bookmarkEnd w:id="94"/>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5F983FF7" w:rsidR="006A4CD7" w:rsidRPr="006A4CD7" w:rsidRDefault="006A4CD7" w:rsidP="00432687">
      <w:pPr>
        <w:pStyle w:val="Heading2"/>
      </w:pPr>
      <w:bookmarkStart w:id="95" w:name="_Toc117512392"/>
      <w:r w:rsidRPr="006A4CD7">
        <w:lastRenderedPageBreak/>
        <w:t>6.4 FELA—C</w:t>
      </w:r>
      <w:r w:rsidR="00496196">
        <w:t>ausation</w:t>
      </w:r>
      <w:bookmarkEnd w:id="95"/>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564 U.S. 685 (2011) (holding that in FELA case, railroad employee need only establish that railroad’s negligence played part, no matter how small, in bringing about injury in order to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4391021A" w:rsidR="006A4CD7" w:rsidRPr="006A4CD7" w:rsidRDefault="006A4CD7" w:rsidP="00432687">
      <w:pPr>
        <w:pStyle w:val="Heading2"/>
      </w:pPr>
      <w:bookmarkStart w:id="96" w:name="_Toc117512393"/>
      <w:r w:rsidRPr="006A4CD7">
        <w:lastRenderedPageBreak/>
        <w:t>6.5 FELA—P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w:t>
      </w:r>
      <w:bookmarkEnd w:id="96"/>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3EC87983" w:rsidR="006A4CD7" w:rsidRPr="006A4CD7" w:rsidRDefault="006A4CD7" w:rsidP="00432687">
      <w:pPr>
        <w:pStyle w:val="Heading2"/>
      </w:pPr>
      <w:r w:rsidRPr="006A4CD7">
        <w:br w:type="page"/>
      </w:r>
      <w:bookmarkStart w:id="97" w:name="_Toc117512394"/>
      <w:r w:rsidRPr="006A4CD7">
        <w:lastRenderedPageBreak/>
        <w:t>6.6 FELA—D</w:t>
      </w:r>
      <w:r w:rsidR="004272A6">
        <w:t>amages</w:t>
      </w:r>
      <w:bookmarkEnd w:id="97"/>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22E919C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w:t>
      </w:r>
      <w:r w:rsidR="00E763D2" w:rsidRPr="006A4CD7">
        <w:rPr>
          <w:rFonts w:cs="Times New Roman"/>
          <w:szCs w:val="24"/>
        </w:rPr>
        <w:t>cases,</w:t>
      </w:r>
      <w:r w:rsidRPr="006A4CD7">
        <w:rPr>
          <w:rFonts w:cs="Times New Roman"/>
          <w:szCs w:val="24"/>
        </w:rPr>
        <w:t xml:space="preserve">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4C2748A0" w:rsidR="006A4CD7" w:rsidRPr="006A4CD7" w:rsidRDefault="006A4CD7" w:rsidP="00432687">
      <w:pPr>
        <w:pStyle w:val="Heading2"/>
      </w:pPr>
      <w:bookmarkStart w:id="98" w:name="_Toc117512395"/>
      <w:r w:rsidRPr="006A4CD7">
        <w:lastRenderedPageBreak/>
        <w:t>6.7 FELA—P</w:t>
      </w:r>
      <w:r w:rsidR="004272A6">
        <w:t>laintiff</w:t>
      </w:r>
      <w:r w:rsidRPr="006A4CD7">
        <w:t>’</w:t>
      </w:r>
      <w:r w:rsidR="004272A6">
        <w:t>s</w:t>
      </w:r>
      <w:r w:rsidRPr="006A4CD7">
        <w:t xml:space="preserve"> N</w:t>
      </w:r>
      <w:r w:rsidR="004272A6">
        <w:t>egligence</w:t>
      </w:r>
      <w:r w:rsidRPr="006A4CD7">
        <w:t>—</w:t>
      </w:r>
      <w:r w:rsidR="004272A6">
        <w:t>Reduction of Damages</w:t>
      </w:r>
      <w:r w:rsidR="00DC3111">
        <w:t xml:space="preserve"> </w:t>
      </w:r>
      <w:r w:rsidRPr="006A4CD7">
        <w:t>(45 U.S.C. § 53)</w:t>
      </w:r>
      <w:bookmarkEnd w:id="98"/>
    </w:p>
    <w:p w14:paraId="7017ECF4" w14:textId="77777777" w:rsidR="006A4CD7" w:rsidRPr="006A4CD7" w:rsidRDefault="006A4CD7" w:rsidP="0060759C">
      <w:pPr>
        <w:autoSpaceDE w:val="0"/>
        <w:autoSpaceDN w:val="0"/>
        <w:adjustRightInd w:val="0"/>
        <w:rPr>
          <w:rFonts w:cs="Times New Roman"/>
          <w:szCs w:val="24"/>
        </w:rPr>
      </w:pPr>
    </w:p>
    <w:p w14:paraId="60EA2D26" w14:textId="04A3089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w:t>
      </w:r>
      <w:r w:rsidR="00504029" w:rsidRPr="006A4CD7">
        <w:rPr>
          <w:rFonts w:cs="Times New Roman"/>
          <w:szCs w:val="24"/>
        </w:rPr>
        <w:t>negligent,</w:t>
      </w:r>
      <w:r w:rsidRPr="006A4CD7">
        <w:rPr>
          <w:rFonts w:cs="Times New Roman"/>
          <w:szCs w:val="24"/>
        </w:rPr>
        <w:t xml:space="preserve">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 xml:space="preserve">see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0252BFC1"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If you answered YES to Question Nos. 1.A and 1.B, what sum of money do you find from a preponderance of the evidence to be the total amount of the plaintiff’s damages (do not reduce any amount by percentages found </w:t>
      </w:r>
      <w:r w:rsidR="00E763D2" w:rsidRPr="006A4CD7">
        <w:rPr>
          <w:rFonts w:cs="Times New Roman"/>
          <w:szCs w:val="24"/>
        </w:rPr>
        <w:t>in Question</w:t>
      </w:r>
      <w:r w:rsidRPr="006A4CD7">
        <w:rPr>
          <w:rFonts w:cs="Times New Roman"/>
          <w:szCs w:val="24"/>
        </w:rPr>
        <w:t xml:space="preserve">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4FD25EA7" w:rsidR="006A4CD7" w:rsidRPr="006A4CD7" w:rsidRDefault="006A4CD7" w:rsidP="00BF5CD7">
      <w:pPr>
        <w:pStyle w:val="Heading1"/>
      </w:pPr>
      <w:r w:rsidRPr="006A4CD7">
        <w:br w:type="page"/>
      </w:r>
      <w:bookmarkStart w:id="99" w:name="_Toc117512396"/>
      <w:r w:rsidRPr="006A4CD7">
        <w:lastRenderedPageBreak/>
        <w:t>7.  JONES ACT AND OTHER ADMIRALTY CLAIMS</w:t>
      </w:r>
      <w:bookmarkEnd w:id="99"/>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w:t>
      </w:r>
      <w:r w:rsidRPr="006A4CD7">
        <w:rPr>
          <w:rFonts w:cs="Times New Roman"/>
          <w:szCs w:val="24"/>
        </w:rPr>
        <w:tab/>
        <w:t>Seaman Status</w:t>
      </w:r>
    </w:p>
    <w:p w14:paraId="1B7F4ED8" w14:textId="7E0EC46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r w:rsidR="00612075">
        <w:rPr>
          <w:rFonts w:cs="Times New Roman"/>
          <w:szCs w:val="24"/>
        </w:rPr>
        <w:t xml:space="preserve">(46 U.S.C. </w:t>
      </w:r>
      <w:r w:rsidR="00612075" w:rsidRPr="006A4CD7">
        <w:rPr>
          <w:rFonts w:cs="Times New Roman"/>
          <w:szCs w:val="24"/>
        </w:rPr>
        <w:t>§</w:t>
      </w:r>
      <w:r w:rsidR="00612075">
        <w:rPr>
          <w:rFonts w:cs="Times New Roman"/>
          <w:szCs w:val="24"/>
        </w:rPr>
        <w:t xml:space="preserve"> 30104)</w:t>
      </w:r>
    </w:p>
    <w:p w14:paraId="7E007F2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4628F00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7.10</w:t>
      </w:r>
      <w:r w:rsidRPr="006A4CD7">
        <w:rPr>
          <w:rFonts w:cs="Times New Roman"/>
          <w:szCs w:val="24"/>
        </w:rPr>
        <w:tab/>
        <w:t xml:space="preserve">Jones Act Negligence or Unseaworthiness—Plaintiff’s Compliance </w:t>
      </w:r>
      <w:r w:rsidR="004272A6">
        <w:rPr>
          <w:rFonts w:cs="Times New Roman"/>
          <w:szCs w:val="24"/>
        </w:rPr>
        <w:t>w</w:t>
      </w:r>
      <w:r w:rsidRPr="006A4CD7">
        <w:rPr>
          <w:rFonts w:cs="Times New Roman"/>
          <w:szCs w:val="24"/>
        </w:rPr>
        <w:t>ith Defendant’s Request or Directions</w:t>
      </w:r>
    </w:p>
    <w:p w14:paraId="3E06F2D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FDB001" w:rsid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7.13  </w:t>
      </w:r>
      <w:r w:rsidRPr="006A4CD7">
        <w:rPr>
          <w:rFonts w:cs="Times New Roman"/>
          <w:szCs w:val="24"/>
        </w:rPr>
        <w:tab/>
        <w:t>Integrated Product Manufacturer’s Duty to Warn</w:t>
      </w:r>
    </w:p>
    <w:p w14:paraId="5A56040F" w14:textId="77777777" w:rsidR="003A73CA" w:rsidRPr="006A4CD7" w:rsidRDefault="003A73CA" w:rsidP="0060759C">
      <w:pPr>
        <w:autoSpaceDE w:val="0"/>
        <w:autoSpaceDN w:val="0"/>
        <w:adjustRightInd w:val="0"/>
        <w:rPr>
          <w:rFonts w:cs="Times New Roman"/>
          <w:szCs w:val="24"/>
        </w:rPr>
      </w:pPr>
    </w:p>
    <w:p w14:paraId="6008696F"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B03384B" w14:textId="77777777" w:rsidR="003A73CA" w:rsidRPr="006A4CD7" w:rsidRDefault="003A73CA" w:rsidP="0060759C">
      <w:pPr>
        <w:autoSpaceDE w:val="0"/>
        <w:autoSpaceDN w:val="0"/>
        <w:adjustRightInd w:val="0"/>
        <w:jc w:val="center"/>
        <w:rPr>
          <w:rFonts w:cs="Times New Roman"/>
          <w:b/>
          <w:bCs/>
          <w:szCs w:val="24"/>
        </w:rPr>
      </w:pPr>
    </w:p>
    <w:p w14:paraId="62EA1C5F" w14:textId="14087B7F" w:rsidR="006A4CD7" w:rsidRPr="006A4CD7" w:rsidRDefault="006A4CD7" w:rsidP="00BF5CD7">
      <w:pPr>
        <w:pStyle w:val="Heading1"/>
      </w:pPr>
      <w:bookmarkStart w:id="100" w:name="_Toc117512397"/>
      <w:r w:rsidRPr="006A4CD7">
        <w:t>Introductory Comment</w:t>
      </w:r>
      <w:bookmarkEnd w:id="100"/>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bookmarkStart w:id="101" w:name="_Hlk89761570"/>
      <w:r w:rsidRPr="006A4CD7">
        <w:rPr>
          <w:rFonts w:cs="Times New Roman"/>
          <w:szCs w:val="24"/>
        </w:rPr>
        <w:t>§</w:t>
      </w:r>
      <w:bookmarkEnd w:id="101"/>
      <w:r w:rsidRPr="006A4CD7">
        <w:rPr>
          <w:rFonts w:cs="Times New Roman"/>
          <w:szCs w:val="24"/>
        </w:rPr>
        <w:t xml:space="preserve"> 30104, and under the general maritime law for unseaworthiness and for maintenance and cure.  A plaintiff must be a “seaman” in order to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w:t>
      </w:r>
      <w:proofErr w:type="spellStart"/>
      <w:r w:rsidRPr="006A4CD7">
        <w:rPr>
          <w:rFonts w:cs="Times New Roman"/>
          <w:szCs w:val="24"/>
        </w:rPr>
        <w:t>Schoenbaum</w:t>
      </w:r>
      <w:proofErr w:type="spellEnd"/>
      <w:r w:rsidRPr="006A4CD7">
        <w:rPr>
          <w:rFonts w:cs="Times New Roman"/>
          <w:szCs w:val="24"/>
        </w:rPr>
        <w:t xml:space="preserve">,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similar to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w:t>
      </w:r>
      <w:proofErr w:type="spellStart"/>
      <w:r w:rsidRPr="006A4CD7">
        <w:rPr>
          <w:rFonts w:cs="Times New Roman"/>
          <w:i/>
          <w:iCs/>
          <w:szCs w:val="24"/>
        </w:rPr>
        <w:t>Chandris</w:t>
      </w:r>
      <w:proofErr w:type="spellEnd"/>
      <w:r w:rsidRPr="006A4CD7">
        <w:rPr>
          <w:rFonts w:cs="Times New Roman"/>
          <w:i/>
          <w:iCs/>
          <w:szCs w:val="24"/>
        </w:rPr>
        <w:t xml:space="preserve">, Inc. v. </w:t>
      </w:r>
      <w:proofErr w:type="spellStart"/>
      <w:r w:rsidRPr="006A4CD7">
        <w:rPr>
          <w:rFonts w:cs="Times New Roman"/>
          <w:i/>
          <w:iCs/>
          <w:szCs w:val="24"/>
        </w:rPr>
        <w:t>Latsis</w:t>
      </w:r>
      <w:proofErr w:type="spellEnd"/>
      <w:r w:rsidRPr="006A4CD7">
        <w:rPr>
          <w:rFonts w:cs="Times New Roman"/>
          <w:i/>
          <w:iCs/>
          <w:szCs w:val="24"/>
        </w:rPr>
        <w:t xml:space="preserve">,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03151374" w:rsidR="006A4CD7" w:rsidRPr="006A4CD7" w:rsidRDefault="006A4CD7" w:rsidP="00432687">
      <w:pPr>
        <w:pStyle w:val="Heading2"/>
      </w:pPr>
      <w:r w:rsidRPr="006A4CD7">
        <w:br w:type="page"/>
      </w:r>
      <w:bookmarkStart w:id="102" w:name="_Toc117512398"/>
      <w:r w:rsidRPr="006A4CD7">
        <w:lastRenderedPageBreak/>
        <w:t>7.1 S</w:t>
      </w:r>
      <w:r w:rsidR="004272A6">
        <w:t>eaman</w:t>
      </w:r>
      <w:r w:rsidRPr="006A4CD7">
        <w:t xml:space="preserve"> S</w:t>
      </w:r>
      <w:r w:rsidR="004272A6">
        <w:t>tatus</w:t>
      </w:r>
      <w:bookmarkEnd w:id="102"/>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recovery against the defendant under the Jones Act for negligence.  [[He] [She] also seeks recovery under [general maritime law for unseaworthiness] [and] [maintenance and cure].]  Only a “seaman” can bring these claims.  The parties dispute whether or not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that [he] [she] was a “seaman” in order to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4930CFD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w:t>
      </w:r>
      <w:r w:rsidR="007C35D5" w:rsidRPr="006A4CD7">
        <w:rPr>
          <w:rFonts w:cs="Times New Roman"/>
          <w:szCs w:val="24"/>
        </w:rPr>
        <w:t>boats but</w:t>
      </w:r>
      <w:r w:rsidRPr="006A4CD7">
        <w:rPr>
          <w:rFonts w:cs="Times New Roman"/>
          <w:szCs w:val="24"/>
        </w:rPr>
        <w:t xml:space="preserve">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12EAEE9A" w14:textId="77777777" w:rsidR="006E3EC6" w:rsidRDefault="006A4CD7" w:rsidP="0060759C">
      <w:pPr>
        <w:autoSpaceDE w:val="0"/>
        <w:autoSpaceDN w:val="0"/>
        <w:adjustRightInd w:val="0"/>
        <w:rPr>
          <w:rFonts w:cs="Times New Roman"/>
          <w:szCs w:val="24"/>
        </w:rPr>
      </w:pPr>
      <w:r w:rsidRPr="006A4CD7">
        <w:rPr>
          <w:rFonts w:cs="Times New Roman"/>
          <w:szCs w:val="24"/>
        </w:rPr>
        <w:tab/>
        <w:t xml:space="preserve">In order to recover for negligence under the Jones Act, under the doctrine of unseaworthiness, or under a claim for maintenance and cure, the plaintiff must be a “seaman” and must satisfy a two-element test.  </w:t>
      </w:r>
      <w:r w:rsidRPr="006A4CD7">
        <w:rPr>
          <w:rFonts w:cs="Times New Roman"/>
          <w:i/>
          <w:iCs/>
          <w:szCs w:val="24"/>
        </w:rPr>
        <w:t xml:space="preserve">See Harbor Tug &amp; Barge Co. v. </w:t>
      </w:r>
      <w:proofErr w:type="spellStart"/>
      <w:r w:rsidRPr="006A4CD7">
        <w:rPr>
          <w:rFonts w:cs="Times New Roman"/>
          <w:i/>
          <w:iCs/>
          <w:szCs w:val="24"/>
        </w:rPr>
        <w:t>Papai</w:t>
      </w:r>
      <w:proofErr w:type="spellEnd"/>
      <w:r w:rsidRPr="006A4CD7">
        <w:rPr>
          <w:rFonts w:cs="Times New Roman"/>
          <w:szCs w:val="24"/>
        </w:rPr>
        <w:t xml:space="preserve">, 520 U.S. 548, 554 (1997); </w:t>
      </w:r>
      <w:proofErr w:type="spellStart"/>
      <w:r w:rsidRPr="006A4CD7">
        <w:rPr>
          <w:rFonts w:cs="Times New Roman"/>
          <w:i/>
          <w:iCs/>
          <w:szCs w:val="24"/>
        </w:rPr>
        <w:t>Chandris</w:t>
      </w:r>
      <w:proofErr w:type="spellEnd"/>
      <w:r w:rsidRPr="006A4CD7">
        <w:rPr>
          <w:rFonts w:cs="Times New Roman"/>
          <w:i/>
          <w:iCs/>
          <w:szCs w:val="24"/>
        </w:rPr>
        <w:t xml:space="preserve">, Inc. v. </w:t>
      </w:r>
      <w:proofErr w:type="spellStart"/>
      <w:r w:rsidRPr="006A4CD7">
        <w:rPr>
          <w:rFonts w:cs="Times New Roman"/>
          <w:i/>
          <w:iCs/>
          <w:szCs w:val="24"/>
        </w:rPr>
        <w:t>Latsis</w:t>
      </w:r>
      <w:proofErr w:type="spellEnd"/>
      <w:r w:rsidRPr="006A4CD7">
        <w:rPr>
          <w:rFonts w:cs="Times New Roman"/>
          <w:szCs w:val="24"/>
        </w:rPr>
        <w:t xml:space="preserve">, 515 U.S. 347, 355 (1995); </w:t>
      </w:r>
      <w:proofErr w:type="spellStart"/>
      <w:r w:rsidRPr="006A4CD7">
        <w:rPr>
          <w:rFonts w:cs="Times New Roman"/>
          <w:i/>
          <w:iCs/>
          <w:szCs w:val="24"/>
        </w:rPr>
        <w:t>Gizoni</w:t>
      </w:r>
      <w:proofErr w:type="spellEnd"/>
      <w:r w:rsidRPr="006A4CD7">
        <w:rPr>
          <w:rFonts w:cs="Times New Roman"/>
          <w:i/>
          <w:iCs/>
          <w:szCs w:val="24"/>
        </w:rPr>
        <w:t xml:space="preserve"> v. Sw. Marine Inc.</w:t>
      </w:r>
      <w:r w:rsidRPr="006A4CD7">
        <w:rPr>
          <w:rFonts w:cs="Times New Roman"/>
          <w:szCs w:val="24"/>
        </w:rPr>
        <w:t xml:space="preserve">, 56 F.3d 1138, 1141 (9th Cir. 1995).  The seaman inquiry is a mixed question of law and fact, and when necessary, should be submitted to the jury.  </w:t>
      </w:r>
      <w:proofErr w:type="spellStart"/>
      <w:r w:rsidRPr="006A4CD7">
        <w:rPr>
          <w:rFonts w:cs="Times New Roman"/>
          <w:i/>
          <w:iCs/>
          <w:szCs w:val="24"/>
        </w:rPr>
        <w:t>Delange</w:t>
      </w:r>
      <w:proofErr w:type="spellEnd"/>
      <w:r w:rsidRPr="006A4CD7">
        <w:rPr>
          <w:rFonts w:cs="Times New Roman"/>
          <w:i/>
          <w:iCs/>
          <w:szCs w:val="24"/>
        </w:rPr>
        <w:t xml:space="preserv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Sw. Marine Inc. v. </w:t>
      </w:r>
      <w:proofErr w:type="spellStart"/>
      <w:r w:rsidRPr="006A4CD7">
        <w:rPr>
          <w:rFonts w:cs="Times New Roman"/>
          <w:i/>
          <w:iCs/>
          <w:szCs w:val="24"/>
        </w:rPr>
        <w:t>Gizoni</w:t>
      </w:r>
      <w:proofErr w:type="spellEnd"/>
      <w:r w:rsidRPr="006A4CD7">
        <w:rPr>
          <w:rFonts w:cs="Times New Roman"/>
          <w:szCs w:val="24"/>
        </w:rPr>
        <w:t>, 502 U.S. 81 (1991);</w:t>
      </w:r>
      <w:r w:rsidRPr="006A4CD7">
        <w:rPr>
          <w:rFonts w:cs="Times New Roman"/>
          <w:i/>
          <w:iCs/>
          <w:szCs w:val="24"/>
        </w:rPr>
        <w:t xml:space="preserve"> McDermott Int’l v. </w:t>
      </w:r>
      <w:proofErr w:type="spellStart"/>
      <w:r w:rsidRPr="006A4CD7">
        <w:rPr>
          <w:rFonts w:cs="Times New Roman"/>
          <w:i/>
          <w:iCs/>
          <w:szCs w:val="24"/>
        </w:rPr>
        <w:t>Wilander</w:t>
      </w:r>
      <w:proofErr w:type="spellEnd"/>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proofErr w:type="spellStart"/>
      <w:r w:rsidRPr="006A4CD7">
        <w:rPr>
          <w:rFonts w:cs="Times New Roman"/>
          <w:i/>
          <w:iCs/>
          <w:szCs w:val="24"/>
        </w:rPr>
        <w:t>Papai</w:t>
      </w:r>
      <w:proofErr w:type="spellEnd"/>
      <w:r w:rsidRPr="006A4CD7">
        <w:rPr>
          <w:rFonts w:cs="Times New Roman"/>
          <w:szCs w:val="24"/>
        </w:rPr>
        <w:t xml:space="preserve">, 520 U.S. 548; </w:t>
      </w:r>
      <w:proofErr w:type="spellStart"/>
      <w:r w:rsidRPr="006A4CD7">
        <w:rPr>
          <w:rFonts w:cs="Times New Roman"/>
          <w:i/>
          <w:iCs/>
          <w:szCs w:val="24"/>
        </w:rPr>
        <w:t>Chandris</w:t>
      </w:r>
      <w:proofErr w:type="spellEnd"/>
      <w:r w:rsidRPr="006A4CD7">
        <w:rPr>
          <w:rFonts w:cs="Times New Roman"/>
          <w:i/>
          <w:iCs/>
          <w:szCs w:val="24"/>
        </w:rPr>
        <w:t xml:space="preserve">,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proofErr w:type="spellStart"/>
      <w:r w:rsidRPr="006A4CD7">
        <w:rPr>
          <w:rFonts w:cs="Times New Roman"/>
          <w:i/>
          <w:iCs/>
          <w:szCs w:val="24"/>
        </w:rPr>
        <w:t>Chandris</w:t>
      </w:r>
      <w:proofErr w:type="spellEnd"/>
      <w:r w:rsidRPr="006A4CD7">
        <w:rPr>
          <w:rFonts w:cs="Times New Roman"/>
          <w:i/>
          <w:iCs/>
          <w:szCs w:val="24"/>
        </w:rPr>
        <w:t xml:space="preserve">, </w:t>
      </w:r>
      <w:r w:rsidRPr="006A4CD7">
        <w:rPr>
          <w:rFonts w:cs="Times New Roman"/>
          <w:szCs w:val="24"/>
        </w:rPr>
        <w:t xml:space="preserve">515 U.S. at 369-70.  In </w:t>
      </w:r>
      <w:proofErr w:type="spellStart"/>
      <w:r w:rsidRPr="006A4CD7">
        <w:rPr>
          <w:rFonts w:cs="Times New Roman"/>
          <w:i/>
          <w:iCs/>
          <w:szCs w:val="24"/>
        </w:rPr>
        <w:t>Chandris</w:t>
      </w:r>
      <w:proofErr w:type="spellEnd"/>
      <w:r w:rsidRPr="006A4CD7">
        <w:rPr>
          <w:rFonts w:cs="Times New Roman"/>
          <w:szCs w:val="24"/>
        </w:rPr>
        <w:t xml:space="preserve">, the Court said the essential test for seaman status “comprises two basic elements: The worker’s duties must contribute to the function of the vessel or to the </w:t>
      </w:r>
    </w:p>
    <w:p w14:paraId="77F7F76F" w14:textId="3709ED8C"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accomplishment of its mission, and the worker must have a connection to a vessel in navigation (or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165F452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w:t>
      </w:r>
      <w:r w:rsidR="007C35D5" w:rsidRPr="006A4CD7">
        <w:rPr>
          <w:rFonts w:cs="Times New Roman"/>
          <w:szCs w:val="24"/>
        </w:rPr>
        <w:t>test and</w:t>
      </w:r>
      <w:r w:rsidRPr="006A4CD7">
        <w:rPr>
          <w:rFonts w:cs="Times New Roman"/>
          <w:szCs w:val="24"/>
        </w:rPr>
        <w:t xml:space="preserve">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w:t>
      </w:r>
      <w:r w:rsidR="007C35D5" w:rsidRPr="006A4CD7">
        <w:rPr>
          <w:rFonts w:cs="Times New Roman"/>
          <w:szCs w:val="24"/>
        </w:rPr>
        <w:t>: “</w:t>
      </w:r>
      <w:r w:rsidRPr="006A4CD7">
        <w:rPr>
          <w:rFonts w:cs="Times New Roman"/>
          <w:szCs w:val="24"/>
        </w:rPr>
        <w:t xml:space="preserve">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proofErr w:type="spellStart"/>
      <w:r w:rsidRPr="006A4CD7">
        <w:rPr>
          <w:rFonts w:cs="Times New Roman"/>
          <w:i/>
          <w:iCs/>
          <w:szCs w:val="24"/>
        </w:rPr>
        <w:t>Gizoni</w:t>
      </w:r>
      <w:proofErr w:type="spellEnd"/>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The Longshore and Harbor Workers’ Compensation Act (LHWCA) excludes from its coverage “a master or member of a crew of any vessel.”  33 U.S.C. § 902(3)(G).  Masters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376B5E5B" w:rsidR="006A4CD7" w:rsidRPr="006A4CD7" w:rsidRDefault="006A4CD7" w:rsidP="00455B81">
      <w:pPr>
        <w:pStyle w:val="Heading2"/>
      </w:pPr>
      <w:r w:rsidRPr="006A4CD7">
        <w:br w:type="page"/>
      </w:r>
      <w:bookmarkStart w:id="103" w:name="_Toc117512399"/>
      <w:r w:rsidRPr="006A4CD7">
        <w:lastRenderedPageBreak/>
        <w:t>7.2 J</w:t>
      </w:r>
      <w:r w:rsidR="004272A6">
        <w:t>ones</w:t>
      </w:r>
      <w:r w:rsidRPr="006A4CD7">
        <w:t xml:space="preserve"> A</w:t>
      </w:r>
      <w:r w:rsidR="004272A6">
        <w:t>ct</w:t>
      </w:r>
      <w:r w:rsidRPr="006A4CD7">
        <w:t xml:space="preserve"> N</w:t>
      </w:r>
      <w:r w:rsidR="004272A6">
        <w:t>egligence</w:t>
      </w:r>
      <w:r w:rsidRPr="006A4CD7">
        <w:t xml:space="preserve"> C</w:t>
      </w:r>
      <w:r w:rsidR="004272A6">
        <w:t>laim</w:t>
      </w:r>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r w:rsidR="00DC3111">
        <w:t xml:space="preserve"> </w:t>
      </w:r>
      <w:r w:rsidRPr="006A4CD7">
        <w:t>(46 U.S.C. § 30104)</w:t>
      </w:r>
      <w:bookmarkEnd w:id="103"/>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seaman;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3BF922AE"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r w:rsidRPr="006A4CD7">
        <w:rPr>
          <w:rFonts w:cs="Times New Roman"/>
          <w:i/>
          <w:iCs/>
          <w:szCs w:val="24"/>
        </w:rPr>
        <w:t>In re Hechinger</w:t>
      </w:r>
      <w:r w:rsidRPr="006A4CD7">
        <w:rPr>
          <w:rFonts w:cs="Times New Roman"/>
          <w:szCs w:val="24"/>
        </w:rPr>
        <w:t>, 890 F.2d 202, 208 (9th Cir. 1989</w:t>
      </w:r>
      <w:r w:rsidR="007C35D5" w:rsidRPr="006A4CD7">
        <w:rPr>
          <w:rFonts w:cs="Times New Roman"/>
          <w:szCs w:val="24"/>
        </w:rPr>
        <w:t>) (</w:t>
      </w:r>
      <w:r w:rsidRPr="006A4CD7">
        <w:rPr>
          <w:rFonts w:cs="Times New Roman"/>
          <w:szCs w:val="24"/>
        </w:rPr>
        <w:t xml:space="preserve">“To recover under a Jones Act claim, a plaintiff has the burden of establishing by a preponderance of the evidence, negligence on the part of his employer . . . [and] that the act of negligence was a cause, however slight, of his injuries.” (quotations and citation omitted)).  </w:t>
      </w:r>
      <w:r w:rsidRPr="006A4CD7">
        <w:rPr>
          <w:rFonts w:cs="Times New Roman"/>
          <w:i/>
          <w:iCs/>
          <w:szCs w:val="24"/>
        </w:rPr>
        <w:t xml:space="preserve">See also </w:t>
      </w:r>
      <w:proofErr w:type="spellStart"/>
      <w:r w:rsidRPr="006A4CD7">
        <w:rPr>
          <w:rFonts w:cs="Times New Roman"/>
          <w:i/>
          <w:iCs/>
          <w:szCs w:val="24"/>
        </w:rPr>
        <w:t>Mohn</w:t>
      </w:r>
      <w:proofErr w:type="spellEnd"/>
      <w:r w:rsidRPr="006A4CD7">
        <w:rPr>
          <w:rFonts w:cs="Times New Roman"/>
          <w:i/>
          <w:iCs/>
          <w:szCs w:val="24"/>
        </w:rPr>
        <w:t xml:space="preserve">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34431544" w:rsidR="006A4CD7" w:rsidRPr="006A4CD7" w:rsidRDefault="006A4CD7" w:rsidP="00455B81">
      <w:pPr>
        <w:pStyle w:val="Heading2"/>
      </w:pPr>
      <w:r w:rsidRPr="006A4CD7">
        <w:br w:type="page"/>
      </w:r>
      <w:bookmarkStart w:id="104" w:name="_Toc117512400"/>
      <w:r w:rsidRPr="006A4CD7">
        <w:lastRenderedPageBreak/>
        <w:t xml:space="preserve">7.3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—N</w:t>
      </w:r>
      <w:r w:rsidR="004272A6">
        <w:t>egligence</w:t>
      </w:r>
      <w:r w:rsidRPr="006A4CD7">
        <w:t xml:space="preserve"> D</w:t>
      </w:r>
      <w:r w:rsidR="004272A6">
        <w:t>efined</w:t>
      </w:r>
      <w:bookmarkEnd w:id="104"/>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31230467" w:rsidR="006A4CD7" w:rsidRPr="006A4CD7" w:rsidRDefault="006A4CD7" w:rsidP="00455B81">
      <w:pPr>
        <w:pStyle w:val="Heading2"/>
      </w:pPr>
      <w:r w:rsidRPr="006A4CD7">
        <w:br w:type="page"/>
      </w:r>
      <w:bookmarkStart w:id="105" w:name="_Toc117512401"/>
      <w:r w:rsidRPr="006A4CD7">
        <w:lastRenderedPageBreak/>
        <w:t xml:space="preserve">7.4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—C</w:t>
      </w:r>
      <w:r w:rsidR="004272A6">
        <w:t>ausation</w:t>
      </w:r>
      <w:r w:rsidRPr="006A4CD7">
        <w:t xml:space="preserve"> D</w:t>
      </w:r>
      <w:r w:rsidR="004272A6">
        <w:t>efined</w:t>
      </w:r>
      <w:bookmarkEnd w:id="105"/>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proofErr w:type="spellStart"/>
      <w:r w:rsidRPr="006A4CD7">
        <w:rPr>
          <w:rFonts w:cs="Times New Roman"/>
          <w:i/>
          <w:iCs/>
          <w:szCs w:val="24"/>
        </w:rPr>
        <w:t>Ribitzki</w:t>
      </w:r>
      <w:proofErr w:type="spellEnd"/>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4F6E9086" w:rsidR="006A4CD7" w:rsidRPr="006A4CD7" w:rsidRDefault="006A4CD7" w:rsidP="00455B81">
      <w:pPr>
        <w:pStyle w:val="Heading2"/>
      </w:pPr>
      <w:r w:rsidRPr="006A4CD7">
        <w:br w:type="page"/>
      </w:r>
      <w:bookmarkStart w:id="106" w:name="_Toc117512402"/>
      <w:r w:rsidRPr="006A4CD7">
        <w:lastRenderedPageBreak/>
        <w:t>7.5 U</w:t>
      </w:r>
      <w:r w:rsidR="004272A6">
        <w:t>nseaworthiness</w:t>
      </w:r>
      <w:r w:rsidRPr="006A4CD7">
        <w:t xml:space="preserve"> C</w:t>
      </w:r>
      <w:r w:rsidR="004272A6">
        <w:t>laim</w:t>
      </w:r>
      <w:bookmarkStart w:id="107" w:name="_Hlk87438059"/>
      <w:r w:rsidRPr="006A4CD7">
        <w:t>—</w:t>
      </w:r>
      <w:bookmarkEnd w:id="107"/>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bookmarkEnd w:id="106"/>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a seaman;</w:t>
      </w:r>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270ED9D2" w:rsidR="006A4CD7" w:rsidRPr="006A4CD7" w:rsidRDefault="006A4CD7" w:rsidP="00455B81">
      <w:pPr>
        <w:pStyle w:val="Heading2"/>
      </w:pPr>
      <w:r w:rsidRPr="006A4CD7">
        <w:br w:type="page"/>
      </w:r>
      <w:bookmarkStart w:id="108" w:name="_Toc117512403"/>
      <w:r w:rsidRPr="006A4CD7">
        <w:lastRenderedPageBreak/>
        <w:t>7.6 U</w:t>
      </w:r>
      <w:r w:rsidR="004272A6">
        <w:t>nseaworthiness</w:t>
      </w:r>
      <w:r w:rsidR="004272A6" w:rsidRPr="006A4CD7">
        <w:t>—</w:t>
      </w:r>
      <w:r w:rsidRPr="006A4CD7">
        <w:t>D</w:t>
      </w:r>
      <w:r w:rsidR="004272A6">
        <w:t>efined</w:t>
      </w:r>
      <w:bookmarkEnd w:id="108"/>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seaworthy if the vessel and all of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w:t>
      </w:r>
      <w:proofErr w:type="spellStart"/>
      <w:r w:rsidRPr="006A4CD7">
        <w:rPr>
          <w:rFonts w:cs="Times New Roman"/>
          <w:i/>
          <w:iCs/>
          <w:szCs w:val="24"/>
        </w:rPr>
        <w:t>Pashby</w:t>
      </w:r>
      <w:proofErr w:type="spellEnd"/>
      <w:r w:rsidRPr="006A4CD7">
        <w:rPr>
          <w:rFonts w:cs="Times New Roman"/>
          <w:i/>
          <w:iCs/>
          <w:szCs w:val="24"/>
        </w:rPr>
        <w:t xml:space="preserve">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139134E3" w:rsidR="006A4CD7" w:rsidRPr="006A4CD7" w:rsidRDefault="006A4CD7" w:rsidP="00455B81">
      <w:pPr>
        <w:pStyle w:val="Heading2"/>
      </w:pPr>
      <w:r w:rsidRPr="006A4CD7">
        <w:br w:type="page"/>
      </w:r>
      <w:bookmarkStart w:id="109" w:name="_Toc117512404"/>
      <w:r w:rsidRPr="006A4CD7">
        <w:lastRenderedPageBreak/>
        <w:t xml:space="preserve">7.7 </w:t>
      </w:r>
      <w:r w:rsidR="004272A6" w:rsidRPr="006A4CD7">
        <w:t>U</w:t>
      </w:r>
      <w:r w:rsidR="004272A6">
        <w:t>nseaworthiness</w:t>
      </w:r>
      <w:r w:rsidR="004272A6" w:rsidRPr="006A4CD7">
        <w:t xml:space="preserve"> </w:t>
      </w:r>
      <w:r w:rsidRPr="006A4CD7">
        <w:t>—C</w:t>
      </w:r>
      <w:r w:rsidR="004272A6">
        <w:t>ausation</w:t>
      </w:r>
      <w:r w:rsidRPr="006A4CD7">
        <w:t xml:space="preserve"> D</w:t>
      </w:r>
      <w:r w:rsidR="004272A6">
        <w:t>efined</w:t>
      </w:r>
      <w:bookmarkEnd w:id="109"/>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w:t>
      </w:r>
      <w:proofErr w:type="spellStart"/>
      <w:r w:rsidRPr="006A4CD7">
        <w:rPr>
          <w:rFonts w:cs="Times New Roman"/>
          <w:i/>
          <w:iCs/>
          <w:szCs w:val="24"/>
        </w:rPr>
        <w:t>Ribitzki</w:t>
      </w:r>
      <w:proofErr w:type="spellEnd"/>
      <w:r w:rsidRPr="006A4CD7">
        <w:rPr>
          <w:rFonts w:cs="Times New Roman"/>
          <w:i/>
          <w:iCs/>
          <w:szCs w:val="24"/>
        </w:rPr>
        <w:t xml:space="preserve"> v. </w:t>
      </w:r>
      <w:proofErr w:type="spellStart"/>
      <w:r w:rsidRPr="006A4CD7">
        <w:rPr>
          <w:rFonts w:cs="Times New Roman"/>
          <w:i/>
          <w:iCs/>
          <w:szCs w:val="24"/>
        </w:rPr>
        <w:t>Canmar</w:t>
      </w:r>
      <w:proofErr w:type="spellEnd"/>
      <w:r w:rsidRPr="006A4CD7">
        <w:rPr>
          <w:rFonts w:cs="Times New Roman"/>
          <w:i/>
          <w:iCs/>
          <w:szCs w:val="24"/>
        </w:rPr>
        <w:t xml:space="preserve"> Reading &amp; Bates, Ltd. </w:t>
      </w:r>
      <w:proofErr w:type="spellStart"/>
      <w:r w:rsidRPr="006A4CD7">
        <w:rPr>
          <w:rFonts w:cs="Times New Roman"/>
          <w:i/>
          <w:iCs/>
          <w:szCs w:val="24"/>
        </w:rPr>
        <w:t>P’ship</w:t>
      </w:r>
      <w:proofErr w:type="spellEnd"/>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329366DE" w:rsidR="006A4CD7" w:rsidRPr="006A4CD7" w:rsidRDefault="006A4CD7" w:rsidP="00455B81">
      <w:pPr>
        <w:pStyle w:val="Heading2"/>
      </w:pPr>
      <w:r w:rsidRPr="006A4CD7">
        <w:br w:type="page"/>
      </w:r>
      <w:bookmarkStart w:id="110" w:name="_Toc117512405"/>
      <w:r w:rsidRPr="006A4CD7">
        <w:lastRenderedPageBreak/>
        <w:t>7.8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—D</w:t>
      </w:r>
      <w:r w:rsidR="004272A6">
        <w:t>amages</w:t>
      </w:r>
      <w:r w:rsidRPr="006A4CD7">
        <w:t>—P</w:t>
      </w:r>
      <w:r w:rsidR="004272A6">
        <w:t>roof</w:t>
      </w:r>
      <w:bookmarkEnd w:id="110"/>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w:t>
      </w:r>
      <w:proofErr w:type="spellStart"/>
      <w:r w:rsidRPr="006A4CD7">
        <w:rPr>
          <w:rFonts w:cs="Times New Roman"/>
          <w:i/>
          <w:iCs/>
          <w:szCs w:val="24"/>
        </w:rPr>
        <w:t>Folkestad</w:t>
      </w:r>
      <w:proofErr w:type="spellEnd"/>
      <w:r w:rsidRPr="006A4CD7">
        <w:rPr>
          <w:rFonts w:cs="Times New Roman"/>
          <w:i/>
          <w:iCs/>
          <w:szCs w:val="24"/>
        </w:rPr>
        <w:t xml:space="preserve"> v. Burlington N., Inc.</w:t>
      </w:r>
      <w:r w:rsidRPr="006A4CD7">
        <w:rPr>
          <w:rFonts w:cs="Times New Roman"/>
          <w:szCs w:val="24"/>
        </w:rPr>
        <w:t xml:space="preserve">, 813 F.2d 1377, 1380 n.3 (9th Cir. 1987) (citing </w:t>
      </w:r>
      <w:r w:rsidRPr="006A4CD7">
        <w:rPr>
          <w:rFonts w:cs="Times New Roman"/>
          <w:i/>
          <w:iCs/>
          <w:szCs w:val="24"/>
        </w:rPr>
        <w:t xml:space="preserve">Gypsum Carrier, Inc. v. </w:t>
      </w:r>
      <w:proofErr w:type="spellStart"/>
      <w:r w:rsidRPr="006A4CD7">
        <w:rPr>
          <w:rFonts w:cs="Times New Roman"/>
          <w:i/>
          <w:iCs/>
          <w:szCs w:val="24"/>
        </w:rPr>
        <w:t>Handelsman</w:t>
      </w:r>
      <w:proofErr w:type="spellEnd"/>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1F14320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is a separate general maritime law doctrine, not arising from the Jones Act or doctrine of unseaworthiness.  It is not tied to the period that the plaintiff would have worked aboard </w:t>
      </w:r>
      <w:r w:rsidR="007C35D5" w:rsidRPr="006A4CD7">
        <w:rPr>
          <w:rFonts w:cs="Times New Roman"/>
          <w:szCs w:val="24"/>
        </w:rPr>
        <w:t>ship but</w:t>
      </w:r>
      <w:r w:rsidRPr="006A4CD7">
        <w:rPr>
          <w:rFonts w:cs="Times New Roman"/>
          <w:szCs w:val="24"/>
        </w:rPr>
        <w:t xml:space="preserve">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64D11462" w:rsidR="006A4CD7" w:rsidRPr="006A4CD7" w:rsidRDefault="006A4CD7" w:rsidP="0060759C">
      <w:pPr>
        <w:autoSpaceDE w:val="0"/>
        <w:autoSpaceDN w:val="0"/>
        <w:adjustRightInd w:val="0"/>
        <w:rPr>
          <w:rFonts w:cs="Times New Roman"/>
          <w:szCs w:val="24"/>
        </w:rPr>
      </w:pPr>
      <w:r w:rsidRPr="006A4CD7">
        <w:rPr>
          <w:rFonts w:cs="Times New Roman"/>
          <w:i/>
          <w:iCs/>
          <w:szCs w:val="24"/>
        </w:rPr>
        <w:t xml:space="preserve">Group v. </w:t>
      </w:r>
      <w:proofErr w:type="spellStart"/>
      <w:r w:rsidRPr="006A4CD7">
        <w:rPr>
          <w:rFonts w:cs="Times New Roman"/>
          <w:i/>
          <w:iCs/>
          <w:szCs w:val="24"/>
        </w:rPr>
        <w:t>Batterton</w:t>
      </w:r>
      <w:proofErr w:type="spellEnd"/>
      <w:r w:rsidRPr="006A4CD7">
        <w:rPr>
          <w:rFonts w:cs="Times New Roman"/>
          <w:szCs w:val="24"/>
        </w:rPr>
        <w:t xml:space="preserve">, 139 </w:t>
      </w:r>
      <w:proofErr w:type="spellStart"/>
      <w:r w:rsidRPr="006A4CD7">
        <w:rPr>
          <w:rFonts w:cs="Times New Roman"/>
          <w:szCs w:val="24"/>
        </w:rPr>
        <w:t>S.Ct</w:t>
      </w:r>
      <w:proofErr w:type="spellEnd"/>
      <w:r w:rsidRPr="006A4CD7">
        <w:rPr>
          <w:rFonts w:cs="Times New Roman"/>
          <w:szCs w:val="24"/>
        </w:rPr>
        <w:t xml:space="preserve">. 2275, 2287 (2019), </w:t>
      </w:r>
      <w:proofErr w:type="spellStart"/>
      <w:r w:rsidRPr="006A4CD7">
        <w:rPr>
          <w:rFonts w:cs="Times New Roman"/>
          <w:i/>
          <w:iCs/>
          <w:szCs w:val="24"/>
        </w:rPr>
        <w:t>rev’g</w:t>
      </w:r>
      <w:proofErr w:type="spellEnd"/>
      <w:r w:rsidRPr="006A4CD7">
        <w:rPr>
          <w:rFonts w:cs="Times New Roman"/>
          <w:szCs w:val="24"/>
        </w:rPr>
        <w:t xml:space="preserve"> </w:t>
      </w:r>
      <w:proofErr w:type="spellStart"/>
      <w:r w:rsidRPr="006A4CD7">
        <w:rPr>
          <w:rFonts w:cs="Times New Roman"/>
          <w:i/>
          <w:iCs/>
          <w:szCs w:val="24"/>
        </w:rPr>
        <w:t>Batteron</w:t>
      </w:r>
      <w:proofErr w:type="spellEnd"/>
      <w:r w:rsidRPr="006A4CD7">
        <w:rPr>
          <w:rFonts w:cs="Times New Roman"/>
          <w:i/>
          <w:iCs/>
          <w:szCs w:val="24"/>
        </w:rPr>
        <w:t xml:space="preserve"> v. Dutra Group</w:t>
      </w:r>
      <w:r w:rsidRPr="006A4CD7">
        <w:rPr>
          <w:rFonts w:cs="Times New Roman"/>
          <w:szCs w:val="24"/>
        </w:rPr>
        <w:t xml:space="preserve">, 880 F.3d 1089 (9th Cir. 2018).  Nor are punitive damages available for Jones Act claims.  </w:t>
      </w:r>
      <w:proofErr w:type="spellStart"/>
      <w:r w:rsidRPr="006A4CD7">
        <w:rPr>
          <w:rFonts w:cs="Times New Roman"/>
          <w:i/>
          <w:iCs/>
          <w:szCs w:val="24"/>
        </w:rPr>
        <w:t>Evich</w:t>
      </w:r>
      <w:proofErr w:type="spellEnd"/>
      <w:r w:rsidRPr="006A4CD7">
        <w:rPr>
          <w:rFonts w:cs="Times New Roman"/>
          <w:i/>
          <w:iCs/>
          <w:szCs w:val="24"/>
        </w:rPr>
        <w:t xml:space="preserve"> v. Morris</w:t>
      </w:r>
      <w:r w:rsidRPr="006A4CD7">
        <w:rPr>
          <w:rFonts w:cs="Times New Roman"/>
          <w:szCs w:val="24"/>
        </w:rPr>
        <w:t xml:space="preserve">, 819 F.2d 256, 258 (9th Cir. 1987) (citing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6BD1D56C" w14:textId="4E016C2E" w:rsidR="006A4CD7" w:rsidRPr="006A4CD7" w:rsidRDefault="006A4CD7" w:rsidP="00DC3111">
      <w:pPr>
        <w:pStyle w:val="Heading2"/>
      </w:pPr>
      <w:r w:rsidRPr="006A4CD7">
        <w:br w:type="page"/>
      </w:r>
      <w:bookmarkStart w:id="111" w:name="_Toc117512406"/>
      <w:r w:rsidRPr="006A4CD7">
        <w:lastRenderedPageBreak/>
        <w:t>7.9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—P</w:t>
      </w:r>
      <w:r w:rsidR="004272A6">
        <w:t>laintiff</w:t>
      </w:r>
      <w:r w:rsidRPr="006A4CD7">
        <w:t>’</w:t>
      </w:r>
      <w:r w:rsidR="004272A6">
        <w:t>s</w:t>
      </w:r>
      <w:r w:rsidRPr="006A4CD7">
        <w:t xml:space="preserve"> N</w:t>
      </w:r>
      <w:r w:rsidR="004272A6">
        <w:t>egligence</w:t>
      </w:r>
      <w:r w:rsidRPr="006A4CD7">
        <w:t>—R</w:t>
      </w:r>
      <w:r w:rsidR="004272A6">
        <w:t>eduction</w:t>
      </w:r>
      <w:r w:rsidRPr="006A4CD7">
        <w:t xml:space="preserve"> </w:t>
      </w:r>
      <w:r w:rsidR="004272A6">
        <w:t>of</w:t>
      </w:r>
      <w:r w:rsidRPr="006A4CD7">
        <w:t xml:space="preserve"> D</w:t>
      </w:r>
      <w:r w:rsidR="004272A6">
        <w:t>amages</w:t>
      </w:r>
      <w:bookmarkEnd w:id="111"/>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negligent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4407D08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as a result of the plaintiff’s comparative negligence, is applicable to actions under both the Jones Act and general maritime law.  </w:t>
      </w:r>
      <w:r w:rsidRPr="006A4CD7">
        <w:rPr>
          <w:rFonts w:cs="Times New Roman"/>
          <w:i/>
          <w:iCs/>
          <w:szCs w:val="24"/>
        </w:rPr>
        <w:t xml:space="preserve">See </w:t>
      </w:r>
      <w:proofErr w:type="spellStart"/>
      <w:r w:rsidRPr="006A4CD7">
        <w:rPr>
          <w:rFonts w:cs="Times New Roman"/>
          <w:i/>
          <w:iCs/>
          <w:szCs w:val="24"/>
        </w:rPr>
        <w:t>Fuszek</w:t>
      </w:r>
      <w:proofErr w:type="spellEnd"/>
      <w:r w:rsidRPr="006A4CD7">
        <w:rPr>
          <w:rFonts w:cs="Times New Roman"/>
          <w:i/>
          <w:iCs/>
          <w:szCs w:val="24"/>
        </w:rPr>
        <w:t xml:space="preserve"> v. Royal King Fisheries, </w:t>
      </w:r>
      <w:r w:rsidRPr="006A4CD7">
        <w:rPr>
          <w:rFonts w:cs="Times New Roman"/>
          <w:szCs w:val="24"/>
        </w:rPr>
        <w:t xml:space="preserve">98 F.3d 514, 516 (9th Cir. 1996);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xml:space="preserve">, 549 </w:t>
      </w:r>
      <w:r w:rsidRPr="006A4CD7">
        <w:rPr>
          <w:rFonts w:cs="Times New Roman"/>
          <w:szCs w:val="24"/>
        </w:rPr>
        <w:lastRenderedPageBreak/>
        <w:t>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as a result of a defendant’s violation of Coast Guard regulations. </w:t>
      </w:r>
      <w:r w:rsidRPr="006A4CD7">
        <w:rPr>
          <w:rFonts w:cs="Times New Roman"/>
          <w:i/>
          <w:iCs/>
          <w:szCs w:val="24"/>
        </w:rPr>
        <w:t xml:space="preserve"> See MacDonald v. </w:t>
      </w:r>
      <w:proofErr w:type="spellStart"/>
      <w:r w:rsidRPr="006A4CD7">
        <w:rPr>
          <w:rFonts w:cs="Times New Roman"/>
          <w:i/>
          <w:iCs/>
          <w:szCs w:val="24"/>
        </w:rPr>
        <w:t>Kahikolu</w:t>
      </w:r>
      <w:proofErr w:type="spellEnd"/>
      <w:r w:rsidRPr="006A4CD7">
        <w:rPr>
          <w:rFonts w:cs="Times New Roman"/>
          <w:i/>
          <w:iCs/>
          <w:szCs w:val="24"/>
        </w:rPr>
        <w:t xml:space="preserve">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proofErr w:type="spellStart"/>
      <w:r w:rsidRPr="006A4CD7">
        <w:rPr>
          <w:rFonts w:cs="Times New Roman"/>
          <w:i/>
          <w:iCs/>
          <w:szCs w:val="24"/>
        </w:rPr>
        <w:t>Fuszek</w:t>
      </w:r>
      <w:proofErr w:type="spellEnd"/>
      <w:r w:rsidRPr="006A4CD7">
        <w:rPr>
          <w:rFonts w:cs="Times New Roman"/>
          <w:i/>
          <w:iCs/>
          <w:szCs w:val="24"/>
        </w:rPr>
        <w:t>.</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proofErr w:type="spellStart"/>
      <w:r w:rsidRPr="006A4CD7">
        <w:rPr>
          <w:rFonts w:cs="Times New Roman"/>
          <w:i/>
          <w:iCs/>
          <w:szCs w:val="24"/>
        </w:rPr>
        <w:t>Simenoff</w:t>
      </w:r>
      <w:proofErr w:type="spellEnd"/>
      <w:r w:rsidRPr="006A4CD7">
        <w:rPr>
          <w:rFonts w:cs="Times New Roman"/>
          <w:i/>
          <w:iCs/>
          <w:szCs w:val="24"/>
        </w:rPr>
        <w:t xml:space="preserve"> v. </w:t>
      </w:r>
      <w:proofErr w:type="spellStart"/>
      <w:r w:rsidRPr="006A4CD7">
        <w:rPr>
          <w:rFonts w:cs="Times New Roman"/>
          <w:i/>
          <w:iCs/>
          <w:szCs w:val="24"/>
        </w:rPr>
        <w:t>Hiner</w:t>
      </w:r>
      <w:proofErr w:type="spellEnd"/>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137CB84C" w14:textId="3EBB907C" w:rsidR="006A4CD7" w:rsidRPr="006A4CD7" w:rsidRDefault="006A4CD7" w:rsidP="00CA6247">
      <w:pPr>
        <w:pStyle w:val="Heading2"/>
      </w:pPr>
      <w:r w:rsidRPr="006A4CD7">
        <w:br w:type="page"/>
      </w:r>
      <w:bookmarkStart w:id="112" w:name="_Toc117512407"/>
      <w:r w:rsidRPr="006A4CD7">
        <w:lastRenderedPageBreak/>
        <w:t xml:space="preserve">7.10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w:t>
      </w:r>
      <w:r w:rsidR="004272A6">
        <w:t>or</w:t>
      </w:r>
      <w:r w:rsidR="004272A6" w:rsidRPr="006A4CD7">
        <w:t xml:space="preserve"> U</w:t>
      </w:r>
      <w:r w:rsidR="004272A6">
        <w:t>nseaworthiness</w:t>
      </w:r>
      <w:r w:rsidR="004272A6" w:rsidRPr="006A4CD7">
        <w:t xml:space="preserve"> </w:t>
      </w:r>
      <w:r w:rsidRPr="006A4CD7">
        <w:t>—P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r w:rsidR="004272A6">
        <w:t>irections</w:t>
      </w:r>
      <w:bookmarkEnd w:id="112"/>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proofErr w:type="spellStart"/>
      <w:r w:rsidRPr="006A4CD7">
        <w:rPr>
          <w:rFonts w:cs="Times New Roman"/>
          <w:i/>
          <w:iCs/>
          <w:szCs w:val="24"/>
        </w:rPr>
        <w:t>Simenoff</w:t>
      </w:r>
      <w:proofErr w:type="spellEnd"/>
      <w:r w:rsidRPr="006A4CD7">
        <w:rPr>
          <w:rFonts w:cs="Times New Roman"/>
          <w:i/>
          <w:iCs/>
          <w:szCs w:val="24"/>
        </w:rPr>
        <w:t xml:space="preserve"> v. </w:t>
      </w:r>
      <w:proofErr w:type="spellStart"/>
      <w:r w:rsidRPr="006A4CD7">
        <w:rPr>
          <w:rFonts w:cs="Times New Roman"/>
          <w:i/>
          <w:iCs/>
          <w:szCs w:val="24"/>
        </w:rPr>
        <w:t>Hiner</w:t>
      </w:r>
      <w:proofErr w:type="spellEnd"/>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203FE918" w:rsidR="006A4CD7" w:rsidRPr="006A4CD7" w:rsidRDefault="006A4CD7" w:rsidP="00455B81">
      <w:pPr>
        <w:pStyle w:val="Heading2"/>
      </w:pPr>
      <w:r w:rsidRPr="006A4CD7">
        <w:br w:type="page"/>
      </w:r>
      <w:bookmarkStart w:id="113" w:name="_Toc117512408"/>
      <w:r w:rsidRPr="006A4CD7">
        <w:lastRenderedPageBreak/>
        <w:t xml:space="preserve">7.11 </w:t>
      </w:r>
      <w:r w:rsidR="00522ACE">
        <w:t>Maintenance and Cure—Elements and Burden of Proof</w:t>
      </w:r>
      <w:bookmarkEnd w:id="113"/>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a seaman;</w:t>
      </w:r>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28373D1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rate of maintenance includes the cost of obtaining room and board on land.  In determining this amount, you may consider the actual costs incurred by the </w:t>
      </w:r>
      <w:r w:rsidR="007C35D5" w:rsidRPr="006A4CD7">
        <w:rPr>
          <w:rFonts w:cs="Times New Roman"/>
          <w:szCs w:val="24"/>
        </w:rPr>
        <w:t>plaintiff but</w:t>
      </w:r>
      <w:r w:rsidRPr="006A4CD7">
        <w:rPr>
          <w:rFonts w:cs="Times New Roman"/>
          <w:szCs w:val="24"/>
        </w:rPr>
        <w:t xml:space="preserve"> shall not award an amount in excess of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5C2FAD90"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w:t>
      </w:r>
      <w:r w:rsidR="007C35D5" w:rsidRPr="006A4CD7">
        <w:rPr>
          <w:rFonts w:cs="Times New Roman"/>
          <w:szCs w:val="24"/>
        </w:rPr>
        <w:t>medicines,</w:t>
      </w:r>
      <w:r w:rsidRPr="006A4CD7">
        <w:rPr>
          <w:rFonts w:cs="Times New Roman"/>
          <w:szCs w:val="24"/>
        </w:rPr>
        <w:t xml:space="preserve">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entitled to receive maintenance and cure even though he was not injured as a result of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6B2763A0" w:rsid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6125E530" w14:textId="77777777" w:rsidR="00522ACE" w:rsidRPr="006A4CD7" w:rsidRDefault="00522ACE" w:rsidP="0060759C">
      <w:pPr>
        <w:autoSpaceDE w:val="0"/>
        <w:autoSpaceDN w:val="0"/>
        <w:adjustRightInd w:val="0"/>
        <w:rPr>
          <w:rFonts w:cs="Times New Roman"/>
          <w:szCs w:val="24"/>
        </w:rPr>
      </w:pP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5204BC6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7C35D5" w:rsidRPr="006A4CD7">
        <w:rPr>
          <w:rFonts w:cs="Times New Roman"/>
          <w:i/>
          <w:iCs/>
          <w:szCs w:val="24"/>
        </w:rPr>
        <w:t>See Day</w:t>
      </w:r>
      <w:r w:rsidRPr="006A4CD7">
        <w:rPr>
          <w:rFonts w:cs="Times New Roman"/>
          <w:i/>
          <w:iCs/>
          <w:szCs w:val="24"/>
        </w:rPr>
        <w:t xml:space="preserve">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83 F.3d 1106, 1108 (9th Cir. 1996</w:t>
      </w:r>
      <w:r w:rsidR="00E763D2" w:rsidRPr="006A4CD7">
        <w:rPr>
          <w:rFonts w:cs="Times New Roman"/>
          <w:szCs w:val="24"/>
        </w:rPr>
        <w:t xml:space="preserve">); </w:t>
      </w:r>
      <w:r w:rsidR="00E763D2" w:rsidRPr="006A4CD7">
        <w:rPr>
          <w:rFonts w:cs="Times New Roman"/>
          <w:i/>
          <w:iCs/>
          <w:szCs w:val="24"/>
        </w:rPr>
        <w:t>Gardiner</w:t>
      </w:r>
      <w:r w:rsidRPr="006A4CD7">
        <w:rPr>
          <w:rFonts w:cs="Times New Roman"/>
          <w:i/>
          <w:iCs/>
          <w:szCs w:val="24"/>
        </w:rPr>
        <w:t xml:space="preserve"> v. Sea–Land Serv.</w:t>
      </w:r>
      <w:r w:rsidRPr="006A4CD7">
        <w:rPr>
          <w:rFonts w:cs="Times New Roman"/>
          <w:szCs w:val="24"/>
        </w:rPr>
        <w:t>, 786 F.2d 943, 945-46 (9th Cir. 1986);</w:t>
      </w:r>
      <w:r w:rsidRPr="006A4CD7">
        <w:rPr>
          <w:rFonts w:cs="Times New Roman"/>
          <w:i/>
          <w:iCs/>
          <w:szCs w:val="24"/>
        </w:rPr>
        <w:t xml:space="preserve"> </w:t>
      </w:r>
      <w:proofErr w:type="spellStart"/>
      <w:r w:rsidRPr="006A4CD7">
        <w:rPr>
          <w:rFonts w:cs="Times New Roman"/>
          <w:i/>
          <w:iCs/>
          <w:szCs w:val="24"/>
        </w:rPr>
        <w:t>Kopczynski</w:t>
      </w:r>
      <w:proofErr w:type="spellEnd"/>
      <w:r w:rsidRPr="006A4CD7">
        <w:rPr>
          <w:rFonts w:cs="Times New Roman"/>
          <w:i/>
          <w:iCs/>
          <w:szCs w:val="24"/>
        </w:rPr>
        <w:t xml:space="preserve">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in the course of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3BD03F0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xml:space="preserve">, 883 F.2d 372, 378 (5th Cir. 1989) (“Maintenance is neither a substitute for wages nor is it to be considered in lieu of seaman’s wages, in whole or in </w:t>
      </w:r>
      <w:r w:rsidR="007C35D5" w:rsidRPr="006A4CD7">
        <w:rPr>
          <w:rFonts w:cs="Times New Roman"/>
          <w:szCs w:val="24"/>
        </w:rPr>
        <w:t xml:space="preserve">part” </w:t>
      </w:r>
      <w:r w:rsidR="00E763D2" w:rsidRPr="006A4CD7">
        <w:rPr>
          <w:rFonts w:cs="Times New Roman"/>
          <w:szCs w:val="24"/>
        </w:rPr>
        <w:t>. . ..</w:t>
      </w:r>
      <w:r w:rsidRPr="006A4CD7">
        <w:rPr>
          <w:rFonts w:cs="Times New Roman"/>
          <w:szCs w:val="24"/>
        </w:rPr>
        <w:t xml:space="preserve">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1791A0A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37F9151E" w:rsidR="006A4CD7" w:rsidRPr="006A4CD7" w:rsidRDefault="006A4CD7" w:rsidP="00455B81">
      <w:pPr>
        <w:pStyle w:val="Heading2"/>
      </w:pPr>
      <w:r w:rsidRPr="006A4CD7">
        <w:br w:type="page"/>
      </w:r>
      <w:bookmarkStart w:id="114" w:name="_Toc117512409"/>
      <w:r w:rsidRPr="006A4CD7">
        <w:lastRenderedPageBreak/>
        <w:t xml:space="preserve">7.12 </w:t>
      </w:r>
      <w:r w:rsidR="00522ACE">
        <w:t>Maintenance and Cure—Willful and Arbitrary Failure to Pay</w:t>
      </w:r>
      <w:bookmarkEnd w:id="114"/>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5AEB4448" w14:textId="6FCC052A" w:rsidR="006A4CD7" w:rsidRPr="006A4CD7" w:rsidRDefault="006A4CD7" w:rsidP="00DD4CDD">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w:t>
      </w:r>
      <w:proofErr w:type="spellStart"/>
      <w:r w:rsidRPr="006A4CD7">
        <w:rPr>
          <w:rFonts w:cs="Times New Roman"/>
          <w:i/>
          <w:iCs/>
          <w:szCs w:val="24"/>
        </w:rPr>
        <w:t>Kopczynski</w:t>
      </w:r>
      <w:proofErr w:type="spellEnd"/>
      <w:r w:rsidRPr="006A4CD7">
        <w:rPr>
          <w:rFonts w:cs="Times New Roman"/>
          <w:i/>
          <w:iCs/>
          <w:szCs w:val="24"/>
        </w:rPr>
        <w:t xml:space="preserve">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37CDB0D4" w:rsidR="006A4CD7" w:rsidRPr="006A4CD7" w:rsidRDefault="006A4CD7" w:rsidP="00455B81">
      <w:pPr>
        <w:pStyle w:val="Heading2"/>
      </w:pPr>
      <w:r w:rsidRPr="006A4CD7">
        <w:br w:type="page"/>
      </w:r>
      <w:bookmarkStart w:id="115" w:name="_Toc117512410"/>
      <w:r w:rsidRPr="006A4CD7">
        <w:lastRenderedPageBreak/>
        <w:t xml:space="preserve">7.13 </w:t>
      </w:r>
      <w:r w:rsidR="00522ACE">
        <w:t>Integrated Product Manufacturer’s Duty to Warn</w:t>
      </w:r>
      <w:bookmarkEnd w:id="115"/>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manufactured a product that required the incorporation of a part for the integrated product to function as intended;</w:t>
      </w:r>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14BC244B" w:rsidR="006A4CD7" w:rsidRPr="006A4CD7" w:rsidRDefault="006A4CD7" w:rsidP="00BF5CD7">
      <w:pPr>
        <w:pStyle w:val="Heading1"/>
      </w:pPr>
      <w:r w:rsidRPr="006A4CD7">
        <w:br w:type="page"/>
      </w:r>
      <w:bookmarkStart w:id="116" w:name="_Toc117512411"/>
      <w:r w:rsidRPr="006A4CD7">
        <w:lastRenderedPageBreak/>
        <w:t>8.  CIVIL RICO</w:t>
      </w:r>
      <w:bookmarkEnd w:id="116"/>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522ACE">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 xml:space="preserve">Oscar v. Univ. Students Coop. </w:t>
      </w:r>
      <w:proofErr w:type="spellStart"/>
      <w:r w:rsidRPr="006A4CD7">
        <w:rPr>
          <w:rFonts w:cs="Times New Roman"/>
          <w:i/>
          <w:iCs/>
          <w:szCs w:val="24"/>
        </w:rPr>
        <w:t>Ass’n</w:t>
      </w:r>
      <w:proofErr w:type="spellEnd"/>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proofErr w:type="spellStart"/>
      <w:r w:rsidRPr="006A4CD7">
        <w:rPr>
          <w:rFonts w:cs="Times New Roman"/>
          <w:i/>
          <w:iCs/>
          <w:szCs w:val="24"/>
        </w:rPr>
        <w:t>Harmoni</w:t>
      </w:r>
      <w:proofErr w:type="spellEnd"/>
      <w:r w:rsidRPr="006A4CD7">
        <w:rPr>
          <w:rFonts w:cs="Times New Roman"/>
          <w:i/>
          <w:iCs/>
          <w:szCs w:val="24"/>
        </w:rPr>
        <w:t xml:space="preserve">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most commonly brought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 xml:space="preserve">See </w:t>
      </w:r>
      <w:proofErr w:type="spellStart"/>
      <w:r w:rsidRPr="006A4CD7">
        <w:rPr>
          <w:rFonts w:cs="Times New Roman"/>
          <w:i/>
          <w:iCs/>
          <w:szCs w:val="24"/>
        </w:rPr>
        <w:t>Reves</w:t>
      </w:r>
      <w:proofErr w:type="spellEnd"/>
      <w:r w:rsidRPr="006A4CD7">
        <w:rPr>
          <w:rFonts w:cs="Times New Roman"/>
          <w:i/>
          <w:iCs/>
          <w:szCs w:val="24"/>
        </w:rPr>
        <w:t xml:space="preserve">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 xml:space="preserve">Walter v. </w:t>
      </w:r>
      <w:proofErr w:type="spellStart"/>
      <w:r w:rsidRPr="006A4CD7">
        <w:rPr>
          <w:rFonts w:cs="Times New Roman"/>
          <w:i/>
          <w:iCs/>
          <w:szCs w:val="24"/>
        </w:rPr>
        <w:t>Drayson</w:t>
      </w:r>
      <w:proofErr w:type="spellEnd"/>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E3542DB"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p>
    <w:p w14:paraId="6A645458" w14:textId="00EF0F94"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Odom</w:t>
      </w:r>
      <w:r w:rsidRPr="006A4CD7">
        <w:rPr>
          <w:rFonts w:cs="Times New Roman"/>
          <w:szCs w:val="24"/>
        </w:rPr>
        <w:t xml:space="preserve">, 486 F.3d at 548.  RICO does not require that either the racketeering enterprise or the predicate acts of racketeering be motivated by an economic purpose.  </w:t>
      </w:r>
      <w:proofErr w:type="spellStart"/>
      <w:r w:rsidRPr="006A4CD7">
        <w:rPr>
          <w:rFonts w:cs="Times New Roman"/>
          <w:i/>
          <w:iCs/>
          <w:szCs w:val="24"/>
        </w:rPr>
        <w:t>Nat’l</w:t>
      </w:r>
      <w:proofErr w:type="spellEnd"/>
      <w:r w:rsidRPr="006A4CD7">
        <w:rPr>
          <w:rFonts w:cs="Times New Roman"/>
          <w:i/>
          <w:iCs/>
          <w:szCs w:val="24"/>
        </w:rPr>
        <w:t xml:space="preserve"> Org. for Women, Inc. v. </w:t>
      </w:r>
      <w:proofErr w:type="spellStart"/>
      <w:r w:rsidRPr="006A4CD7">
        <w:rPr>
          <w:rFonts w:cs="Times New Roman"/>
          <w:i/>
          <w:iCs/>
          <w:szCs w:val="24"/>
        </w:rPr>
        <w:t>Scheidler</w:t>
      </w:r>
      <w:proofErr w:type="spellEnd"/>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509DBBF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w:t>
      </w:r>
      <w:proofErr w:type="spellStart"/>
      <w:r w:rsidRPr="006A4CD7">
        <w:rPr>
          <w:rFonts w:cs="Times New Roman"/>
          <w:i/>
          <w:iCs/>
          <w:szCs w:val="24"/>
        </w:rPr>
        <w:t>Turkette</w:t>
      </w:r>
      <w:proofErr w:type="spellEnd"/>
      <w:r w:rsidRPr="006A4CD7">
        <w:rPr>
          <w:rFonts w:cs="Times New Roman"/>
          <w:szCs w:val="24"/>
        </w:rPr>
        <w:t xml:space="preserve">, 452 U.S. 576, 580 (1981)).  Its existence is proven through evidence of an ongoing organization, formal or informal, and evidence that the various associates function as a continuing unit.  No particular organizational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801 F.3d 970, 985 (9th Cir. 2015).  A RICO enterprise is not defeated even when some of the enterprise’s participants lack detailed knowledge of all of the other participants or their activities.  Instead, “it is sufficient that the defendant know</w:t>
      </w:r>
      <w:r w:rsidR="00612075">
        <w:rPr>
          <w:rFonts w:cs="Times New Roman"/>
          <w:szCs w:val="24"/>
        </w:rPr>
        <w:t>s</w:t>
      </w:r>
      <w:r w:rsidRPr="006A4CD7">
        <w:rPr>
          <w:rFonts w:cs="Times New Roman"/>
          <w:szCs w:val="24"/>
        </w:rPr>
        <w:t xml:space="preserve">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In particular cases,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5D578C75"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condition </w:t>
      </w:r>
    </w:p>
    <w:p w14:paraId="2807551D" w14:textId="0C52BE34"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for finding a violation but may not be sufficient.  </w:t>
      </w:r>
      <w:r w:rsidRPr="006A4CD7">
        <w:rPr>
          <w:rFonts w:cs="Times New Roman"/>
          <w:i/>
          <w:iCs/>
          <w:szCs w:val="24"/>
        </w:rPr>
        <w:t>See H.J., Inc. v. Nw. Bell Tel. Co.</w:t>
      </w:r>
      <w:r w:rsidRPr="006A4CD7">
        <w:rPr>
          <w:rFonts w:cs="Times New Roman"/>
          <w:szCs w:val="24"/>
        </w:rPr>
        <w:t xml:space="preserve">, 492 U.S. 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 xml:space="preserve">See Medallion Television Enters., Inc. v. </w:t>
      </w:r>
      <w:proofErr w:type="spellStart"/>
      <w:r w:rsidRPr="006A4CD7">
        <w:rPr>
          <w:rFonts w:cs="Times New Roman"/>
          <w:i/>
          <w:iCs/>
          <w:szCs w:val="24"/>
        </w:rPr>
        <w:t>SelecTV</w:t>
      </w:r>
      <w:proofErr w:type="spellEnd"/>
      <w:r w:rsidRPr="006A4CD7">
        <w:rPr>
          <w:rFonts w:cs="Times New Roman"/>
          <w:i/>
          <w:iCs/>
          <w:szCs w:val="24"/>
        </w:rPr>
        <w:t xml:space="preserve"> of Cal., Inc.</w:t>
      </w:r>
      <w:r w:rsidRPr="006A4CD7">
        <w:rPr>
          <w:rFonts w:cs="Times New Roman"/>
          <w:szCs w:val="24"/>
        </w:rPr>
        <w:t xml:space="preserve">, 833 F.2d 1360, 1363 (9th Cir. 1987) (finding alleged predicate acts to be related when all were directed toward inducing plaintiff to enter into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208 F.3d 741, 749 (9th Cir. 2000) (finding that when the purpose, result, victim and method of one set of predicate acts were “strikingly different” from those of the other set of alleged predicate acts, fact that both sets implicated same participants was not enough to establish relatedness).</w:t>
      </w:r>
    </w:p>
    <w:p w14:paraId="1ED01D7A" w14:textId="4E40877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period of time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period of time the pattern of activity must extend to establish closed-ended continuity, though activity spanning only several months is unlikely to satisfy the requirement.  </w:t>
      </w:r>
      <w:proofErr w:type="spellStart"/>
      <w:r w:rsidRPr="006A4CD7">
        <w:rPr>
          <w:rFonts w:cs="Times New Roman"/>
          <w:i/>
          <w:iCs/>
          <w:szCs w:val="24"/>
        </w:rPr>
        <w:t>Allwaste</w:t>
      </w:r>
      <w:proofErr w:type="spellEnd"/>
      <w:r w:rsidRPr="006A4CD7">
        <w:rPr>
          <w:rFonts w:cs="Times New Roman"/>
          <w:i/>
          <w:iCs/>
          <w:szCs w:val="24"/>
        </w:rPr>
        <w:t>,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 xml:space="preserve">Religious Tech. Ctr. v. </w:t>
      </w:r>
      <w:proofErr w:type="spellStart"/>
      <w:r w:rsidRPr="006A4CD7">
        <w:rPr>
          <w:rFonts w:cs="Times New Roman"/>
          <w:i/>
          <w:iCs/>
          <w:szCs w:val="24"/>
        </w:rPr>
        <w:t>Wollersheim</w:t>
      </w:r>
      <w:proofErr w:type="spellEnd"/>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proofErr w:type="spellStart"/>
      <w:r w:rsidRPr="006A4CD7">
        <w:rPr>
          <w:rFonts w:cs="Times New Roman"/>
          <w:i/>
          <w:iCs/>
          <w:szCs w:val="24"/>
        </w:rPr>
        <w:t>Allwaste</w:t>
      </w:r>
      <w:proofErr w:type="spellEnd"/>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3410D1BA" w14:textId="1C9A85F4" w:rsidR="00522AC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w:t>
      </w:r>
      <w:proofErr w:type="spellStart"/>
      <w:r w:rsidRPr="006A4CD7">
        <w:rPr>
          <w:rFonts w:cs="Times New Roman"/>
          <w:i/>
          <w:iCs/>
          <w:szCs w:val="24"/>
        </w:rPr>
        <w:t>Sedima</w:t>
      </w:r>
      <w:proofErr w:type="spellEnd"/>
      <w:r w:rsidRPr="006A4CD7">
        <w:rPr>
          <w:rFonts w:cs="Times New Roman"/>
          <w:i/>
          <w:iCs/>
          <w:szCs w:val="24"/>
        </w:rPr>
        <w:t xml:space="preserve">, S.P.R.L. v. </w:t>
      </w:r>
      <w:proofErr w:type="spellStart"/>
      <w:r w:rsidRPr="006A4CD7">
        <w:rPr>
          <w:rFonts w:cs="Times New Roman"/>
          <w:i/>
          <w:iCs/>
          <w:szCs w:val="24"/>
        </w:rPr>
        <w:t>Imrex</w:t>
      </w:r>
      <w:proofErr w:type="spellEnd"/>
      <w:r w:rsidRPr="006A4CD7">
        <w:rPr>
          <w:rFonts w:cs="Times New Roman"/>
          <w:i/>
          <w:iCs/>
          <w:szCs w:val="24"/>
        </w:rPr>
        <w:t xml:space="preserve"> Co., Inc</w:t>
      </w:r>
      <w:r w:rsidRPr="006A4CD7">
        <w:rPr>
          <w:rFonts w:cs="Times New Roman"/>
          <w:szCs w:val="24"/>
        </w:rPr>
        <w:t>., 473 U.S. 479, 495 (1985) (“‘[R]</w:t>
      </w:r>
      <w:proofErr w:type="spellStart"/>
      <w:r w:rsidRPr="006A4CD7">
        <w:rPr>
          <w:rFonts w:cs="Times New Roman"/>
          <w:szCs w:val="24"/>
        </w:rPr>
        <w:t>acketeering</w:t>
      </w:r>
      <w:proofErr w:type="spellEnd"/>
      <w:r w:rsidRPr="006A4CD7">
        <w:rPr>
          <w:rFonts w:cs="Times New Roman"/>
          <w:szCs w:val="24"/>
        </w:rPr>
        <w:t xml:space="preserve">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6F119650" w14:textId="10C06F81" w:rsidR="00612075" w:rsidRDefault="00612075" w:rsidP="0060759C">
      <w:pPr>
        <w:autoSpaceDE w:val="0"/>
        <w:autoSpaceDN w:val="0"/>
        <w:adjustRightInd w:val="0"/>
        <w:rPr>
          <w:rFonts w:cs="Times New Roman"/>
          <w:szCs w:val="24"/>
        </w:rPr>
      </w:pPr>
    </w:p>
    <w:p w14:paraId="5F670B30" w14:textId="02B44DDB" w:rsidR="006A4CD7" w:rsidRDefault="006A4CD7" w:rsidP="0060759C">
      <w:pPr>
        <w:autoSpaceDE w:val="0"/>
        <w:autoSpaceDN w:val="0"/>
        <w:adjustRightInd w:val="0"/>
        <w:rPr>
          <w:rFonts w:cs="Times New Roman"/>
          <w:szCs w:val="24"/>
        </w:rPr>
      </w:pPr>
    </w:p>
    <w:p w14:paraId="5A1B8CDE" w14:textId="77777777" w:rsidR="00DD4CDD" w:rsidRPr="006A4CD7" w:rsidRDefault="00DD4CDD"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each and every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proofErr w:type="spellStart"/>
      <w:r w:rsidRPr="006A4CD7">
        <w:rPr>
          <w:rFonts w:cs="Times New Roman"/>
          <w:i/>
          <w:iCs/>
          <w:szCs w:val="24"/>
        </w:rPr>
        <w:t>Baumer</w:t>
      </w:r>
      <w:proofErr w:type="spellEnd"/>
      <w:r w:rsidRPr="006A4CD7">
        <w:rPr>
          <w:rFonts w:cs="Times New Roman"/>
          <w:i/>
          <w:iCs/>
          <w:szCs w:val="24"/>
        </w:rPr>
        <w:t xml:space="preserve"> v. </w:t>
      </w:r>
      <w:proofErr w:type="spellStart"/>
      <w:r w:rsidRPr="006A4CD7">
        <w:rPr>
          <w:rFonts w:cs="Times New Roman"/>
          <w:i/>
          <w:iCs/>
          <w:szCs w:val="24"/>
        </w:rPr>
        <w:t>Pachl</w:t>
      </w:r>
      <w:proofErr w:type="spellEnd"/>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298 F.3d at 775.  If a RICO conspiracy is demonstrated, “[a]</w:t>
      </w:r>
      <w:proofErr w:type="spellStart"/>
      <w:r w:rsidRPr="006A4CD7">
        <w:rPr>
          <w:rFonts w:cs="Times New Roman"/>
          <w:szCs w:val="24"/>
        </w:rPr>
        <w:t>ll</w:t>
      </w:r>
      <w:proofErr w:type="spellEnd"/>
      <w:r w:rsidRPr="006A4CD7">
        <w:rPr>
          <w:rFonts w:cs="Times New Roman"/>
          <w:szCs w:val="24"/>
        </w:rPr>
        <w:t xml:space="preserve">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actually conspired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w:t>
      </w:r>
      <w:proofErr w:type="spellStart"/>
      <w:r w:rsidRPr="006A4CD7">
        <w:rPr>
          <w:rFonts w:cs="Times New Roman"/>
          <w:szCs w:val="24"/>
        </w:rPr>
        <w:t>intracorporate</w:t>
      </w:r>
      <w:proofErr w:type="spellEnd"/>
      <w:r w:rsidRPr="006A4CD7">
        <w:rPr>
          <w:rFonts w:cs="Times New Roman"/>
          <w:szCs w:val="24"/>
        </w:rPr>
        <w:t xml:space="preserve">, as well as intercorporate conspiracies; thus, it is possible for a corporation to engage in a RICO conspiracy with its own officers and representatives.  </w:t>
      </w:r>
      <w:r w:rsidRPr="006A4CD7">
        <w:rPr>
          <w:rFonts w:cs="Times New Roman"/>
          <w:i/>
          <w:iCs/>
          <w:szCs w:val="24"/>
        </w:rPr>
        <w:t xml:space="preserve">Webster v. </w:t>
      </w:r>
      <w:proofErr w:type="spellStart"/>
      <w:r w:rsidRPr="006A4CD7">
        <w:rPr>
          <w:rFonts w:cs="Times New Roman"/>
          <w:i/>
          <w:iCs/>
          <w:szCs w:val="24"/>
        </w:rPr>
        <w:t>Omnitron</w:t>
      </w:r>
      <w:proofErr w:type="spellEnd"/>
      <w:r w:rsidRPr="006A4CD7">
        <w:rPr>
          <w:rFonts w:cs="Times New Roman"/>
          <w:i/>
          <w:iCs/>
          <w:szCs w:val="24"/>
        </w:rPr>
        <w:t xml:space="preserve">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w:t>
      </w:r>
      <w:proofErr w:type="spellStart"/>
      <w:r w:rsidRPr="006A4CD7">
        <w:rPr>
          <w:rFonts w:cs="Times New Roman"/>
          <w:szCs w:val="24"/>
        </w:rPr>
        <w:t>intracorporate</w:t>
      </w:r>
      <w:proofErr w:type="spellEnd"/>
      <w:r w:rsidRPr="006A4CD7">
        <w:rPr>
          <w:rFonts w:cs="Times New Roman"/>
          <w:szCs w:val="24"/>
        </w:rPr>
        <w:t xml:space="preserv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6996A435" w:rsidR="006A4CD7" w:rsidRPr="006A4CD7" w:rsidRDefault="006A4CD7" w:rsidP="00BF5CD7">
      <w:pPr>
        <w:pStyle w:val="Heading1"/>
      </w:pPr>
      <w:r w:rsidRPr="006A4CD7">
        <w:br w:type="page"/>
      </w:r>
      <w:bookmarkStart w:id="117" w:name="_Toc117512412"/>
      <w:r w:rsidRPr="006A4CD7">
        <w:lastRenderedPageBreak/>
        <w:t>9.  CIVIL RIGHTS ACTIONS—42 U.S.C. § 1983</w:t>
      </w:r>
      <w:bookmarkEnd w:id="117"/>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w:t>
      </w:r>
      <w:r w:rsidRPr="006A4CD7">
        <w:rPr>
          <w:rFonts w:cs="Times New Roman"/>
          <w:szCs w:val="24"/>
        </w:rPr>
        <w:tab/>
        <w:t>Causation</w:t>
      </w:r>
    </w:p>
    <w:p w14:paraId="7A94CDA3" w14:textId="5FA3389A" w:rsidR="00522ACE" w:rsidRDefault="006A4CD7" w:rsidP="00C9762A">
      <w:pPr>
        <w:autoSpaceDE w:val="0"/>
        <w:autoSpaceDN w:val="0"/>
        <w:adjustRightInd w:val="0"/>
        <w:ind w:left="900" w:hanging="90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w:t>
      </w:r>
    </w:p>
    <w:p w14:paraId="7C6FD213" w14:textId="53262CE2"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1395A2AC"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w:t>
      </w:r>
    </w:p>
    <w:p w14:paraId="68DB1371" w14:textId="39A1E9DD"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668826E8" w14:textId="56A3A950" w:rsidR="00522ACE" w:rsidRDefault="006A4CD7" w:rsidP="00C9762A">
      <w:pPr>
        <w:autoSpaceDE w:val="0"/>
        <w:autoSpaceDN w:val="0"/>
        <w:adjustRightInd w:val="0"/>
        <w:ind w:left="900" w:hanging="900"/>
        <w:rPr>
          <w:rFonts w:cs="Times New Roman"/>
          <w:szCs w:val="24"/>
        </w:rPr>
      </w:pPr>
      <w:r w:rsidRPr="006A4CD7">
        <w:rPr>
          <w:rFonts w:cs="Times New Roman"/>
          <w:szCs w:val="24"/>
        </w:rPr>
        <w:t>9.5</w:t>
      </w:r>
      <w:r w:rsidRPr="006A4CD7">
        <w:rPr>
          <w:rFonts w:cs="Times New Roman"/>
          <w:szCs w:val="24"/>
        </w:rPr>
        <w:tab/>
        <w:t xml:space="preserve">Section 1983 Claim Against Local Governing Body Defendants Based on </w:t>
      </w:r>
      <w:r w:rsidR="00197C8B">
        <w:rPr>
          <w:rFonts w:cs="Times New Roman"/>
          <w:szCs w:val="24"/>
        </w:rPr>
        <w:t>Unlawful</w:t>
      </w:r>
    </w:p>
    <w:p w14:paraId="3785CFA9" w14:textId="6E8E5CB9" w:rsidR="006A4CD7" w:rsidRPr="006A4CD7" w:rsidRDefault="006A4CD7" w:rsidP="00C9762A">
      <w:pPr>
        <w:autoSpaceDE w:val="0"/>
        <w:autoSpaceDN w:val="0"/>
        <w:adjustRightInd w:val="0"/>
        <w:ind w:left="900"/>
        <w:rPr>
          <w:rFonts w:cs="Times New Roman"/>
          <w:szCs w:val="24"/>
        </w:rPr>
      </w:pPr>
      <w:r w:rsidRPr="006A4CD7">
        <w:rPr>
          <w:rFonts w:cs="Times New Roman"/>
          <w:szCs w:val="24"/>
        </w:rPr>
        <w:t>Official Policy, Practice, or Custom—Elements and Burden of Proof</w:t>
      </w:r>
    </w:p>
    <w:p w14:paraId="5E053C1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9.6</w:t>
      </w:r>
      <w:r w:rsidRPr="006A4CD7">
        <w:rPr>
          <w:rFonts w:cs="Times New Roman"/>
          <w:szCs w:val="24"/>
        </w:rPr>
        <w:tab/>
        <w:t xml:space="preserve">Section 1983 Claim Against Local Governing Body Defendants Based on </w:t>
      </w:r>
    </w:p>
    <w:p w14:paraId="237C58AB" w14:textId="25D7AC99" w:rsidR="006A4CD7" w:rsidRPr="006A4CD7" w:rsidRDefault="006A4CD7" w:rsidP="00C9762A">
      <w:pPr>
        <w:autoSpaceDE w:val="0"/>
        <w:autoSpaceDN w:val="0"/>
        <w:adjustRightInd w:val="0"/>
        <w:ind w:left="900"/>
        <w:rPr>
          <w:rFonts w:cs="Times New Roman"/>
          <w:szCs w:val="24"/>
        </w:rPr>
      </w:pPr>
      <w:r w:rsidRPr="006A4CD7">
        <w:rPr>
          <w:rFonts w:cs="Times New Roman"/>
          <w:szCs w:val="24"/>
        </w:rPr>
        <w:t>Act of Final Policymaker—Elements and Burden of Proof</w:t>
      </w:r>
    </w:p>
    <w:p w14:paraId="6E3296FF"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9.7</w:t>
      </w:r>
      <w:r w:rsidRPr="006A4CD7">
        <w:rPr>
          <w:rFonts w:cs="Times New Roman"/>
          <w:szCs w:val="24"/>
        </w:rPr>
        <w:tab/>
        <w:t xml:space="preserve">Section 1983 Claim Against Local Governing Body Defendants Based on </w:t>
      </w:r>
    </w:p>
    <w:p w14:paraId="74625C87" w14:textId="10497C4F" w:rsidR="006A4CD7" w:rsidRPr="006A4CD7" w:rsidRDefault="006A4CD7" w:rsidP="00C9762A">
      <w:pPr>
        <w:autoSpaceDE w:val="0"/>
        <w:autoSpaceDN w:val="0"/>
        <w:adjustRightInd w:val="0"/>
        <w:ind w:left="900"/>
        <w:rPr>
          <w:rFonts w:cs="Times New Roman"/>
          <w:szCs w:val="24"/>
        </w:rPr>
      </w:pPr>
      <w:r w:rsidRPr="006A4CD7">
        <w:rPr>
          <w:rFonts w:cs="Times New Roman"/>
          <w:szCs w:val="24"/>
        </w:rPr>
        <w:t>Ratification—Elements and Burden of Proof</w:t>
      </w:r>
    </w:p>
    <w:p w14:paraId="3D5CAF63"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9.8</w:t>
      </w:r>
      <w:r w:rsidRPr="006A4CD7">
        <w:rPr>
          <w:rFonts w:cs="Times New Roman"/>
          <w:szCs w:val="24"/>
        </w:rPr>
        <w:tab/>
        <w:t xml:space="preserve">Section 1983 Claim Against Local Governing Body Defendants Based on </w:t>
      </w:r>
    </w:p>
    <w:p w14:paraId="3AAE5BB5" w14:textId="77777777" w:rsidR="00522ACE" w:rsidRDefault="006A4CD7" w:rsidP="00C9762A">
      <w:pPr>
        <w:autoSpaceDE w:val="0"/>
        <w:autoSpaceDN w:val="0"/>
        <w:adjustRightInd w:val="0"/>
        <w:ind w:left="900"/>
        <w:rPr>
          <w:rFonts w:cs="Times New Roman"/>
          <w:szCs w:val="24"/>
        </w:rPr>
      </w:pPr>
      <w:r w:rsidRPr="006A4CD7">
        <w:rPr>
          <w:rFonts w:cs="Times New Roman"/>
          <w:szCs w:val="24"/>
        </w:rPr>
        <w:t xml:space="preserve">a Policy that Fails to Prevent Violations of Law or a Policy of Failure to </w:t>
      </w:r>
    </w:p>
    <w:p w14:paraId="7C84A106" w14:textId="27C138D7" w:rsidR="006A4CD7" w:rsidRPr="006A4CD7" w:rsidRDefault="006A4CD7" w:rsidP="00C9762A">
      <w:pPr>
        <w:autoSpaceDE w:val="0"/>
        <w:autoSpaceDN w:val="0"/>
        <w:adjustRightInd w:val="0"/>
        <w:ind w:left="900"/>
        <w:rPr>
          <w:rFonts w:cs="Times New Roman"/>
          <w:szCs w:val="24"/>
        </w:rPr>
      </w:pPr>
      <w:r w:rsidRPr="006A4CD7">
        <w:rPr>
          <w:rFonts w:cs="Times New Roman"/>
          <w:szCs w:val="24"/>
        </w:rPr>
        <w:t>Train—Elements and Burden of Proof</w:t>
      </w:r>
    </w:p>
    <w:p w14:paraId="0722584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1AE81ABB"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9.11</w:t>
      </w:r>
      <w:r w:rsidRPr="006A4CD7">
        <w:rPr>
          <w:rFonts w:cs="Times New Roman"/>
          <w:szCs w:val="24"/>
        </w:rPr>
        <w:tab/>
        <w:t>Particular Rights—First Amendment</w:t>
      </w:r>
      <w:r w:rsidR="002D3473" w:rsidRPr="006A4CD7">
        <w:rPr>
          <w:rFonts w:cs="Times New Roman"/>
          <w:szCs w:val="24"/>
        </w:rPr>
        <w:t>— “</w:t>
      </w:r>
      <w:r w:rsidRPr="006A4CD7">
        <w:rPr>
          <w:rFonts w:cs="Times New Roman"/>
          <w:szCs w:val="24"/>
        </w:rPr>
        <w:t>Citizen” Plaintiff</w:t>
      </w:r>
    </w:p>
    <w:p w14:paraId="5F6BC86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1A48CEA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9.13</w:t>
      </w:r>
      <w:r w:rsidRPr="006A4CD7">
        <w:rPr>
          <w:rFonts w:cs="Times New Roman"/>
          <w:szCs w:val="24"/>
        </w:rPr>
        <w:tab/>
        <w:t xml:space="preserve">Particular Rights—Fourth Amendment—Unreasonable Search—Exception </w:t>
      </w:r>
    </w:p>
    <w:p w14:paraId="44F3AD4C" w14:textId="4E01132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Incident to Arrest</w:t>
      </w:r>
    </w:p>
    <w:p w14:paraId="3139532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9.14</w:t>
      </w:r>
      <w:r w:rsidRPr="006A4CD7">
        <w:rPr>
          <w:rFonts w:cs="Times New Roman"/>
          <w:szCs w:val="24"/>
        </w:rPr>
        <w:tab/>
        <w:t xml:space="preserve">Particular Rights—Fourth Amendment—Unreasonable Search—Exception </w:t>
      </w:r>
    </w:p>
    <w:p w14:paraId="534C17F2" w14:textId="762CD6CC"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of Vehicle Incident to Arrest of a Recent Occupant</w:t>
      </w:r>
    </w:p>
    <w:p w14:paraId="26464367"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9.15</w:t>
      </w:r>
      <w:r w:rsidRPr="006A4CD7">
        <w:rPr>
          <w:rFonts w:cs="Times New Roman"/>
          <w:szCs w:val="24"/>
        </w:rPr>
        <w:tab/>
        <w:t xml:space="preserve">Particular Rights—Fourth Amendment—Unreasonable Search—Exception </w:t>
      </w:r>
    </w:p>
    <w:p w14:paraId="293F88DD" w14:textId="7F3819E4"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Requirement—Consent</w:t>
      </w:r>
    </w:p>
    <w:p w14:paraId="109B58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9.16</w:t>
      </w:r>
      <w:r w:rsidRPr="006A4CD7">
        <w:rPr>
          <w:rFonts w:cs="Times New Roman"/>
          <w:szCs w:val="24"/>
        </w:rPr>
        <w:tab/>
        <w:t xml:space="preserve">Particular Rights—Fourth Amendment—Unreasonable Search—Exception </w:t>
      </w:r>
    </w:p>
    <w:p w14:paraId="057259FC" w14:textId="70949EC1"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Requirement—Exigent Circumstances</w:t>
      </w:r>
    </w:p>
    <w:p w14:paraId="12BD689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9.17</w:t>
      </w:r>
      <w:r w:rsidRPr="006A4CD7">
        <w:rPr>
          <w:rFonts w:cs="Times New Roman"/>
          <w:szCs w:val="24"/>
        </w:rPr>
        <w:tab/>
        <w:t xml:space="preserve">Particular Rights—Fourth Amendment—Unreasonable Search—Exception </w:t>
      </w:r>
    </w:p>
    <w:p w14:paraId="0EF2C7E8" w14:textId="3294D50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Requirement—Emergency Aid</w:t>
      </w:r>
    </w:p>
    <w:p w14:paraId="12EBBAF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23A39CB0" w14:textId="043C816C"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4A1C306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9.24</w:t>
      </w:r>
      <w:r w:rsidRPr="006A4CD7">
        <w:rPr>
          <w:rFonts w:cs="Times New Roman"/>
          <w:szCs w:val="24"/>
        </w:rPr>
        <w:tab/>
        <w:t>Particular Rights—Fourth Amendment—Unreasonable Seizure of Person—</w:t>
      </w:r>
    </w:p>
    <w:p w14:paraId="61A4244B" w14:textId="77777777" w:rsidR="00DD4CDD" w:rsidRDefault="00DD4CDD" w:rsidP="00C9762A">
      <w:pPr>
        <w:autoSpaceDE w:val="0"/>
        <w:autoSpaceDN w:val="0"/>
        <w:adjustRightInd w:val="0"/>
        <w:ind w:left="900"/>
        <w:rPr>
          <w:rFonts w:cs="Times New Roman"/>
          <w:szCs w:val="24"/>
        </w:rPr>
      </w:pPr>
    </w:p>
    <w:p w14:paraId="56BED85D" w14:textId="6DF81756" w:rsidR="006A4CD7" w:rsidRPr="006A4CD7" w:rsidRDefault="006A4CD7" w:rsidP="00C9762A">
      <w:pPr>
        <w:autoSpaceDE w:val="0"/>
        <w:autoSpaceDN w:val="0"/>
        <w:adjustRightInd w:val="0"/>
        <w:ind w:left="900"/>
        <w:rPr>
          <w:rFonts w:cs="Times New Roman"/>
          <w:szCs w:val="24"/>
        </w:rPr>
      </w:pPr>
      <w:r w:rsidRPr="006A4CD7">
        <w:rPr>
          <w:rFonts w:cs="Times New Roman"/>
          <w:szCs w:val="24"/>
        </w:rPr>
        <w:lastRenderedPageBreak/>
        <w:t>Detention During Execution of Search Warrant</w:t>
      </w:r>
    </w:p>
    <w:p w14:paraId="5A28B42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w:t>
      </w:r>
      <w:r w:rsidRPr="006A4CD7">
        <w:rPr>
          <w:rFonts w:cs="Times New Roman"/>
          <w:szCs w:val="24"/>
        </w:rPr>
        <w:tab/>
        <w:t>Particular Rights—Fourth Amendment—Unreasonable Seizure of Person—</w:t>
      </w:r>
    </w:p>
    <w:p w14:paraId="727F4C1D" w14:textId="3678FA57" w:rsidR="006A4CD7" w:rsidRPr="006A4CD7" w:rsidRDefault="006A4CD7" w:rsidP="00C9762A">
      <w:pPr>
        <w:autoSpaceDE w:val="0"/>
        <w:autoSpaceDN w:val="0"/>
        <w:adjustRightInd w:val="0"/>
        <w:ind w:left="900"/>
        <w:rPr>
          <w:rFonts w:cs="Times New Roman"/>
          <w:szCs w:val="24"/>
        </w:rPr>
      </w:pPr>
      <w:r w:rsidRPr="006A4CD7">
        <w:rPr>
          <w:rFonts w:cs="Times New Roman"/>
          <w:szCs w:val="24"/>
        </w:rPr>
        <w:t>Excessive Force</w:t>
      </w:r>
    </w:p>
    <w:p w14:paraId="752125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9.25A</w:t>
      </w:r>
      <w:r w:rsidRPr="006A4CD7">
        <w:rPr>
          <w:rFonts w:cs="Times New Roman"/>
          <w:szCs w:val="24"/>
        </w:rPr>
        <w:tab/>
        <w:t>Particular Rights—Sixth Amendment—Right to Compulsory Process—</w:t>
      </w:r>
    </w:p>
    <w:p w14:paraId="1897D6B2" w14:textId="6694CA48" w:rsidR="006A4CD7" w:rsidRPr="006A4CD7" w:rsidRDefault="006A4CD7" w:rsidP="00C9762A">
      <w:pPr>
        <w:autoSpaceDE w:val="0"/>
        <w:autoSpaceDN w:val="0"/>
        <w:adjustRightInd w:val="0"/>
        <w:ind w:left="900"/>
        <w:rPr>
          <w:rFonts w:cs="Times New Roman"/>
          <w:szCs w:val="24"/>
        </w:rPr>
      </w:pPr>
      <w:r w:rsidRPr="006A4CD7">
        <w:rPr>
          <w:rFonts w:cs="Times New Roman"/>
          <w:szCs w:val="24"/>
        </w:rPr>
        <w:t>Interference with Witness</w:t>
      </w:r>
    </w:p>
    <w:p w14:paraId="14141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6CB2BE21"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9.27</w:t>
      </w:r>
      <w:r w:rsidRPr="006A4CD7">
        <w:rPr>
          <w:rFonts w:cs="Times New Roman"/>
          <w:szCs w:val="24"/>
        </w:rPr>
        <w:tab/>
        <w:t xml:space="preserve">Particular Rights—Eighth Amendment—Convicted Prisoner’s Claim re </w:t>
      </w:r>
    </w:p>
    <w:p w14:paraId="4E22DDC3" w14:textId="795E3867" w:rsidR="006A4CD7" w:rsidRPr="006A4CD7" w:rsidRDefault="006A4CD7" w:rsidP="00C9762A">
      <w:pPr>
        <w:autoSpaceDE w:val="0"/>
        <w:autoSpaceDN w:val="0"/>
        <w:adjustRightInd w:val="0"/>
        <w:ind w:left="900"/>
        <w:rPr>
          <w:rFonts w:cs="Times New Roman"/>
          <w:szCs w:val="24"/>
        </w:rPr>
      </w:pPr>
      <w:r w:rsidRPr="006A4CD7">
        <w:rPr>
          <w:rFonts w:cs="Times New Roman"/>
          <w:szCs w:val="24"/>
        </w:rPr>
        <w:t>Conditions of Confinement/Medical Care</w:t>
      </w:r>
    </w:p>
    <w:p w14:paraId="2AA26D70"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4323019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9.29</w:t>
      </w:r>
      <w:r w:rsidRPr="006A4CD7">
        <w:rPr>
          <w:rFonts w:cs="Times New Roman"/>
          <w:szCs w:val="24"/>
        </w:rPr>
        <w:tab/>
        <w:t xml:space="preserve">Particular Rights—Fourteenth Amendment—Pretrial Detainee’s Claim </w:t>
      </w:r>
    </w:p>
    <w:p w14:paraId="344D353C" w14:textId="139E8362" w:rsidR="006A4CD7" w:rsidRPr="006A4CD7" w:rsidRDefault="006A4CD7" w:rsidP="00C9762A">
      <w:pPr>
        <w:autoSpaceDE w:val="0"/>
        <w:autoSpaceDN w:val="0"/>
        <w:adjustRightInd w:val="0"/>
        <w:ind w:left="900"/>
        <w:rPr>
          <w:rFonts w:cs="Times New Roman"/>
          <w:szCs w:val="24"/>
        </w:rPr>
      </w:pPr>
      <w:r w:rsidRPr="006A4CD7">
        <w:rPr>
          <w:rFonts w:cs="Times New Roman"/>
          <w:szCs w:val="24"/>
        </w:rPr>
        <w:t>of Excessive Force (Comment only)</w:t>
      </w:r>
    </w:p>
    <w:p w14:paraId="6B5907A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9.30</w:t>
      </w:r>
      <w:r w:rsidRPr="006A4CD7">
        <w:rPr>
          <w:rFonts w:cs="Times New Roman"/>
          <w:szCs w:val="24"/>
        </w:rPr>
        <w:tab/>
        <w:t xml:space="preserve">Particular Rights—Fourteenth Amendment—Pretrial Detainee’s Claim </w:t>
      </w:r>
    </w:p>
    <w:p w14:paraId="11000695" w14:textId="13BF6448" w:rsidR="006A4CD7" w:rsidRPr="006A4CD7" w:rsidRDefault="006A4CD7" w:rsidP="00C9762A">
      <w:pPr>
        <w:autoSpaceDE w:val="0"/>
        <w:autoSpaceDN w:val="0"/>
        <w:adjustRightInd w:val="0"/>
        <w:ind w:left="900"/>
        <w:rPr>
          <w:rFonts w:cs="Times New Roman"/>
          <w:szCs w:val="24"/>
        </w:rPr>
      </w:pPr>
      <w:r w:rsidRPr="006A4CD7">
        <w:rPr>
          <w:rFonts w:cs="Times New Roman"/>
          <w:szCs w:val="24"/>
        </w:rPr>
        <w:t xml:space="preserve">re Conditions of Confinement/Medical Care </w:t>
      </w:r>
    </w:p>
    <w:p w14:paraId="45D4A5E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 xml:space="preserve">9.31 </w:t>
      </w:r>
      <w:r w:rsidRPr="006A4CD7">
        <w:rPr>
          <w:rFonts w:cs="Times New Roman"/>
          <w:szCs w:val="24"/>
        </w:rPr>
        <w:tab/>
        <w:t xml:space="preserve">Particular Rights—Fourteenth Amendment—Pretrial Detainee’s Claim </w:t>
      </w:r>
    </w:p>
    <w:p w14:paraId="4909360E" w14:textId="51871244" w:rsidR="006A4CD7" w:rsidRPr="006A4CD7" w:rsidRDefault="006A4CD7" w:rsidP="00C9762A">
      <w:pPr>
        <w:autoSpaceDE w:val="0"/>
        <w:autoSpaceDN w:val="0"/>
        <w:adjustRightInd w:val="0"/>
        <w:ind w:left="900"/>
        <w:rPr>
          <w:rFonts w:cs="Times New Roman"/>
          <w:szCs w:val="24"/>
        </w:rPr>
      </w:pPr>
      <w:r w:rsidRPr="006A4CD7">
        <w:rPr>
          <w:rFonts w:cs="Times New Roman"/>
          <w:szCs w:val="24"/>
        </w:rPr>
        <w:t>of Failure to Protect</w:t>
      </w:r>
    </w:p>
    <w:p w14:paraId="371A695C" w14:textId="1D9EA7BE" w:rsidR="00522ACE" w:rsidRDefault="006A4CD7" w:rsidP="00C9762A">
      <w:pPr>
        <w:autoSpaceDE w:val="0"/>
        <w:autoSpaceDN w:val="0"/>
        <w:adjustRightInd w:val="0"/>
        <w:ind w:left="900" w:hanging="900"/>
        <w:rPr>
          <w:rFonts w:cs="Times New Roman"/>
          <w:szCs w:val="24"/>
        </w:rPr>
      </w:pPr>
      <w:r w:rsidRPr="006A4CD7">
        <w:rPr>
          <w:rFonts w:cs="Times New Roman"/>
          <w:szCs w:val="24"/>
        </w:rPr>
        <w:t>9.32</w:t>
      </w:r>
      <w:r w:rsidRPr="006A4CD7">
        <w:rPr>
          <w:rFonts w:cs="Times New Roman"/>
          <w:szCs w:val="24"/>
        </w:rPr>
        <w:tab/>
        <w:t>Particular Rights—Fourteenth Amendment—Due Process—</w:t>
      </w:r>
      <w:r w:rsidR="00197C8B" w:rsidRPr="00197C8B">
        <w:rPr>
          <w:rFonts w:cs="Times New Roman"/>
          <w:szCs w:val="24"/>
        </w:rPr>
        <w:t xml:space="preserve"> </w:t>
      </w:r>
      <w:r w:rsidR="00197C8B" w:rsidRPr="006A4CD7">
        <w:rPr>
          <w:rFonts w:cs="Times New Roman"/>
          <w:szCs w:val="24"/>
        </w:rPr>
        <w:t>Interference with</w:t>
      </w:r>
    </w:p>
    <w:p w14:paraId="016B8C35" w14:textId="33E68DFA" w:rsidR="006A4CD7" w:rsidRPr="006A4CD7" w:rsidRDefault="006A4CD7" w:rsidP="00C9762A">
      <w:pPr>
        <w:autoSpaceDE w:val="0"/>
        <w:autoSpaceDN w:val="0"/>
        <w:adjustRightInd w:val="0"/>
        <w:ind w:left="900"/>
        <w:rPr>
          <w:rFonts w:cs="Times New Roman"/>
          <w:szCs w:val="24"/>
        </w:rPr>
      </w:pPr>
      <w:r w:rsidRPr="006A4CD7">
        <w:rPr>
          <w:rFonts w:cs="Times New Roman"/>
          <w:szCs w:val="24"/>
        </w:rPr>
        <w:t>Parent/Child Relationship (Comment only)</w:t>
      </w:r>
    </w:p>
    <w:p w14:paraId="15EE8DE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E662FF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w:t>
      </w:r>
      <w:r w:rsidRPr="006A4CD7">
        <w:rPr>
          <w:rFonts w:cs="Times New Roman"/>
          <w:szCs w:val="24"/>
        </w:rPr>
        <w:tab/>
        <w:t xml:space="preserve">Particular Rights—Fourteenth Amendment—Due Process—Deliberate </w:t>
      </w:r>
    </w:p>
    <w:p w14:paraId="7BC740D8" w14:textId="0B48AECA" w:rsidR="006A4CD7" w:rsidRPr="006A4CD7" w:rsidRDefault="006A4CD7" w:rsidP="00C9762A">
      <w:pPr>
        <w:autoSpaceDE w:val="0"/>
        <w:autoSpaceDN w:val="0"/>
        <w:adjustRightInd w:val="0"/>
        <w:ind w:left="900"/>
        <w:rPr>
          <w:rFonts w:cs="Times New Roman"/>
          <w:szCs w:val="24"/>
        </w:rPr>
      </w:pPr>
      <w:r w:rsidRPr="006A4CD7">
        <w:rPr>
          <w:rFonts w:cs="Times New Roman"/>
          <w:szCs w:val="24"/>
        </w:rPr>
        <w:t>Fabrication of Evidence</w:t>
      </w:r>
    </w:p>
    <w:p w14:paraId="3CEBF80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9.33A</w:t>
      </w:r>
      <w:r w:rsidRPr="006A4CD7">
        <w:rPr>
          <w:rFonts w:cs="Times New Roman"/>
          <w:szCs w:val="24"/>
        </w:rPr>
        <w:tab/>
        <w:t xml:space="preserve">Particular Rights—Fourteenth Amendment—Due Process—Deliberate </w:t>
      </w:r>
    </w:p>
    <w:p w14:paraId="260F86F5" w14:textId="314B9DA8" w:rsidR="006A4CD7" w:rsidRPr="006A4CD7" w:rsidRDefault="006A4CD7" w:rsidP="00C9762A">
      <w:pPr>
        <w:autoSpaceDE w:val="0"/>
        <w:autoSpaceDN w:val="0"/>
        <w:adjustRightInd w:val="0"/>
        <w:ind w:left="900"/>
        <w:rPr>
          <w:rFonts w:cs="Times New Roman"/>
          <w:szCs w:val="24"/>
        </w:rPr>
      </w:pPr>
      <w:r w:rsidRPr="006A4CD7">
        <w:rPr>
          <w:rFonts w:cs="Times New Roman"/>
          <w:szCs w:val="24"/>
        </w:rPr>
        <w:t>or Reckless Suppression of Evidence</w:t>
      </w:r>
    </w:p>
    <w:p w14:paraId="3CB9373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C9762A">
      <w:pPr>
        <w:pStyle w:val="NoSpacing"/>
        <w:ind w:left="900" w:hanging="900"/>
      </w:pPr>
      <w:r w:rsidRPr="006A4CD7">
        <w:t>9.34</w:t>
      </w:r>
      <w:r w:rsidRPr="006A4CD7">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5562723" w14:textId="77777777" w:rsidR="002D3473" w:rsidRPr="00734276" w:rsidRDefault="002D3473" w:rsidP="002D3473">
      <w:pPr>
        <w:autoSpaceDE w:val="0"/>
        <w:autoSpaceDN w:val="0"/>
        <w:adjustRightInd w:val="0"/>
        <w:jc w:val="center"/>
        <w:rPr>
          <w:rFonts w:cs="Times New Roman"/>
          <w:szCs w:val="24"/>
        </w:rPr>
      </w:pPr>
      <w:r w:rsidRPr="00734276">
        <w:rPr>
          <w:rFonts w:cs="Times New Roman"/>
          <w:szCs w:val="24"/>
        </w:rPr>
        <w:t>____________________</w:t>
      </w:r>
    </w:p>
    <w:p w14:paraId="1EC3B58E" w14:textId="77777777" w:rsidR="006A4CD7" w:rsidRPr="006A4CD7" w:rsidRDefault="006A4CD7" w:rsidP="0060759C">
      <w:pPr>
        <w:autoSpaceDE w:val="0"/>
        <w:autoSpaceDN w:val="0"/>
        <w:adjustRightInd w:val="0"/>
        <w:rPr>
          <w:rFonts w:cs="Times New Roman"/>
          <w:szCs w:val="24"/>
        </w:rPr>
      </w:pPr>
    </w:p>
    <w:p w14:paraId="5518DA42" w14:textId="4E6DD3E6" w:rsidR="006A4CD7" w:rsidRPr="006A4CD7" w:rsidRDefault="006A4CD7" w:rsidP="00BF5CD7">
      <w:pPr>
        <w:pStyle w:val="Heading1"/>
      </w:pPr>
      <w:r w:rsidRPr="006A4CD7">
        <w:br w:type="page"/>
      </w:r>
      <w:bookmarkStart w:id="118" w:name="_Toc117512413"/>
      <w:r w:rsidRPr="006A4CD7">
        <w:lastRenderedPageBreak/>
        <w:t>Introductory Comment</w:t>
      </w:r>
      <w:bookmarkEnd w:id="118"/>
    </w:p>
    <w:p w14:paraId="3579EF5E" w14:textId="77777777" w:rsidR="006A4CD7" w:rsidRPr="006A4CD7" w:rsidRDefault="006A4CD7" w:rsidP="0060759C">
      <w:pPr>
        <w:autoSpaceDE w:val="0"/>
        <w:autoSpaceDN w:val="0"/>
        <w:adjustRightInd w:val="0"/>
        <w:rPr>
          <w:rFonts w:cs="Times New Roman"/>
          <w:szCs w:val="24"/>
        </w:rPr>
      </w:pPr>
    </w:p>
    <w:p w14:paraId="21E0B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This chapter focuses on 42 U.S.C. § 1983, which provides:</w:t>
      </w:r>
    </w:p>
    <w:p w14:paraId="44E7A9A1" w14:textId="77777777" w:rsidR="006A4CD7" w:rsidRPr="006A4CD7" w:rsidRDefault="006A4CD7" w:rsidP="0060759C">
      <w:pPr>
        <w:autoSpaceDE w:val="0"/>
        <w:autoSpaceDN w:val="0"/>
        <w:adjustRightInd w:val="0"/>
        <w:rPr>
          <w:rFonts w:cs="Times New Roman"/>
          <w:szCs w:val="24"/>
        </w:rPr>
      </w:pPr>
    </w:p>
    <w:p w14:paraId="06635178"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2B39231D" w14:textId="77777777" w:rsidR="006A4CD7" w:rsidRPr="006A4CD7" w:rsidRDefault="006A4CD7" w:rsidP="0060759C">
      <w:pPr>
        <w:autoSpaceDE w:val="0"/>
        <w:autoSpaceDN w:val="0"/>
        <w:adjustRightInd w:val="0"/>
        <w:rPr>
          <w:rFonts w:cs="Times New Roman"/>
          <w:szCs w:val="24"/>
        </w:rPr>
      </w:pPr>
    </w:p>
    <w:p w14:paraId="4A04E40E" w14:textId="77777777" w:rsidR="00EC5E41" w:rsidRDefault="006A4CD7" w:rsidP="0060759C">
      <w:pPr>
        <w:autoSpaceDE w:val="0"/>
        <w:autoSpaceDN w:val="0"/>
        <w:adjustRightInd w:val="0"/>
        <w:rPr>
          <w:rFonts w:cs="Times New Roman"/>
          <w:szCs w:val="24"/>
        </w:rPr>
      </w:pPr>
      <w:r w:rsidRPr="006A4CD7">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38ADC2BB"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0E8E8C15" w14:textId="77777777" w:rsidTr="006A4CD7">
        <w:trPr>
          <w:cantSplit/>
        </w:trPr>
        <w:tc>
          <w:tcPr>
            <w:tcW w:w="9360" w:type="dxa"/>
            <w:gridSpan w:val="3"/>
            <w:tcBorders>
              <w:top w:val="single" w:sz="6" w:space="0" w:color="000000"/>
              <w:left w:val="single" w:sz="6" w:space="0" w:color="000000"/>
              <w:bottom w:val="nil"/>
              <w:right w:val="single" w:sz="6" w:space="0" w:color="000000"/>
            </w:tcBorders>
          </w:tcPr>
          <w:p w14:paraId="7D144B02"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b/>
                <w:bCs/>
                <w:szCs w:val="24"/>
              </w:rPr>
              <w:t xml:space="preserve">Elements Instructions </w:t>
            </w:r>
          </w:p>
        </w:tc>
      </w:tr>
      <w:tr w:rsidR="006A4CD7" w:rsidRPr="006A4CD7" w14:paraId="324F4CF2" w14:textId="77777777">
        <w:trPr>
          <w:cantSplit/>
        </w:trPr>
        <w:tc>
          <w:tcPr>
            <w:tcW w:w="2700" w:type="dxa"/>
            <w:tcBorders>
              <w:top w:val="single" w:sz="6" w:space="0" w:color="000000"/>
              <w:left w:val="single" w:sz="6" w:space="0" w:color="000000"/>
              <w:bottom w:val="nil"/>
              <w:right w:val="nil"/>
            </w:tcBorders>
          </w:tcPr>
          <w:p w14:paraId="0DA0BAF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Type of Claim</w:t>
            </w:r>
          </w:p>
        </w:tc>
        <w:tc>
          <w:tcPr>
            <w:tcW w:w="4860" w:type="dxa"/>
            <w:tcBorders>
              <w:top w:val="single" w:sz="6" w:space="0" w:color="000000"/>
              <w:left w:val="single" w:sz="6" w:space="0" w:color="000000"/>
              <w:bottom w:val="nil"/>
              <w:right w:val="nil"/>
            </w:tcBorders>
          </w:tcPr>
          <w:p w14:paraId="6A30D46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 xml:space="preserve">Elements </w:t>
            </w:r>
          </w:p>
        </w:tc>
        <w:tc>
          <w:tcPr>
            <w:tcW w:w="1800" w:type="dxa"/>
            <w:tcBorders>
              <w:top w:val="single" w:sz="6" w:space="0" w:color="000000"/>
              <w:left w:val="single" w:sz="6" w:space="0" w:color="000000"/>
              <w:bottom w:val="nil"/>
              <w:right w:val="single" w:sz="6" w:space="0" w:color="000000"/>
            </w:tcBorders>
          </w:tcPr>
          <w:p w14:paraId="6E50F18B"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Instruction No.</w:t>
            </w:r>
          </w:p>
        </w:tc>
      </w:tr>
      <w:tr w:rsidR="006A4CD7" w:rsidRPr="006A4CD7" w14:paraId="55E1AE08" w14:textId="77777777" w:rsidTr="00EC5E41">
        <w:trPr>
          <w:cantSplit/>
        </w:trPr>
        <w:tc>
          <w:tcPr>
            <w:tcW w:w="2700" w:type="dxa"/>
            <w:vMerge w:val="restart"/>
            <w:tcBorders>
              <w:top w:val="single" w:sz="6" w:space="0" w:color="000000"/>
              <w:left w:val="single" w:sz="6" w:space="0" w:color="000000"/>
              <w:bottom w:val="nil"/>
              <w:right w:val="nil"/>
            </w:tcBorders>
            <w:vAlign w:val="center"/>
          </w:tcPr>
          <w:p w14:paraId="2747A5AD" w14:textId="77777777" w:rsidR="006A4CD7" w:rsidRPr="006A4CD7" w:rsidRDefault="006A4CD7" w:rsidP="00EC5E41">
            <w:pPr>
              <w:autoSpaceDE w:val="0"/>
              <w:autoSpaceDN w:val="0"/>
              <w:adjustRightInd w:val="0"/>
              <w:rPr>
                <w:rFonts w:cs="Times New Roman"/>
                <w:szCs w:val="24"/>
              </w:rPr>
            </w:pPr>
            <w:r w:rsidRPr="006A4CD7">
              <w:rPr>
                <w:rFonts w:cs="Times New Roman"/>
                <w:szCs w:val="24"/>
              </w:rPr>
              <w:t>Against Individuals</w:t>
            </w:r>
          </w:p>
        </w:tc>
        <w:tc>
          <w:tcPr>
            <w:tcW w:w="4860" w:type="dxa"/>
            <w:tcBorders>
              <w:top w:val="single" w:sz="6" w:space="0" w:color="000000"/>
              <w:left w:val="single" w:sz="6" w:space="0" w:color="000000"/>
              <w:bottom w:val="nil"/>
              <w:right w:val="nil"/>
            </w:tcBorders>
          </w:tcPr>
          <w:p w14:paraId="02AB9573"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Individual Capacity</w:t>
            </w:r>
          </w:p>
        </w:tc>
        <w:tc>
          <w:tcPr>
            <w:tcW w:w="1800" w:type="dxa"/>
            <w:tcBorders>
              <w:top w:val="single" w:sz="6" w:space="0" w:color="000000"/>
              <w:left w:val="single" w:sz="6" w:space="0" w:color="000000"/>
              <w:bottom w:val="nil"/>
              <w:right w:val="single" w:sz="6" w:space="0" w:color="000000"/>
            </w:tcBorders>
          </w:tcPr>
          <w:p w14:paraId="0B9107B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9.3</w:t>
            </w:r>
          </w:p>
        </w:tc>
      </w:tr>
      <w:tr w:rsidR="006A4CD7" w:rsidRPr="006A4CD7" w14:paraId="64FC2E5C" w14:textId="77777777">
        <w:trPr>
          <w:cantSplit/>
        </w:trPr>
        <w:tc>
          <w:tcPr>
            <w:tcW w:w="2700" w:type="dxa"/>
            <w:vMerge/>
            <w:tcBorders>
              <w:top w:val="single" w:sz="6" w:space="0" w:color="000000"/>
              <w:left w:val="single" w:sz="6" w:space="0" w:color="000000"/>
              <w:bottom w:val="nil"/>
              <w:right w:val="nil"/>
            </w:tcBorders>
          </w:tcPr>
          <w:p w14:paraId="4DDE3C5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61BEBA0A"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6CF3EDF1"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9.4</w:t>
            </w:r>
          </w:p>
        </w:tc>
      </w:tr>
      <w:tr w:rsidR="006A4CD7" w:rsidRPr="006A4CD7" w14:paraId="79D2C023" w14:textId="77777777" w:rsidTr="00EC5E4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98B6A58" w14:textId="77777777" w:rsidR="006A4CD7" w:rsidRPr="006A4CD7" w:rsidRDefault="006A4CD7" w:rsidP="00EC5E41">
            <w:pPr>
              <w:autoSpaceDE w:val="0"/>
              <w:autoSpaceDN w:val="0"/>
              <w:adjustRightInd w:val="0"/>
              <w:spacing w:after="55"/>
              <w:rPr>
                <w:rFonts w:cs="Times New Roman"/>
                <w:szCs w:val="24"/>
              </w:rPr>
            </w:pPr>
            <w:r w:rsidRPr="006A4CD7">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347B938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03D7688E"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9.5</w:t>
            </w:r>
          </w:p>
        </w:tc>
      </w:tr>
      <w:tr w:rsidR="006A4CD7" w:rsidRPr="006A4CD7" w14:paraId="37A69943" w14:textId="77777777">
        <w:trPr>
          <w:cantSplit/>
        </w:trPr>
        <w:tc>
          <w:tcPr>
            <w:tcW w:w="2700" w:type="dxa"/>
            <w:vMerge/>
            <w:tcBorders>
              <w:top w:val="single" w:sz="6" w:space="0" w:color="000000"/>
              <w:left w:val="single" w:sz="6" w:space="0" w:color="000000"/>
              <w:bottom w:val="nil"/>
              <w:right w:val="nil"/>
            </w:tcBorders>
          </w:tcPr>
          <w:p w14:paraId="2521F388"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28862C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654232E0"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9.6</w:t>
            </w:r>
          </w:p>
        </w:tc>
      </w:tr>
      <w:tr w:rsidR="006A4CD7" w:rsidRPr="006A4CD7" w14:paraId="65AAAF86" w14:textId="77777777">
        <w:trPr>
          <w:cantSplit/>
        </w:trPr>
        <w:tc>
          <w:tcPr>
            <w:tcW w:w="2700" w:type="dxa"/>
            <w:vMerge/>
            <w:tcBorders>
              <w:top w:val="single" w:sz="6" w:space="0" w:color="000000"/>
              <w:left w:val="single" w:sz="6" w:space="0" w:color="000000"/>
              <w:bottom w:val="nil"/>
              <w:right w:val="nil"/>
            </w:tcBorders>
          </w:tcPr>
          <w:p w14:paraId="0D5269AC"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DACA628"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Ratification</w:t>
            </w:r>
          </w:p>
        </w:tc>
        <w:tc>
          <w:tcPr>
            <w:tcW w:w="1800" w:type="dxa"/>
            <w:tcBorders>
              <w:top w:val="single" w:sz="6" w:space="0" w:color="000000"/>
              <w:left w:val="single" w:sz="6" w:space="0" w:color="000000"/>
              <w:bottom w:val="nil"/>
              <w:right w:val="single" w:sz="6" w:space="0" w:color="000000"/>
            </w:tcBorders>
          </w:tcPr>
          <w:p w14:paraId="536F089F"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9.7</w:t>
            </w:r>
          </w:p>
        </w:tc>
      </w:tr>
      <w:tr w:rsidR="006A4CD7" w:rsidRPr="006A4CD7" w14:paraId="286C7D19" w14:textId="77777777">
        <w:trPr>
          <w:cantSplit/>
        </w:trPr>
        <w:tc>
          <w:tcPr>
            <w:tcW w:w="2700" w:type="dxa"/>
            <w:vMerge/>
            <w:tcBorders>
              <w:top w:val="single" w:sz="6" w:space="0" w:color="000000"/>
              <w:left w:val="single" w:sz="6" w:space="0" w:color="000000"/>
              <w:bottom w:val="single" w:sz="6" w:space="0" w:color="000000"/>
              <w:right w:val="nil"/>
            </w:tcBorders>
          </w:tcPr>
          <w:p w14:paraId="601C99D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4447D2F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274DDC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9.8</w:t>
            </w:r>
          </w:p>
        </w:tc>
      </w:tr>
    </w:tbl>
    <w:p w14:paraId="6507FA34" w14:textId="77777777" w:rsidR="006A4CD7" w:rsidRPr="006A4CD7" w:rsidRDefault="006A4CD7" w:rsidP="0060759C">
      <w:pPr>
        <w:autoSpaceDE w:val="0"/>
        <w:autoSpaceDN w:val="0"/>
        <w:adjustRightInd w:val="0"/>
        <w:rPr>
          <w:rFonts w:cs="Times New Roman"/>
          <w:szCs w:val="24"/>
        </w:rPr>
      </w:pPr>
    </w:p>
    <w:p w14:paraId="7E1679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chart below identifies the instructions for violations of particular federal rights to be used in conjunction with an elements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A4CD7">
        <w:rPr>
          <w:rFonts w:cs="Times New Roman"/>
          <w:i/>
          <w:iCs/>
          <w:szCs w:val="24"/>
        </w:rPr>
        <w:t>Albright v. Oliver</w:t>
      </w:r>
      <w:r w:rsidRPr="006A4CD7">
        <w:rPr>
          <w:rFonts w:cs="Times New Roman"/>
          <w:szCs w:val="24"/>
        </w:rPr>
        <w:t xml:space="preserve">, 510 U.S. 266, 273 (1994) (plurality opinion) (quoting </w:t>
      </w:r>
      <w:r w:rsidRPr="006A4CD7">
        <w:rPr>
          <w:rFonts w:cs="Times New Roman"/>
          <w:i/>
          <w:iCs/>
          <w:szCs w:val="24"/>
        </w:rPr>
        <w:t>Graham v. Connor</w:t>
      </w:r>
      <w:r w:rsidRPr="006A4CD7">
        <w:rPr>
          <w:rFonts w:cs="Times New Roman"/>
          <w:szCs w:val="24"/>
        </w:rPr>
        <w:t xml:space="preserve">, 490 U.S. 386, 395 (1989)); </w:t>
      </w:r>
      <w:r w:rsidRPr="006A4CD7">
        <w:rPr>
          <w:rFonts w:cs="Times New Roman"/>
          <w:i/>
          <w:iCs/>
          <w:szCs w:val="24"/>
        </w:rPr>
        <w:t xml:space="preserve">Kirkpatrick v. </w:t>
      </w:r>
      <w:proofErr w:type="spellStart"/>
      <w:r w:rsidRPr="006A4CD7">
        <w:rPr>
          <w:rFonts w:cs="Times New Roman"/>
          <w:i/>
          <w:iCs/>
          <w:szCs w:val="24"/>
        </w:rPr>
        <w:t>Cnty</w:t>
      </w:r>
      <w:proofErr w:type="spellEnd"/>
      <w:r w:rsidRPr="006A4CD7">
        <w:rPr>
          <w:rFonts w:cs="Times New Roman"/>
          <w:i/>
          <w:iCs/>
          <w:szCs w:val="24"/>
        </w:rPr>
        <w:t xml:space="preserve"> of Washoe</w:t>
      </w:r>
      <w:r w:rsidRPr="006A4CD7">
        <w:rPr>
          <w:rFonts w:cs="Times New Roman"/>
          <w:szCs w:val="24"/>
        </w:rPr>
        <w:t xml:space="preserve">, 843 F.3d 784, 788 n.2 (9th Cir. 2016).  When necessary, these instructions include right-specific mental states because § 1983 itself “contains no independent state-of-mind requirement” apart </w:t>
      </w:r>
      <w:r w:rsidRPr="006A4CD7">
        <w:rPr>
          <w:rFonts w:cs="Times New Roman"/>
          <w:szCs w:val="24"/>
        </w:rPr>
        <w:lastRenderedPageBreak/>
        <w:t xml:space="preserve">from what is necessary to state a violation of the underlying right.  </w:t>
      </w:r>
      <w:r w:rsidRPr="006A4CD7">
        <w:rPr>
          <w:rFonts w:cs="Times New Roman"/>
          <w:i/>
          <w:iCs/>
          <w:szCs w:val="24"/>
        </w:rPr>
        <w:t>Daniels v. Williams</w:t>
      </w:r>
      <w:r w:rsidRPr="006A4CD7">
        <w:rPr>
          <w:rFonts w:cs="Times New Roman"/>
          <w:szCs w:val="24"/>
        </w:rPr>
        <w:t xml:space="preserve">, 474 U.S. 327, 328 (1986). </w:t>
      </w:r>
    </w:p>
    <w:p w14:paraId="3F48B06F" w14:textId="77777777" w:rsidR="006A4CD7" w:rsidRPr="006A4CD7" w:rsidRDefault="006A4CD7" w:rsidP="0060759C">
      <w:pPr>
        <w:autoSpaceDE w:val="0"/>
        <w:autoSpaceDN w:val="0"/>
        <w:adjustRightInd w:val="0"/>
        <w:rPr>
          <w:rFonts w:cs="Times New Roman"/>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A4CD7" w:rsidRPr="006A4CD7" w14:paraId="7D72ED1A" w14:textId="77777777" w:rsidTr="00DD4CDD">
        <w:trPr>
          <w:cantSplit/>
        </w:trPr>
        <w:tc>
          <w:tcPr>
            <w:tcW w:w="9360" w:type="dxa"/>
            <w:gridSpan w:val="4"/>
            <w:tcBorders>
              <w:top w:val="single" w:sz="6" w:space="0" w:color="000000"/>
              <w:left w:val="single" w:sz="6" w:space="0" w:color="000000"/>
              <w:bottom w:val="nil"/>
              <w:right w:val="single" w:sz="6" w:space="0" w:color="000000"/>
            </w:tcBorders>
          </w:tcPr>
          <w:p w14:paraId="62A56079"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b/>
                <w:bCs/>
                <w:szCs w:val="24"/>
              </w:rPr>
              <w:t>Particular Rights Instructions</w:t>
            </w:r>
          </w:p>
        </w:tc>
      </w:tr>
      <w:tr w:rsidR="006A4CD7" w:rsidRPr="006A4CD7" w14:paraId="2A719460" w14:textId="77777777" w:rsidTr="00DD4CDD">
        <w:trPr>
          <w:cantSplit/>
        </w:trPr>
        <w:tc>
          <w:tcPr>
            <w:tcW w:w="2700" w:type="dxa"/>
            <w:tcBorders>
              <w:top w:val="single" w:sz="6" w:space="0" w:color="000000"/>
              <w:left w:val="single" w:sz="6" w:space="0" w:color="000000"/>
              <w:bottom w:val="nil"/>
              <w:right w:val="nil"/>
            </w:tcBorders>
            <w:vAlign w:val="center"/>
          </w:tcPr>
          <w:p w14:paraId="3CFEF4E8" w14:textId="77777777" w:rsidR="006A4CD7" w:rsidRPr="006A4CD7" w:rsidRDefault="006A4CD7" w:rsidP="00455B81">
            <w:pPr>
              <w:autoSpaceDE w:val="0"/>
              <w:autoSpaceDN w:val="0"/>
              <w:adjustRightInd w:val="0"/>
              <w:spacing w:before="100" w:after="56"/>
              <w:rPr>
                <w:rFonts w:cs="Times New Roman"/>
                <w:szCs w:val="24"/>
              </w:rPr>
            </w:pPr>
            <w:r w:rsidRPr="006A4CD7">
              <w:rPr>
                <w:rFonts w:cs="Times New Roman"/>
                <w:szCs w:val="24"/>
              </w:rPr>
              <w:t>Type of Claim by Source</w:t>
            </w:r>
          </w:p>
        </w:tc>
        <w:tc>
          <w:tcPr>
            <w:tcW w:w="4860" w:type="dxa"/>
            <w:gridSpan w:val="2"/>
            <w:tcBorders>
              <w:top w:val="single" w:sz="6" w:space="0" w:color="000000"/>
              <w:left w:val="single" w:sz="6" w:space="0" w:color="000000"/>
              <w:bottom w:val="nil"/>
              <w:right w:val="nil"/>
            </w:tcBorders>
          </w:tcPr>
          <w:p w14:paraId="1C0648DE"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Elements</w:t>
            </w:r>
          </w:p>
        </w:tc>
        <w:tc>
          <w:tcPr>
            <w:tcW w:w="1800" w:type="dxa"/>
            <w:tcBorders>
              <w:top w:val="single" w:sz="6" w:space="0" w:color="000000"/>
              <w:left w:val="single" w:sz="6" w:space="0" w:color="000000"/>
              <w:bottom w:val="nil"/>
              <w:right w:val="single" w:sz="6" w:space="0" w:color="000000"/>
            </w:tcBorders>
          </w:tcPr>
          <w:p w14:paraId="3826254C"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Instruction No.</w:t>
            </w:r>
          </w:p>
        </w:tc>
      </w:tr>
      <w:tr w:rsidR="006A4CD7" w:rsidRPr="006A4CD7" w14:paraId="7EDDF606"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255F074"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First Amendment</w:t>
            </w:r>
          </w:p>
        </w:tc>
        <w:tc>
          <w:tcPr>
            <w:tcW w:w="4860" w:type="dxa"/>
            <w:gridSpan w:val="2"/>
            <w:tcBorders>
              <w:top w:val="single" w:sz="6" w:space="0" w:color="000000"/>
              <w:left w:val="single" w:sz="6" w:space="0" w:color="000000"/>
              <w:bottom w:val="nil"/>
              <w:right w:val="nil"/>
            </w:tcBorders>
          </w:tcPr>
          <w:p w14:paraId="15F67A3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Public Employee Speech</w:t>
            </w:r>
          </w:p>
        </w:tc>
        <w:tc>
          <w:tcPr>
            <w:tcW w:w="1800" w:type="dxa"/>
            <w:tcBorders>
              <w:top w:val="single" w:sz="6" w:space="0" w:color="000000"/>
              <w:left w:val="single" w:sz="6" w:space="0" w:color="000000"/>
              <w:bottom w:val="nil"/>
              <w:right w:val="single" w:sz="6" w:space="0" w:color="000000"/>
            </w:tcBorders>
          </w:tcPr>
          <w:p w14:paraId="2BBB754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9.9</w:t>
            </w:r>
          </w:p>
          <w:p w14:paraId="518F3B2C"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9.10</w:t>
            </w:r>
          </w:p>
        </w:tc>
      </w:tr>
      <w:tr w:rsidR="006A4CD7" w:rsidRPr="006A4CD7" w14:paraId="06E23F48" w14:textId="77777777" w:rsidTr="00DD4CDD">
        <w:trPr>
          <w:cantSplit/>
          <w:trHeight w:val="453"/>
        </w:trPr>
        <w:tc>
          <w:tcPr>
            <w:tcW w:w="2700" w:type="dxa"/>
            <w:vMerge/>
            <w:tcBorders>
              <w:top w:val="single" w:sz="6" w:space="0" w:color="000000"/>
              <w:left w:val="single" w:sz="6" w:space="0" w:color="000000"/>
              <w:bottom w:val="nil"/>
              <w:right w:val="nil"/>
            </w:tcBorders>
          </w:tcPr>
          <w:p w14:paraId="24344BBA"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549E8A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“Citizen” Plaintiff</w:t>
            </w:r>
          </w:p>
        </w:tc>
        <w:tc>
          <w:tcPr>
            <w:tcW w:w="1800" w:type="dxa"/>
            <w:tcBorders>
              <w:top w:val="single" w:sz="6" w:space="0" w:color="000000"/>
              <w:left w:val="single" w:sz="6" w:space="0" w:color="000000"/>
              <w:bottom w:val="nil"/>
              <w:right w:val="single" w:sz="6" w:space="0" w:color="000000"/>
            </w:tcBorders>
          </w:tcPr>
          <w:p w14:paraId="7F7000F9"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9.11</w:t>
            </w:r>
          </w:p>
        </w:tc>
      </w:tr>
      <w:tr w:rsidR="006A4CD7" w:rsidRPr="006A4CD7" w14:paraId="15EEF28A"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30A2532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5E5C8FCD"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Search</w:t>
            </w:r>
          </w:p>
        </w:tc>
        <w:tc>
          <w:tcPr>
            <w:tcW w:w="4860" w:type="dxa"/>
            <w:gridSpan w:val="2"/>
            <w:tcBorders>
              <w:top w:val="single" w:sz="6" w:space="0" w:color="000000"/>
              <w:left w:val="single" w:sz="6" w:space="0" w:color="000000"/>
              <w:bottom w:val="nil"/>
              <w:right w:val="nil"/>
            </w:tcBorders>
          </w:tcPr>
          <w:p w14:paraId="20059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10B54A4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9.12</w:t>
            </w:r>
          </w:p>
        </w:tc>
      </w:tr>
      <w:tr w:rsidR="006A4CD7" w:rsidRPr="006A4CD7" w14:paraId="00C419F4" w14:textId="77777777" w:rsidTr="00DD4CDD">
        <w:trPr>
          <w:cantSplit/>
          <w:trHeight w:val="727"/>
        </w:trPr>
        <w:tc>
          <w:tcPr>
            <w:tcW w:w="2700" w:type="dxa"/>
            <w:vMerge/>
            <w:tcBorders>
              <w:top w:val="single" w:sz="6" w:space="0" w:color="000000"/>
              <w:left w:val="single" w:sz="6" w:space="0" w:color="000000"/>
              <w:bottom w:val="nil"/>
              <w:right w:val="nil"/>
            </w:tcBorders>
          </w:tcPr>
          <w:p w14:paraId="0ADB57D3"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val="restart"/>
            <w:tcBorders>
              <w:top w:val="single" w:sz="6" w:space="0" w:color="000000"/>
              <w:left w:val="single" w:sz="6" w:space="0" w:color="000000"/>
              <w:bottom w:val="nil"/>
              <w:right w:val="nil"/>
            </w:tcBorders>
          </w:tcPr>
          <w:p w14:paraId="1BC4FC44" w14:textId="77777777" w:rsidR="006A4CD7" w:rsidRPr="006A4CD7" w:rsidRDefault="006A4CD7" w:rsidP="0060759C">
            <w:pPr>
              <w:autoSpaceDE w:val="0"/>
              <w:autoSpaceDN w:val="0"/>
              <w:adjustRightInd w:val="0"/>
              <w:spacing w:before="100"/>
              <w:rPr>
                <w:rFonts w:cs="Times New Roman"/>
                <w:szCs w:val="24"/>
              </w:rPr>
            </w:pPr>
          </w:p>
          <w:p w14:paraId="6F0E8289" w14:textId="77777777" w:rsidR="006A4CD7" w:rsidRPr="006A4CD7" w:rsidRDefault="006A4CD7" w:rsidP="0060759C">
            <w:pPr>
              <w:autoSpaceDE w:val="0"/>
              <w:autoSpaceDN w:val="0"/>
              <w:adjustRightInd w:val="0"/>
              <w:rPr>
                <w:rFonts w:cs="Times New Roman"/>
                <w:szCs w:val="24"/>
              </w:rPr>
            </w:pPr>
          </w:p>
          <w:p w14:paraId="1AB2A6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Exception to Warrant Requirement</w:t>
            </w:r>
          </w:p>
          <w:p w14:paraId="52B1EE47" w14:textId="77777777" w:rsidR="006A4CD7" w:rsidRPr="006A4CD7" w:rsidRDefault="006A4CD7" w:rsidP="0060759C">
            <w:pPr>
              <w:autoSpaceDE w:val="0"/>
              <w:autoSpaceDN w:val="0"/>
              <w:adjustRightInd w:val="0"/>
              <w:spacing w:after="56"/>
              <w:rPr>
                <w:rFonts w:cs="Times New Roman"/>
                <w:szCs w:val="24"/>
              </w:rPr>
            </w:pPr>
          </w:p>
        </w:tc>
        <w:tc>
          <w:tcPr>
            <w:tcW w:w="2970" w:type="dxa"/>
            <w:tcBorders>
              <w:top w:val="single" w:sz="6" w:space="0" w:color="000000"/>
              <w:left w:val="single" w:sz="6" w:space="0" w:color="000000"/>
              <w:bottom w:val="nil"/>
              <w:right w:val="nil"/>
            </w:tcBorders>
          </w:tcPr>
          <w:p w14:paraId="0F0EFE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Search Incident to Arrest</w:t>
            </w:r>
          </w:p>
        </w:tc>
        <w:tc>
          <w:tcPr>
            <w:tcW w:w="1800" w:type="dxa"/>
            <w:tcBorders>
              <w:top w:val="single" w:sz="6" w:space="0" w:color="000000"/>
              <w:left w:val="single" w:sz="6" w:space="0" w:color="000000"/>
              <w:bottom w:val="nil"/>
              <w:right w:val="single" w:sz="6" w:space="0" w:color="000000"/>
            </w:tcBorders>
          </w:tcPr>
          <w:p w14:paraId="4D34ED8C"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 xml:space="preserve">9.13 </w:t>
            </w:r>
          </w:p>
          <w:p w14:paraId="0289EFE0"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9.14 (vehicle)</w:t>
            </w:r>
          </w:p>
        </w:tc>
      </w:tr>
      <w:tr w:rsidR="006A4CD7" w:rsidRPr="006A4CD7" w14:paraId="0D98C936" w14:textId="77777777" w:rsidTr="00DD4CDD">
        <w:trPr>
          <w:cantSplit/>
        </w:trPr>
        <w:tc>
          <w:tcPr>
            <w:tcW w:w="2700" w:type="dxa"/>
            <w:vMerge/>
            <w:tcBorders>
              <w:top w:val="single" w:sz="6" w:space="0" w:color="000000"/>
              <w:left w:val="single" w:sz="6" w:space="0" w:color="000000"/>
              <w:bottom w:val="nil"/>
              <w:right w:val="nil"/>
            </w:tcBorders>
          </w:tcPr>
          <w:p w14:paraId="7E24543F"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52C0E4F9"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4D1D077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Consent</w:t>
            </w:r>
          </w:p>
        </w:tc>
        <w:tc>
          <w:tcPr>
            <w:tcW w:w="1800" w:type="dxa"/>
            <w:tcBorders>
              <w:top w:val="single" w:sz="6" w:space="0" w:color="000000"/>
              <w:left w:val="single" w:sz="6" w:space="0" w:color="000000"/>
              <w:bottom w:val="nil"/>
              <w:right w:val="single" w:sz="6" w:space="0" w:color="000000"/>
            </w:tcBorders>
          </w:tcPr>
          <w:p w14:paraId="6DB32B8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9.15</w:t>
            </w:r>
          </w:p>
        </w:tc>
      </w:tr>
      <w:tr w:rsidR="006A4CD7" w:rsidRPr="006A4CD7" w14:paraId="3DE69D80" w14:textId="77777777" w:rsidTr="00DD4CDD">
        <w:trPr>
          <w:cantSplit/>
        </w:trPr>
        <w:tc>
          <w:tcPr>
            <w:tcW w:w="2700" w:type="dxa"/>
            <w:vMerge/>
            <w:tcBorders>
              <w:top w:val="single" w:sz="6" w:space="0" w:color="000000"/>
              <w:left w:val="single" w:sz="6" w:space="0" w:color="000000"/>
              <w:bottom w:val="nil"/>
              <w:right w:val="nil"/>
            </w:tcBorders>
          </w:tcPr>
          <w:p w14:paraId="396BCBE6"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777A01A1"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1E9D7DD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Exigent Circumstances</w:t>
            </w:r>
          </w:p>
        </w:tc>
        <w:tc>
          <w:tcPr>
            <w:tcW w:w="1800" w:type="dxa"/>
            <w:tcBorders>
              <w:top w:val="single" w:sz="6" w:space="0" w:color="000000"/>
              <w:left w:val="single" w:sz="6" w:space="0" w:color="000000"/>
              <w:bottom w:val="nil"/>
              <w:right w:val="single" w:sz="6" w:space="0" w:color="000000"/>
            </w:tcBorders>
          </w:tcPr>
          <w:p w14:paraId="1AF180C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9.16</w:t>
            </w:r>
          </w:p>
        </w:tc>
      </w:tr>
      <w:tr w:rsidR="006A4CD7" w:rsidRPr="006A4CD7" w14:paraId="395935ED" w14:textId="77777777" w:rsidTr="00DD4CDD">
        <w:trPr>
          <w:cantSplit/>
        </w:trPr>
        <w:tc>
          <w:tcPr>
            <w:tcW w:w="2700" w:type="dxa"/>
            <w:vMerge/>
            <w:tcBorders>
              <w:top w:val="single" w:sz="6" w:space="0" w:color="000000"/>
              <w:left w:val="single" w:sz="6" w:space="0" w:color="000000"/>
              <w:bottom w:val="nil"/>
              <w:right w:val="nil"/>
            </w:tcBorders>
          </w:tcPr>
          <w:p w14:paraId="5335025A"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33A82225"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5432AB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Emergency Aid</w:t>
            </w:r>
          </w:p>
        </w:tc>
        <w:tc>
          <w:tcPr>
            <w:tcW w:w="1800" w:type="dxa"/>
            <w:tcBorders>
              <w:top w:val="single" w:sz="6" w:space="0" w:color="000000"/>
              <w:left w:val="single" w:sz="6" w:space="0" w:color="000000"/>
              <w:bottom w:val="nil"/>
              <w:right w:val="single" w:sz="6" w:space="0" w:color="000000"/>
            </w:tcBorders>
          </w:tcPr>
          <w:p w14:paraId="36D8E1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w:t>
            </w:r>
          </w:p>
        </w:tc>
      </w:tr>
      <w:tr w:rsidR="006A4CD7" w:rsidRPr="006A4CD7" w14:paraId="10B78C94" w14:textId="77777777" w:rsidTr="00DD4CDD">
        <w:trPr>
          <w:cantSplit/>
        </w:trPr>
        <w:tc>
          <w:tcPr>
            <w:tcW w:w="2700" w:type="dxa"/>
            <w:vMerge/>
            <w:tcBorders>
              <w:top w:val="single" w:sz="6" w:space="0" w:color="000000"/>
              <w:left w:val="single" w:sz="6" w:space="0" w:color="000000"/>
              <w:bottom w:val="nil"/>
              <w:right w:val="nil"/>
            </w:tcBorders>
          </w:tcPr>
          <w:p w14:paraId="2E76A14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8154AD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03E559E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9.17A</w:t>
            </w:r>
          </w:p>
        </w:tc>
      </w:tr>
      <w:tr w:rsidR="006A4CD7" w:rsidRPr="006A4CD7" w14:paraId="6FB576FC"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C98B512"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Fourth Amendment</w:t>
            </w:r>
          </w:p>
          <w:p w14:paraId="3967734B"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Property</w:t>
            </w:r>
          </w:p>
        </w:tc>
        <w:tc>
          <w:tcPr>
            <w:tcW w:w="4860" w:type="dxa"/>
            <w:gridSpan w:val="2"/>
            <w:tcBorders>
              <w:top w:val="single" w:sz="6" w:space="0" w:color="000000"/>
              <w:left w:val="single" w:sz="6" w:space="0" w:color="000000"/>
              <w:bottom w:val="nil"/>
              <w:right w:val="nil"/>
            </w:tcBorders>
          </w:tcPr>
          <w:p w14:paraId="50BED28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43A0179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9.18</w:t>
            </w:r>
          </w:p>
        </w:tc>
      </w:tr>
      <w:tr w:rsidR="006A4CD7" w:rsidRPr="006A4CD7" w14:paraId="5E67D463" w14:textId="77777777" w:rsidTr="00DD4CDD">
        <w:trPr>
          <w:cantSplit/>
        </w:trPr>
        <w:tc>
          <w:tcPr>
            <w:tcW w:w="2700" w:type="dxa"/>
            <w:vMerge/>
            <w:tcBorders>
              <w:top w:val="single" w:sz="6" w:space="0" w:color="000000"/>
              <w:left w:val="single" w:sz="6" w:space="0" w:color="000000"/>
              <w:bottom w:val="nil"/>
              <w:right w:val="nil"/>
            </w:tcBorders>
          </w:tcPr>
          <w:p w14:paraId="1FA282CE"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880E9F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449D378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9.19</w:t>
            </w:r>
          </w:p>
        </w:tc>
      </w:tr>
      <w:tr w:rsidR="006A4CD7" w:rsidRPr="006A4CD7" w14:paraId="4FCD1D97"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504BC97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067C7223"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Person</w:t>
            </w:r>
          </w:p>
        </w:tc>
        <w:tc>
          <w:tcPr>
            <w:tcW w:w="4860" w:type="dxa"/>
            <w:gridSpan w:val="2"/>
            <w:tcBorders>
              <w:top w:val="single" w:sz="6" w:space="0" w:color="000000"/>
              <w:left w:val="single" w:sz="6" w:space="0" w:color="000000"/>
              <w:bottom w:val="nil"/>
              <w:right w:val="nil"/>
            </w:tcBorders>
          </w:tcPr>
          <w:p w14:paraId="6F335A0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2011393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9.20</w:t>
            </w:r>
          </w:p>
        </w:tc>
      </w:tr>
      <w:tr w:rsidR="006A4CD7" w:rsidRPr="006A4CD7" w14:paraId="444882E9" w14:textId="77777777" w:rsidTr="00DD4CDD">
        <w:trPr>
          <w:cantSplit/>
        </w:trPr>
        <w:tc>
          <w:tcPr>
            <w:tcW w:w="2700" w:type="dxa"/>
            <w:vMerge/>
            <w:tcBorders>
              <w:top w:val="single" w:sz="6" w:space="0" w:color="000000"/>
              <w:left w:val="single" w:sz="6" w:space="0" w:color="000000"/>
              <w:bottom w:val="nil"/>
              <w:right w:val="nil"/>
            </w:tcBorders>
          </w:tcPr>
          <w:p w14:paraId="0AF51A8D"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78084DE3" w14:textId="77777777" w:rsidR="006A4CD7" w:rsidRPr="006A4CD7" w:rsidRDefault="006A4CD7" w:rsidP="0060759C">
            <w:pPr>
              <w:autoSpaceDE w:val="0"/>
              <w:autoSpaceDN w:val="0"/>
              <w:adjustRightInd w:val="0"/>
              <w:spacing w:before="100"/>
              <w:rPr>
                <w:rFonts w:cs="Times New Roman"/>
                <w:i/>
                <w:iCs/>
                <w:szCs w:val="24"/>
              </w:rPr>
            </w:pPr>
            <w:r w:rsidRPr="006A4CD7">
              <w:rPr>
                <w:rFonts w:cs="Times New Roman"/>
                <w:szCs w:val="24"/>
              </w:rPr>
              <w:t xml:space="preserve">Exception to Warrant Requirement – </w:t>
            </w:r>
          </w:p>
          <w:p w14:paraId="71A10648" w14:textId="77777777" w:rsidR="006A4CD7" w:rsidRPr="006A4CD7" w:rsidRDefault="006A4CD7" w:rsidP="0060759C">
            <w:pPr>
              <w:autoSpaceDE w:val="0"/>
              <w:autoSpaceDN w:val="0"/>
              <w:adjustRightInd w:val="0"/>
              <w:spacing w:after="56"/>
              <w:rPr>
                <w:rFonts w:cs="Times New Roman"/>
                <w:szCs w:val="24"/>
              </w:rPr>
            </w:pPr>
            <w:r w:rsidRPr="006A4CD7">
              <w:rPr>
                <w:rFonts w:cs="Times New Roman"/>
                <w:i/>
                <w:iCs/>
                <w:szCs w:val="24"/>
              </w:rPr>
              <w:t>Terry v. Ohio</w:t>
            </w:r>
          </w:p>
        </w:tc>
        <w:tc>
          <w:tcPr>
            <w:tcW w:w="1800" w:type="dxa"/>
            <w:tcBorders>
              <w:top w:val="single" w:sz="6" w:space="0" w:color="000000"/>
              <w:left w:val="single" w:sz="6" w:space="0" w:color="000000"/>
              <w:bottom w:val="nil"/>
              <w:right w:val="single" w:sz="6" w:space="0" w:color="000000"/>
            </w:tcBorders>
          </w:tcPr>
          <w:p w14:paraId="497AEC12"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9.21 (stop)</w:t>
            </w:r>
          </w:p>
          <w:p w14:paraId="0BBF4862"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9.22 (frisk)</w:t>
            </w:r>
          </w:p>
        </w:tc>
      </w:tr>
      <w:tr w:rsidR="006A4CD7" w:rsidRPr="006A4CD7" w14:paraId="098732CF" w14:textId="77777777" w:rsidTr="00DD4CDD">
        <w:trPr>
          <w:cantSplit/>
        </w:trPr>
        <w:tc>
          <w:tcPr>
            <w:tcW w:w="2700" w:type="dxa"/>
            <w:vMerge/>
            <w:tcBorders>
              <w:top w:val="single" w:sz="6" w:space="0" w:color="000000"/>
              <w:left w:val="single" w:sz="6" w:space="0" w:color="000000"/>
              <w:bottom w:val="nil"/>
              <w:right w:val="nil"/>
            </w:tcBorders>
          </w:tcPr>
          <w:p w14:paraId="2CD2FE0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5686D7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Probable Cause Arrest</w:t>
            </w:r>
          </w:p>
        </w:tc>
        <w:tc>
          <w:tcPr>
            <w:tcW w:w="1800" w:type="dxa"/>
            <w:tcBorders>
              <w:top w:val="single" w:sz="6" w:space="0" w:color="000000"/>
              <w:left w:val="single" w:sz="6" w:space="0" w:color="000000"/>
              <w:bottom w:val="nil"/>
              <w:right w:val="single" w:sz="6" w:space="0" w:color="000000"/>
            </w:tcBorders>
          </w:tcPr>
          <w:p w14:paraId="023D6CE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9.23</w:t>
            </w:r>
          </w:p>
        </w:tc>
      </w:tr>
      <w:tr w:rsidR="006A4CD7" w:rsidRPr="006A4CD7" w14:paraId="2C11CF39" w14:textId="77777777" w:rsidTr="00DD4CDD">
        <w:trPr>
          <w:cantSplit/>
        </w:trPr>
        <w:tc>
          <w:tcPr>
            <w:tcW w:w="2700" w:type="dxa"/>
            <w:vMerge/>
            <w:tcBorders>
              <w:top w:val="single" w:sz="6" w:space="0" w:color="000000"/>
              <w:left w:val="single" w:sz="6" w:space="0" w:color="000000"/>
              <w:bottom w:val="nil"/>
              <w:right w:val="nil"/>
            </w:tcBorders>
          </w:tcPr>
          <w:p w14:paraId="22B4E9B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177235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22943D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9.24</w:t>
            </w:r>
          </w:p>
        </w:tc>
      </w:tr>
      <w:tr w:rsidR="006A4CD7" w:rsidRPr="006A4CD7" w14:paraId="1386D733" w14:textId="77777777" w:rsidTr="00DD4CDD">
        <w:trPr>
          <w:cantSplit/>
        </w:trPr>
        <w:tc>
          <w:tcPr>
            <w:tcW w:w="2700" w:type="dxa"/>
            <w:vMerge/>
            <w:tcBorders>
              <w:top w:val="single" w:sz="6" w:space="0" w:color="000000"/>
              <w:left w:val="single" w:sz="6" w:space="0" w:color="000000"/>
              <w:bottom w:val="nil"/>
              <w:right w:val="nil"/>
            </w:tcBorders>
          </w:tcPr>
          <w:p w14:paraId="42477F15"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4BE32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Excessive Force</w:t>
            </w:r>
          </w:p>
        </w:tc>
        <w:tc>
          <w:tcPr>
            <w:tcW w:w="1800" w:type="dxa"/>
            <w:tcBorders>
              <w:top w:val="single" w:sz="6" w:space="0" w:color="000000"/>
              <w:left w:val="single" w:sz="6" w:space="0" w:color="000000"/>
              <w:bottom w:val="nil"/>
              <w:right w:val="single" w:sz="6" w:space="0" w:color="000000"/>
            </w:tcBorders>
          </w:tcPr>
          <w:p w14:paraId="6392D87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9.25</w:t>
            </w:r>
          </w:p>
        </w:tc>
      </w:tr>
      <w:tr w:rsidR="006A4CD7" w:rsidRPr="006A4CD7" w14:paraId="73E2A30A" w14:textId="77777777" w:rsidTr="00DD4CDD">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6FA7913"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Eighth Amendment</w:t>
            </w:r>
          </w:p>
        </w:tc>
        <w:tc>
          <w:tcPr>
            <w:tcW w:w="4860" w:type="dxa"/>
            <w:gridSpan w:val="2"/>
            <w:tcBorders>
              <w:top w:val="single" w:sz="6" w:space="0" w:color="000000"/>
              <w:left w:val="single" w:sz="6" w:space="0" w:color="000000"/>
              <w:bottom w:val="nil"/>
              <w:right w:val="nil"/>
            </w:tcBorders>
          </w:tcPr>
          <w:p w14:paraId="4203948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1E6716C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w:t>
            </w:r>
          </w:p>
        </w:tc>
      </w:tr>
      <w:tr w:rsidR="006A4CD7" w:rsidRPr="006A4CD7" w14:paraId="0F6EA243" w14:textId="77777777" w:rsidTr="00DD4CDD">
        <w:trPr>
          <w:cantSplit/>
          <w:trHeight w:val="453"/>
        </w:trPr>
        <w:tc>
          <w:tcPr>
            <w:tcW w:w="2700" w:type="dxa"/>
            <w:vMerge/>
            <w:tcBorders>
              <w:top w:val="single" w:sz="6" w:space="0" w:color="000000"/>
              <w:left w:val="single" w:sz="6" w:space="0" w:color="000000"/>
              <w:bottom w:val="nil"/>
              <w:right w:val="nil"/>
            </w:tcBorders>
          </w:tcPr>
          <w:p w14:paraId="5895BE67"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3B6545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04CEDFD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9.26A</w:t>
            </w:r>
          </w:p>
        </w:tc>
      </w:tr>
      <w:tr w:rsidR="006A4CD7" w:rsidRPr="006A4CD7" w14:paraId="77BE2AF6" w14:textId="77777777" w:rsidTr="00DD4CDD">
        <w:trPr>
          <w:cantSplit/>
          <w:trHeight w:val="766"/>
        </w:trPr>
        <w:tc>
          <w:tcPr>
            <w:tcW w:w="2700" w:type="dxa"/>
            <w:vMerge/>
            <w:tcBorders>
              <w:top w:val="single" w:sz="6" w:space="0" w:color="000000"/>
              <w:left w:val="single" w:sz="6" w:space="0" w:color="000000"/>
              <w:bottom w:val="nil"/>
              <w:right w:val="nil"/>
            </w:tcBorders>
          </w:tcPr>
          <w:p w14:paraId="7E07C6AB"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B5D92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re Conditions of Confinement/Medical Care</w:t>
            </w:r>
            <w:r w:rsidRPr="006A4CD7">
              <w:rPr>
                <w:rFonts w:cs="Times New Roman"/>
                <w:szCs w:val="24"/>
              </w:rPr>
              <w:tab/>
            </w:r>
          </w:p>
        </w:tc>
        <w:tc>
          <w:tcPr>
            <w:tcW w:w="1800" w:type="dxa"/>
            <w:tcBorders>
              <w:top w:val="single" w:sz="6" w:space="0" w:color="000000"/>
              <w:left w:val="single" w:sz="6" w:space="0" w:color="000000"/>
              <w:bottom w:val="nil"/>
              <w:right w:val="single" w:sz="6" w:space="0" w:color="000000"/>
            </w:tcBorders>
          </w:tcPr>
          <w:p w14:paraId="1FD3705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9.27</w:t>
            </w:r>
          </w:p>
          <w:p w14:paraId="0D89BA56" w14:textId="77777777" w:rsidR="006A4CD7" w:rsidRPr="006A4CD7" w:rsidRDefault="006A4CD7" w:rsidP="0060759C">
            <w:pPr>
              <w:autoSpaceDE w:val="0"/>
              <w:autoSpaceDN w:val="0"/>
              <w:adjustRightInd w:val="0"/>
              <w:spacing w:after="56"/>
              <w:rPr>
                <w:rFonts w:cs="Times New Roman"/>
                <w:szCs w:val="24"/>
              </w:rPr>
            </w:pPr>
          </w:p>
        </w:tc>
      </w:tr>
      <w:tr w:rsidR="006A4CD7" w:rsidRPr="006A4CD7" w14:paraId="5ECED1FC" w14:textId="77777777" w:rsidTr="00DD4CDD">
        <w:trPr>
          <w:cantSplit/>
          <w:trHeight w:val="516"/>
        </w:trPr>
        <w:tc>
          <w:tcPr>
            <w:tcW w:w="2700" w:type="dxa"/>
            <w:vMerge/>
            <w:tcBorders>
              <w:top w:val="single" w:sz="6" w:space="0" w:color="000000"/>
              <w:left w:val="single" w:sz="6" w:space="0" w:color="000000"/>
              <w:bottom w:val="single" w:sz="6" w:space="0" w:color="000000"/>
              <w:right w:val="nil"/>
            </w:tcBorders>
          </w:tcPr>
          <w:p w14:paraId="558328A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23BAC61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4F4D2D47" w14:textId="6FB70B32" w:rsidR="001D04E0" w:rsidRPr="006A4CD7" w:rsidRDefault="006A4CD7" w:rsidP="0060759C">
            <w:pPr>
              <w:autoSpaceDE w:val="0"/>
              <w:autoSpaceDN w:val="0"/>
              <w:adjustRightInd w:val="0"/>
              <w:spacing w:before="100" w:after="56"/>
              <w:rPr>
                <w:rFonts w:cs="Times New Roman"/>
                <w:szCs w:val="24"/>
              </w:rPr>
            </w:pPr>
            <w:r w:rsidRPr="006A4CD7">
              <w:rPr>
                <w:rFonts w:cs="Times New Roman"/>
                <w:szCs w:val="24"/>
              </w:rPr>
              <w:t>9.28</w:t>
            </w:r>
          </w:p>
        </w:tc>
      </w:tr>
      <w:tr w:rsidR="006A4CD7" w:rsidRPr="006A4CD7" w14:paraId="03CF6CDC" w14:textId="77777777" w:rsidTr="00DD4CDD">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3F5A9E8B" w14:textId="77777777" w:rsidR="006A4CD7" w:rsidRPr="006A4CD7" w:rsidRDefault="006A4CD7" w:rsidP="00455B81">
            <w:pPr>
              <w:autoSpaceDE w:val="0"/>
              <w:autoSpaceDN w:val="0"/>
              <w:adjustRightInd w:val="0"/>
              <w:spacing w:before="100" w:after="54"/>
              <w:rPr>
                <w:rFonts w:cs="Times New Roman"/>
                <w:szCs w:val="24"/>
              </w:rPr>
            </w:pPr>
            <w:r w:rsidRPr="006A4CD7">
              <w:rPr>
                <w:rFonts w:cs="Times New Roman"/>
                <w:szCs w:val="24"/>
              </w:rPr>
              <w:t>Fourteenth Amendment</w:t>
            </w:r>
          </w:p>
        </w:tc>
        <w:tc>
          <w:tcPr>
            <w:tcW w:w="4860" w:type="dxa"/>
            <w:gridSpan w:val="2"/>
            <w:tcBorders>
              <w:top w:val="single" w:sz="6" w:space="0" w:color="000000"/>
              <w:left w:val="single" w:sz="6" w:space="0" w:color="000000"/>
              <w:bottom w:val="nil"/>
              <w:right w:val="nil"/>
            </w:tcBorders>
          </w:tcPr>
          <w:p w14:paraId="128106DA"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7AF09030"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9.29</w:t>
            </w:r>
          </w:p>
          <w:p w14:paraId="79D88E13" w14:textId="77777777" w:rsidR="006A4CD7" w:rsidRPr="006A4CD7" w:rsidRDefault="006A4CD7" w:rsidP="0060759C">
            <w:pPr>
              <w:autoSpaceDE w:val="0"/>
              <w:autoSpaceDN w:val="0"/>
              <w:adjustRightInd w:val="0"/>
              <w:spacing w:after="54"/>
              <w:rPr>
                <w:rFonts w:cs="Times New Roman"/>
                <w:szCs w:val="24"/>
              </w:rPr>
            </w:pPr>
          </w:p>
        </w:tc>
      </w:tr>
      <w:tr w:rsidR="006A4CD7" w:rsidRPr="006A4CD7" w14:paraId="67B4F3F2" w14:textId="77777777" w:rsidTr="00DD4CDD">
        <w:trPr>
          <w:cantSplit/>
          <w:trHeight w:val="766"/>
        </w:trPr>
        <w:tc>
          <w:tcPr>
            <w:tcW w:w="2700" w:type="dxa"/>
            <w:vMerge/>
            <w:tcBorders>
              <w:top w:val="single" w:sz="6" w:space="0" w:color="000000"/>
              <w:left w:val="single" w:sz="6" w:space="0" w:color="000000"/>
              <w:bottom w:val="nil"/>
              <w:right w:val="nil"/>
            </w:tcBorders>
          </w:tcPr>
          <w:p w14:paraId="478FF46F"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78A12F38"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5A9D82E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9.30</w:t>
            </w:r>
          </w:p>
        </w:tc>
      </w:tr>
      <w:tr w:rsidR="006A4CD7" w:rsidRPr="006A4CD7" w14:paraId="356F02C3" w14:textId="77777777" w:rsidTr="002B728E">
        <w:trPr>
          <w:cantSplit/>
          <w:trHeight w:val="462"/>
        </w:trPr>
        <w:tc>
          <w:tcPr>
            <w:tcW w:w="2700" w:type="dxa"/>
            <w:vMerge/>
            <w:tcBorders>
              <w:top w:val="single" w:sz="6" w:space="0" w:color="000000"/>
              <w:left w:val="single" w:sz="6" w:space="0" w:color="000000"/>
              <w:bottom w:val="nil"/>
              <w:right w:val="nil"/>
            </w:tcBorders>
          </w:tcPr>
          <w:p w14:paraId="23FF850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C9FFA0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40486C49"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9.31</w:t>
            </w:r>
          </w:p>
        </w:tc>
      </w:tr>
      <w:tr w:rsidR="006A4CD7" w:rsidRPr="006A4CD7" w14:paraId="46E201F7" w14:textId="77777777" w:rsidTr="002B728E">
        <w:trPr>
          <w:cantSplit/>
          <w:trHeight w:val="525"/>
        </w:trPr>
        <w:tc>
          <w:tcPr>
            <w:tcW w:w="2700" w:type="dxa"/>
            <w:vMerge/>
            <w:tcBorders>
              <w:top w:val="single" w:sz="6" w:space="0" w:color="000000"/>
              <w:left w:val="single" w:sz="6" w:space="0" w:color="000000"/>
              <w:bottom w:val="nil"/>
              <w:right w:val="nil"/>
            </w:tcBorders>
          </w:tcPr>
          <w:p w14:paraId="7EC9CF4C"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F229C5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0DD531B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9.32</w:t>
            </w:r>
          </w:p>
        </w:tc>
      </w:tr>
      <w:tr w:rsidR="006A4CD7" w:rsidRPr="006A4CD7" w14:paraId="473290E5" w14:textId="77777777" w:rsidTr="002B728E">
        <w:trPr>
          <w:cantSplit/>
          <w:trHeight w:val="525"/>
        </w:trPr>
        <w:tc>
          <w:tcPr>
            <w:tcW w:w="2700" w:type="dxa"/>
            <w:vMerge/>
            <w:tcBorders>
              <w:top w:val="single" w:sz="6" w:space="0" w:color="000000"/>
              <w:left w:val="single" w:sz="6" w:space="0" w:color="000000"/>
              <w:bottom w:val="nil"/>
              <w:right w:val="nil"/>
            </w:tcBorders>
          </w:tcPr>
          <w:p w14:paraId="6772468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09B005"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5CB2820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w:t>
            </w:r>
          </w:p>
        </w:tc>
      </w:tr>
      <w:tr w:rsidR="006A4CD7" w:rsidRPr="006A4CD7" w14:paraId="2B33DCD2" w14:textId="77777777" w:rsidTr="002B728E">
        <w:trPr>
          <w:cantSplit/>
          <w:trHeight w:val="525"/>
        </w:trPr>
        <w:tc>
          <w:tcPr>
            <w:tcW w:w="2700" w:type="dxa"/>
            <w:vMerge/>
            <w:tcBorders>
              <w:top w:val="single" w:sz="6" w:space="0" w:color="000000"/>
              <w:left w:val="single" w:sz="6" w:space="0" w:color="000000"/>
              <w:bottom w:val="nil"/>
              <w:right w:val="nil"/>
            </w:tcBorders>
          </w:tcPr>
          <w:p w14:paraId="79ED78E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45373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4863795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9.33A</w:t>
            </w:r>
          </w:p>
        </w:tc>
      </w:tr>
      <w:tr w:rsidR="006A4CD7" w:rsidRPr="006A4CD7" w14:paraId="4A785907" w14:textId="77777777" w:rsidTr="002B728E">
        <w:trPr>
          <w:cantSplit/>
          <w:trHeight w:val="525"/>
        </w:trPr>
        <w:tc>
          <w:tcPr>
            <w:tcW w:w="2700" w:type="dxa"/>
            <w:vMerge/>
            <w:tcBorders>
              <w:top w:val="single" w:sz="6" w:space="0" w:color="000000"/>
              <w:left w:val="single" w:sz="6" w:space="0" w:color="000000"/>
              <w:bottom w:val="single" w:sz="6" w:space="0" w:color="000000"/>
              <w:right w:val="nil"/>
            </w:tcBorders>
          </w:tcPr>
          <w:p w14:paraId="7FAB3DA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676A0A6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6A1F3670"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9.33B</w:t>
            </w:r>
          </w:p>
        </w:tc>
      </w:tr>
    </w:tbl>
    <w:p w14:paraId="05FC426E" w14:textId="77777777" w:rsidR="006A4CD7" w:rsidRPr="006A4CD7" w:rsidRDefault="006A4CD7" w:rsidP="0060759C">
      <w:pPr>
        <w:autoSpaceDE w:val="0"/>
        <w:autoSpaceDN w:val="0"/>
        <w:adjustRightInd w:val="0"/>
        <w:rPr>
          <w:rFonts w:cs="Times New Roman"/>
          <w:szCs w:val="24"/>
        </w:rPr>
      </w:pPr>
    </w:p>
    <w:p w14:paraId="398D241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Person Subject to § 1983 Liability</w:t>
      </w:r>
    </w:p>
    <w:p w14:paraId="76AF688A" w14:textId="77777777" w:rsidR="006A4CD7" w:rsidRPr="006A4CD7" w:rsidRDefault="006A4CD7" w:rsidP="0060759C">
      <w:pPr>
        <w:autoSpaceDE w:val="0"/>
        <w:autoSpaceDN w:val="0"/>
        <w:adjustRightInd w:val="0"/>
        <w:rPr>
          <w:rFonts w:cs="Times New Roman"/>
          <w:szCs w:val="24"/>
        </w:rPr>
      </w:pPr>
    </w:p>
    <w:p w14:paraId="424A6793" w14:textId="2034D919" w:rsidR="006A4CD7" w:rsidRPr="006A4CD7" w:rsidRDefault="006A4CD7" w:rsidP="0060759C">
      <w:pPr>
        <w:autoSpaceDE w:val="0"/>
        <w:autoSpaceDN w:val="0"/>
        <w:adjustRightInd w:val="0"/>
        <w:rPr>
          <w:rFonts w:cs="Times New Roman"/>
          <w:szCs w:val="24"/>
        </w:rPr>
      </w:pPr>
      <w:r w:rsidRPr="006A4CD7">
        <w:rPr>
          <w:rFonts w:cs="Times New Roman"/>
          <w:szCs w:val="24"/>
        </w:rPr>
        <w:tab/>
        <w:t>It is well settled that a “person” subject to liability can be an individual sued in an individual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Devereaux v. Abbey</w:t>
      </w:r>
      <w:r w:rsidRPr="006A4CD7">
        <w:rPr>
          <w:rFonts w:cs="Times New Roman"/>
          <w:szCs w:val="24"/>
        </w:rPr>
        <w:t>, 263 F.3d 1070, 1074 (9th Cir. 2001) (</w:t>
      </w:r>
      <w:proofErr w:type="spellStart"/>
      <w:r w:rsidRPr="006A4CD7">
        <w:rPr>
          <w:rFonts w:cs="Times New Roman"/>
          <w:szCs w:val="24"/>
        </w:rPr>
        <w:t>en</w:t>
      </w:r>
      <w:proofErr w:type="spellEnd"/>
      <w:r w:rsidRPr="006A4CD7">
        <w:rPr>
          <w:rFonts w:cs="Times New Roman"/>
          <w:szCs w:val="24"/>
        </w:rPr>
        <w:t xml:space="preserve"> banc)) or in an official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Hartmann v. Cal. </w:t>
      </w:r>
      <w:proofErr w:type="spellStart"/>
      <w:r w:rsidRPr="006A4CD7">
        <w:rPr>
          <w:rFonts w:cs="Times New Roman"/>
          <w:i/>
          <w:iCs/>
          <w:szCs w:val="24"/>
        </w:rPr>
        <w:t>Dep’t</w:t>
      </w:r>
      <w:proofErr w:type="spellEnd"/>
      <w:r w:rsidRPr="006A4CD7">
        <w:rPr>
          <w:rFonts w:cs="Times New Roman"/>
          <w:i/>
          <w:iCs/>
          <w:szCs w:val="24"/>
        </w:rPr>
        <w:t xml:space="preserve"> of Corr. &amp; Rehab.</w:t>
      </w:r>
      <w:r w:rsidRPr="006A4CD7">
        <w:rPr>
          <w:rFonts w:cs="Times New Roman"/>
          <w:szCs w:val="24"/>
        </w:rPr>
        <w:t>, 707 F.3d 1114, 1127 (9th Cir. 2013)).  A “person” subject to liability can also be a local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Waggy v. Spokane County</w:t>
      </w:r>
      <w:r w:rsidRPr="006A4CD7">
        <w:rPr>
          <w:rFonts w:cs="Times New Roman"/>
          <w:szCs w:val="24"/>
        </w:rPr>
        <w:t xml:space="preserve">, 594 F.3d 707, 713 (9th Cir. 2010)). </w:t>
      </w:r>
    </w:p>
    <w:p w14:paraId="3B744C8B" w14:textId="77777777" w:rsidR="006A4CD7" w:rsidRPr="006A4CD7" w:rsidRDefault="006A4CD7" w:rsidP="0060759C">
      <w:pPr>
        <w:autoSpaceDE w:val="0"/>
        <w:autoSpaceDN w:val="0"/>
        <w:adjustRightInd w:val="0"/>
        <w:rPr>
          <w:rFonts w:cs="Times New Roman"/>
          <w:szCs w:val="24"/>
        </w:rPr>
      </w:pPr>
    </w:p>
    <w:p w14:paraId="77A937A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Local Governing Body Liability</w:t>
      </w:r>
    </w:p>
    <w:p w14:paraId="31C9D71E" w14:textId="77777777" w:rsidR="006A4CD7" w:rsidRPr="006A4CD7" w:rsidRDefault="006A4CD7" w:rsidP="0060759C">
      <w:pPr>
        <w:autoSpaceDE w:val="0"/>
        <w:autoSpaceDN w:val="0"/>
        <w:adjustRightInd w:val="0"/>
        <w:rPr>
          <w:rFonts w:cs="Times New Roman"/>
          <w:szCs w:val="24"/>
        </w:rPr>
      </w:pPr>
    </w:p>
    <w:p w14:paraId="274E69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local governing body is not liable under § 1983 “unless action pursuant to official municipal policy of some nature caused a constitutional tort.”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Social Servs. of City of N.Y.</w:t>
      </w:r>
      <w:r w:rsidRPr="006A4CD7">
        <w:rPr>
          <w:rFonts w:cs="Times New Roman"/>
          <w:szCs w:val="24"/>
        </w:rPr>
        <w:t xml:space="preserve">, 436 U.S. 658, 691 (1978).  </w:t>
      </w:r>
      <w:r w:rsidRPr="006A4CD7">
        <w:rPr>
          <w:rFonts w:cs="Times New Roman"/>
          <w:i/>
          <w:iCs/>
          <w:szCs w:val="24"/>
        </w:rPr>
        <w:t xml:space="preserve">But see </w:t>
      </w:r>
      <w:r w:rsidRPr="006A4CD7">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w:t>
      </w:r>
      <w:proofErr w:type="spellStart"/>
      <w:r w:rsidRPr="006A4CD7">
        <w:rPr>
          <w:rFonts w:cs="Times New Roman"/>
          <w:szCs w:val="24"/>
        </w:rPr>
        <w:t>respondeat</w:t>
      </w:r>
      <w:proofErr w:type="spellEnd"/>
      <w:r w:rsidRPr="006A4CD7">
        <w:rPr>
          <w:rFonts w:cs="Times New Roman"/>
          <w:szCs w:val="24"/>
        </w:rPr>
        <w:t xml:space="preserve"> superior theory.”  </w:t>
      </w:r>
      <w:proofErr w:type="spellStart"/>
      <w:r w:rsidRPr="006A4CD7">
        <w:rPr>
          <w:rFonts w:cs="Times New Roman"/>
          <w:i/>
          <w:iCs/>
          <w:szCs w:val="24"/>
        </w:rPr>
        <w:t>Monell</w:t>
      </w:r>
      <w:proofErr w:type="spellEnd"/>
      <w:r w:rsidRPr="006A4CD7">
        <w:rPr>
          <w:rFonts w:cs="Times New Roman"/>
          <w:szCs w:val="24"/>
        </w:rPr>
        <w:t xml:space="preserve">, 436 U.S. at 691.  </w:t>
      </w:r>
    </w:p>
    <w:p w14:paraId="0639BCAA" w14:textId="77777777" w:rsidR="006A4CD7" w:rsidRPr="006A4CD7" w:rsidRDefault="006A4CD7" w:rsidP="0060759C">
      <w:pPr>
        <w:autoSpaceDE w:val="0"/>
        <w:autoSpaceDN w:val="0"/>
        <w:adjustRightInd w:val="0"/>
        <w:rPr>
          <w:rFonts w:cs="Times New Roman"/>
          <w:szCs w:val="24"/>
        </w:rPr>
      </w:pPr>
    </w:p>
    <w:p w14:paraId="70078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institutional defendant, such as a school district or municipality, is not entitled to qualified immunity.  </w:t>
      </w:r>
      <w:r w:rsidRPr="006A4CD7">
        <w:rPr>
          <w:rFonts w:cs="Times New Roman"/>
          <w:i/>
          <w:iCs/>
          <w:szCs w:val="24"/>
        </w:rPr>
        <w:t>See Owen v. Independence</w:t>
      </w:r>
      <w:r w:rsidRPr="006A4CD7">
        <w:rPr>
          <w:rFonts w:cs="Times New Roman"/>
          <w:szCs w:val="24"/>
        </w:rPr>
        <w:t>, 445 U.S. 622, 638 (1980) (holding that “municipality may not assert the good faith of its officers or agents as a defense to liability under § 1983”).</w:t>
      </w:r>
    </w:p>
    <w:p w14:paraId="6BF62B1E" w14:textId="77777777" w:rsidR="006A4CD7" w:rsidRPr="006A4CD7" w:rsidRDefault="006A4CD7" w:rsidP="0060759C">
      <w:pPr>
        <w:autoSpaceDE w:val="0"/>
        <w:autoSpaceDN w:val="0"/>
        <w:adjustRightInd w:val="0"/>
        <w:rPr>
          <w:rFonts w:cs="Times New Roman"/>
          <w:szCs w:val="24"/>
        </w:rPr>
      </w:pPr>
    </w:p>
    <w:p w14:paraId="5DE11BB4" w14:textId="696FF42D" w:rsidR="006A4CD7" w:rsidRDefault="006A4CD7" w:rsidP="0060759C">
      <w:pPr>
        <w:autoSpaceDE w:val="0"/>
        <w:autoSpaceDN w:val="0"/>
        <w:adjustRightInd w:val="0"/>
        <w:rPr>
          <w:rFonts w:cs="Times New Roman"/>
          <w:szCs w:val="24"/>
        </w:rPr>
      </w:pPr>
      <w:r w:rsidRPr="006A4CD7">
        <w:rPr>
          <w:rFonts w:cs="Times New Roman"/>
          <w:szCs w:val="24"/>
        </w:rPr>
        <w:tab/>
        <w:t xml:space="preserve">“The ‘official policy’ requirement ‘was intended to distinguish acts of the </w:t>
      </w:r>
      <w:r w:rsidRPr="006A4CD7">
        <w:rPr>
          <w:rFonts w:cs="Times New Roman"/>
          <w:i/>
          <w:iCs/>
          <w:szCs w:val="24"/>
        </w:rPr>
        <w:t>municipality</w:t>
      </w:r>
      <w:r w:rsidRPr="006A4CD7">
        <w:rPr>
          <w:rFonts w:cs="Times New Roman"/>
          <w:szCs w:val="24"/>
        </w:rPr>
        <w:t xml:space="preserve"> from acts of </w:t>
      </w:r>
      <w:r w:rsidRPr="006A4CD7">
        <w:rPr>
          <w:rFonts w:cs="Times New Roman"/>
          <w:i/>
          <w:iCs/>
          <w:szCs w:val="24"/>
        </w:rPr>
        <w:t>employees</w:t>
      </w:r>
      <w:r w:rsidRPr="006A4CD7">
        <w:rPr>
          <w:rFonts w:cs="Times New Roman"/>
          <w:szCs w:val="24"/>
        </w:rPr>
        <w:t xml:space="preserve"> of the municipality,’ and thereby make clear that municipal liability is limited to action for which the municipality is actually responsible.”  </w:t>
      </w:r>
      <w:proofErr w:type="spellStart"/>
      <w:r w:rsidRPr="006A4CD7">
        <w:rPr>
          <w:rFonts w:cs="Times New Roman"/>
          <w:i/>
          <w:iCs/>
          <w:szCs w:val="24"/>
        </w:rPr>
        <w:t>Pembaur</w:t>
      </w:r>
      <w:proofErr w:type="spellEnd"/>
      <w:r w:rsidRPr="006A4CD7">
        <w:rPr>
          <w:rFonts w:cs="Times New Roman"/>
          <w:i/>
          <w:iCs/>
          <w:szCs w:val="24"/>
        </w:rPr>
        <w:t xml:space="preserve"> v. City of Cincinnati, </w:t>
      </w:r>
      <w:r w:rsidRPr="006A4CD7">
        <w:rPr>
          <w:rFonts w:cs="Times New Roman"/>
          <w:szCs w:val="24"/>
        </w:rPr>
        <w:t>475 U.S. 469, 479-80 (1986) (emphasis in original).  Because there are several ways to establish “</w:t>
      </w:r>
      <w:proofErr w:type="spellStart"/>
      <w:r w:rsidRPr="006A4CD7">
        <w:rPr>
          <w:rFonts w:cs="Times New Roman"/>
          <w:i/>
          <w:iCs/>
          <w:szCs w:val="24"/>
        </w:rPr>
        <w:t>Monell</w:t>
      </w:r>
      <w:proofErr w:type="spellEnd"/>
      <w:r w:rsidRPr="006A4CD7">
        <w:rPr>
          <w:rFonts w:cs="Times New Roman"/>
          <w:szCs w:val="24"/>
        </w:rPr>
        <w:t xml:space="preserve"> liability,” </w:t>
      </w:r>
      <w:r w:rsidRPr="006A4CD7">
        <w:rPr>
          <w:rFonts w:cs="Times New Roman"/>
          <w:i/>
          <w:iCs/>
          <w:szCs w:val="24"/>
        </w:rPr>
        <w:t xml:space="preserve">see Christie v. </w:t>
      </w:r>
      <w:proofErr w:type="spellStart"/>
      <w:r w:rsidRPr="006A4CD7">
        <w:rPr>
          <w:rFonts w:cs="Times New Roman"/>
          <w:i/>
          <w:iCs/>
          <w:szCs w:val="24"/>
        </w:rPr>
        <w:t>Iopa</w:t>
      </w:r>
      <w:proofErr w:type="spellEnd"/>
      <w:r w:rsidRPr="006A4CD7">
        <w:rPr>
          <w:rFonts w:cs="Times New Roman"/>
          <w:szCs w:val="24"/>
        </w:rPr>
        <w:t>, 176 F.3d 1231, 1235 (9th Cir. 1999), the Committee also includes in this chapter separate elements instructions for several bases of such liability (Instructions 9.5, 9.6, 9.7, and 9.8).</w:t>
      </w:r>
    </w:p>
    <w:p w14:paraId="06F75C1C" w14:textId="5A955804" w:rsidR="00E62B5E" w:rsidRDefault="00E62B5E" w:rsidP="0060759C">
      <w:pPr>
        <w:autoSpaceDE w:val="0"/>
        <w:autoSpaceDN w:val="0"/>
        <w:adjustRightInd w:val="0"/>
        <w:rPr>
          <w:rFonts w:cs="Times New Roman"/>
          <w:szCs w:val="24"/>
        </w:rPr>
      </w:pPr>
    </w:p>
    <w:p w14:paraId="48AE9488" w14:textId="77777777" w:rsidR="00E62B5E" w:rsidRDefault="00E62B5E" w:rsidP="00E62B5E">
      <w:pPr>
        <w:rPr>
          <w:rFonts w:cs="Times New Roman"/>
          <w:b/>
          <w:bCs/>
          <w:szCs w:val="24"/>
        </w:rPr>
      </w:pPr>
    </w:p>
    <w:p w14:paraId="43697AC5" w14:textId="77777777" w:rsidR="00E62B5E" w:rsidRDefault="00E62B5E" w:rsidP="00E62B5E">
      <w:pPr>
        <w:rPr>
          <w:rFonts w:cs="Times New Roman"/>
          <w:b/>
          <w:bCs/>
          <w:szCs w:val="24"/>
        </w:rPr>
      </w:pPr>
    </w:p>
    <w:p w14:paraId="143ECE52" w14:textId="77777777" w:rsidR="00E62B5E" w:rsidRDefault="00E62B5E" w:rsidP="00E62B5E">
      <w:pPr>
        <w:rPr>
          <w:rFonts w:cs="Times New Roman"/>
          <w:b/>
          <w:bCs/>
          <w:szCs w:val="24"/>
        </w:rPr>
      </w:pPr>
    </w:p>
    <w:p w14:paraId="78945EEA" w14:textId="4097A26C" w:rsidR="00E62B5E" w:rsidRPr="0067704F" w:rsidRDefault="00E62B5E" w:rsidP="00E62B5E">
      <w:pPr>
        <w:rPr>
          <w:rFonts w:cs="Times New Roman"/>
          <w:b/>
          <w:bCs/>
          <w:szCs w:val="24"/>
        </w:rPr>
      </w:pPr>
      <w:r w:rsidRPr="0067704F">
        <w:rPr>
          <w:rFonts w:cs="Times New Roman"/>
          <w:b/>
          <w:bCs/>
          <w:szCs w:val="24"/>
        </w:rPr>
        <w:lastRenderedPageBreak/>
        <w:t>Good-Faith Defense</w:t>
      </w:r>
    </w:p>
    <w:p w14:paraId="6F0A2513" w14:textId="77777777" w:rsidR="00E62B5E" w:rsidRPr="0067704F" w:rsidRDefault="00E62B5E" w:rsidP="00E62B5E">
      <w:pPr>
        <w:rPr>
          <w:rFonts w:cs="Times New Roman"/>
          <w:szCs w:val="24"/>
        </w:rPr>
      </w:pPr>
    </w:p>
    <w:p w14:paraId="67C31294" w14:textId="77777777" w:rsidR="006F7C25" w:rsidRPr="0067704F" w:rsidRDefault="006F7C25" w:rsidP="006F7C25">
      <w:pPr>
        <w:ind w:firstLine="720"/>
        <w:rPr>
          <w:rFonts w:cs="Times New Roman"/>
          <w:szCs w:val="24"/>
        </w:rPr>
      </w:pPr>
      <w:r w:rsidRPr="0067704F">
        <w:rPr>
          <w:rFonts w:cs="Times New Roman"/>
          <w:szCs w:val="24"/>
        </w:rPr>
        <w:t xml:space="preserve">Both private parties and local governments “may invoke an affirmative defense of good faith to retrospective monetary liability under 42 U.S.C. § 1983, where they acted in direct reliance on then-binding Supreme Court precedent and presumptively-valid state law.” </w:t>
      </w:r>
      <w:r w:rsidRPr="00D80FFC">
        <w:rPr>
          <w:rFonts w:cs="Times New Roman"/>
          <w:i/>
          <w:iCs/>
          <w:szCs w:val="24"/>
        </w:rPr>
        <w:t>Danielson v. Inslee</w:t>
      </w:r>
      <w:r w:rsidRPr="0067704F">
        <w:rPr>
          <w:rFonts w:cs="Times New Roman"/>
          <w:szCs w:val="24"/>
        </w:rPr>
        <w:t xml:space="preserve">, 945 F.3d 1096, 1097 (9th Cir. 2019) (holding that public-sector unions could rely on good-faith defense to avoid liability for unlawful fees collected when binding precedent authorized such fees); </w:t>
      </w:r>
      <w:r w:rsidRPr="00D80FFC">
        <w:rPr>
          <w:rFonts w:cs="Times New Roman"/>
          <w:i/>
          <w:iCs/>
          <w:szCs w:val="24"/>
        </w:rPr>
        <w:t xml:space="preserve">see also Allen v. Santa Clara </w:t>
      </w:r>
      <w:proofErr w:type="spellStart"/>
      <w:r w:rsidRPr="00D80FFC">
        <w:rPr>
          <w:rFonts w:cs="Times New Roman"/>
          <w:i/>
          <w:iCs/>
          <w:szCs w:val="24"/>
        </w:rPr>
        <w:t>Cnty</w:t>
      </w:r>
      <w:proofErr w:type="spellEnd"/>
      <w:r w:rsidRPr="00D80FFC">
        <w:rPr>
          <w:rFonts w:cs="Times New Roman"/>
          <w:i/>
          <w:iCs/>
          <w:szCs w:val="24"/>
        </w:rPr>
        <w:t xml:space="preserve">. Corr. Peace Officers </w:t>
      </w:r>
      <w:proofErr w:type="spellStart"/>
      <w:r w:rsidRPr="00D80FFC">
        <w:rPr>
          <w:rFonts w:cs="Times New Roman"/>
          <w:i/>
          <w:iCs/>
          <w:szCs w:val="24"/>
        </w:rPr>
        <w:t>Ass'n</w:t>
      </w:r>
      <w:proofErr w:type="spellEnd"/>
      <w:r w:rsidRPr="0067704F">
        <w:rPr>
          <w:rFonts w:cs="Times New Roman"/>
          <w:szCs w:val="24"/>
        </w:rPr>
        <w:t>, 38 F.4th 68</w:t>
      </w:r>
      <w:r>
        <w:rPr>
          <w:rFonts w:cs="Times New Roman"/>
          <w:szCs w:val="24"/>
        </w:rPr>
        <w:t xml:space="preserve"> </w:t>
      </w:r>
      <w:r w:rsidRPr="0067704F">
        <w:rPr>
          <w:rFonts w:cs="Times New Roman"/>
          <w:szCs w:val="24"/>
        </w:rPr>
        <w:t>(9th Cir. 2022) (holding that county which assisted public-sector union’s efforts to collect unlawful fees could rely on same good-faith defense).</w:t>
      </w:r>
    </w:p>
    <w:p w14:paraId="41ACA277" w14:textId="77777777" w:rsidR="006F7C25" w:rsidRPr="0067704F" w:rsidRDefault="006F7C25" w:rsidP="006F7C25">
      <w:pPr>
        <w:rPr>
          <w:rFonts w:cs="Times New Roman"/>
          <w:szCs w:val="24"/>
        </w:rPr>
      </w:pPr>
    </w:p>
    <w:p w14:paraId="2E5E73FC" w14:textId="16E17BE3" w:rsidR="00E62B5E" w:rsidRPr="006A4CD7" w:rsidRDefault="006F7C25" w:rsidP="006F7C25">
      <w:pPr>
        <w:ind w:firstLine="720"/>
        <w:rPr>
          <w:rFonts w:cs="Times New Roman"/>
          <w:szCs w:val="24"/>
        </w:rPr>
      </w:pPr>
      <w:r w:rsidRPr="0067704F">
        <w:rPr>
          <w:rFonts w:cs="Times New Roman"/>
          <w:szCs w:val="24"/>
        </w:rPr>
        <w:t>A private party that acted upon the instructions of a local police department may also invoke a good faith defense.</w:t>
      </w:r>
      <w:r>
        <w:rPr>
          <w:rFonts w:cs="Times New Roman"/>
          <w:szCs w:val="24"/>
        </w:rPr>
        <w:t xml:space="preserve"> </w:t>
      </w:r>
      <w:r w:rsidRPr="0067704F">
        <w:rPr>
          <w:rFonts w:cs="Times New Roman"/>
          <w:szCs w:val="24"/>
        </w:rPr>
        <w:t xml:space="preserve"> </w:t>
      </w:r>
      <w:r w:rsidRPr="00080483">
        <w:rPr>
          <w:rFonts w:cs="Times New Roman"/>
          <w:i/>
          <w:iCs/>
          <w:szCs w:val="24"/>
        </w:rPr>
        <w:t>Clement v. City of Glendale</w:t>
      </w:r>
      <w:r w:rsidRPr="0067704F">
        <w:rPr>
          <w:rFonts w:cs="Times New Roman"/>
          <w:szCs w:val="24"/>
        </w:rPr>
        <w:t>, 518 F.3d 1090, 1096-97 (9th Cir. 2008) (holding that towing company that relied on police officer’s authorization, towed vehicle under close police supervision, and did its best to follow law could rely on good-faith defense to liability even though police officer’s decision to tow vehicle violated plaintiff’s due process rights).</w:t>
      </w:r>
    </w:p>
    <w:p w14:paraId="1FF0A155" w14:textId="77777777" w:rsidR="006A4CD7" w:rsidRPr="006A4CD7" w:rsidRDefault="006A4CD7" w:rsidP="0060759C">
      <w:pPr>
        <w:autoSpaceDE w:val="0"/>
        <w:autoSpaceDN w:val="0"/>
        <w:adjustRightInd w:val="0"/>
        <w:rPr>
          <w:rFonts w:cs="Times New Roman"/>
          <w:szCs w:val="24"/>
        </w:rPr>
      </w:pPr>
    </w:p>
    <w:p w14:paraId="6D6A04A8" w14:textId="77777777" w:rsidR="006A4CD7" w:rsidRPr="006A4CD7" w:rsidRDefault="006A4CD7" w:rsidP="0060759C">
      <w:pPr>
        <w:autoSpaceDE w:val="0"/>
        <w:autoSpaceDN w:val="0"/>
        <w:adjustRightInd w:val="0"/>
        <w:ind w:left="4320" w:hanging="4320"/>
        <w:rPr>
          <w:rFonts w:cs="Times New Roman"/>
          <w:szCs w:val="24"/>
        </w:rPr>
      </w:pPr>
      <w:r w:rsidRPr="006A4CD7">
        <w:rPr>
          <w:rFonts w:cs="Times New Roman"/>
          <w:b/>
          <w:bCs/>
          <w:szCs w:val="24"/>
        </w:rPr>
        <w:t>Eleventh Amendment Immunity</w:t>
      </w:r>
    </w:p>
    <w:p w14:paraId="17418583" w14:textId="77777777" w:rsidR="006A4CD7" w:rsidRPr="006A4CD7" w:rsidRDefault="006A4CD7" w:rsidP="0060759C">
      <w:pPr>
        <w:autoSpaceDE w:val="0"/>
        <w:autoSpaceDN w:val="0"/>
        <w:adjustRightInd w:val="0"/>
        <w:rPr>
          <w:rFonts w:cs="Times New Roman"/>
          <w:szCs w:val="24"/>
        </w:rPr>
      </w:pPr>
    </w:p>
    <w:p w14:paraId="47ABBC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Despite the language of § 1983, “every person” does not have a universal scope; it does</w:t>
      </w:r>
    </w:p>
    <w:p w14:paraId="226745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not encompass claims against a state or a state agency because the Eleventh Amendment bars</w:t>
      </w:r>
    </w:p>
    <w:p w14:paraId="6EDAC0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such encroachments on a state’s sovereignty.  </w:t>
      </w:r>
      <w:r w:rsidRPr="006A4CD7">
        <w:rPr>
          <w:rFonts w:cs="Times New Roman"/>
          <w:i/>
          <w:iCs/>
          <w:szCs w:val="24"/>
        </w:rPr>
        <w:t xml:space="preserve">Doe v. Lawrence Livermore </w:t>
      </w:r>
      <w:proofErr w:type="spellStart"/>
      <w:r w:rsidRPr="006A4CD7">
        <w:rPr>
          <w:rFonts w:cs="Times New Roman"/>
          <w:i/>
          <w:iCs/>
          <w:szCs w:val="24"/>
        </w:rPr>
        <w:t>Nat’l</w:t>
      </w:r>
      <w:proofErr w:type="spellEnd"/>
      <w:r w:rsidRPr="006A4CD7">
        <w:rPr>
          <w:rFonts w:cs="Times New Roman"/>
          <w:i/>
          <w:iCs/>
          <w:szCs w:val="24"/>
        </w:rPr>
        <w:t xml:space="preserve"> Lab</w:t>
      </w:r>
      <w:r w:rsidRPr="006A4CD7">
        <w:rPr>
          <w:rFonts w:cs="Times New Roman"/>
          <w:szCs w:val="24"/>
        </w:rPr>
        <w:t>., 131 F.3d</w:t>
      </w:r>
    </w:p>
    <w:p w14:paraId="591D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836, 839 (9th Cir. 1997) (“States or governmental entities that are considered ‘arms of the State’ for Eleventh Amendment purposes are not ‘persons’ under § 1983,” quoting </w:t>
      </w:r>
      <w:r w:rsidRPr="006A4CD7">
        <w:rPr>
          <w:rFonts w:cs="Times New Roman"/>
          <w:i/>
          <w:iCs/>
          <w:szCs w:val="24"/>
        </w:rPr>
        <w:t xml:space="preserve">Will v. Mich. </w:t>
      </w:r>
      <w:proofErr w:type="spellStart"/>
      <w:r w:rsidRPr="006A4CD7">
        <w:rPr>
          <w:rFonts w:cs="Times New Roman"/>
          <w:i/>
          <w:iCs/>
          <w:szCs w:val="24"/>
        </w:rPr>
        <w:t>Dep’t</w:t>
      </w:r>
      <w:proofErr w:type="spellEnd"/>
      <w:r w:rsidRPr="006A4CD7">
        <w:rPr>
          <w:rFonts w:cs="Times New Roman"/>
          <w:i/>
          <w:iCs/>
          <w:szCs w:val="24"/>
        </w:rPr>
        <w:t xml:space="preserve"> of State Police</w:t>
      </w:r>
      <w:r w:rsidRPr="006A4CD7">
        <w:rPr>
          <w:rFonts w:cs="Times New Roman"/>
          <w:szCs w:val="24"/>
        </w:rPr>
        <w:t>, 491 U.S. 58, 70 (1989)).  Even if a plaintiff seeks only injunctive relief, a state</w:t>
      </w:r>
    </w:p>
    <w:p w14:paraId="4D226D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not waived its Eleventh Amendment immunity cannot be sued in its own name under § 1983. </w:t>
      </w:r>
      <w:r w:rsidRPr="006A4CD7">
        <w:rPr>
          <w:rFonts w:cs="Times New Roman"/>
          <w:i/>
          <w:iCs/>
          <w:szCs w:val="24"/>
        </w:rPr>
        <w:t>Will</w:t>
      </w:r>
      <w:r w:rsidRPr="006A4CD7">
        <w:rPr>
          <w:rFonts w:cs="Times New Roman"/>
          <w:szCs w:val="24"/>
        </w:rPr>
        <w:t>, 491 U.S. at 64, 71, n.10.</w:t>
      </w:r>
    </w:p>
    <w:p w14:paraId="3CD6D09B" w14:textId="77777777" w:rsidR="006A4CD7" w:rsidRPr="006A4CD7" w:rsidRDefault="006A4CD7" w:rsidP="0060759C">
      <w:pPr>
        <w:autoSpaceDE w:val="0"/>
        <w:autoSpaceDN w:val="0"/>
        <w:adjustRightInd w:val="0"/>
        <w:rPr>
          <w:rFonts w:cs="Times New Roman"/>
          <w:szCs w:val="24"/>
        </w:rPr>
      </w:pPr>
    </w:p>
    <w:p w14:paraId="180D91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applies a five-factor test to determine whether a government entity is a</w:t>
      </w:r>
    </w:p>
    <w:p w14:paraId="5B9BF7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state agency for Eleventh Amendment purposes: (1) whether a money judgment would be</w:t>
      </w:r>
    </w:p>
    <w:p w14:paraId="096ABB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satisfied out of state funds; (2) whether the entity performs central governmental functions; (3)</w:t>
      </w:r>
    </w:p>
    <w:p w14:paraId="5EAC0E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A4CD7">
        <w:rPr>
          <w:rFonts w:cs="Times New Roman"/>
          <w:i/>
          <w:iCs/>
          <w:szCs w:val="24"/>
        </w:rPr>
        <w:t xml:space="preserve">Mitchell v. Los Angeles </w:t>
      </w:r>
      <w:proofErr w:type="spellStart"/>
      <w:r w:rsidRPr="006A4CD7">
        <w:rPr>
          <w:rFonts w:cs="Times New Roman"/>
          <w:i/>
          <w:iCs/>
          <w:szCs w:val="24"/>
        </w:rPr>
        <w:t>Cnty</w:t>
      </w:r>
      <w:proofErr w:type="spellEnd"/>
      <w:r w:rsidRPr="006A4CD7">
        <w:rPr>
          <w:rFonts w:cs="Times New Roman"/>
          <w:i/>
          <w:iCs/>
          <w:szCs w:val="24"/>
        </w:rPr>
        <w:t>. Coll. Dist.</w:t>
      </w:r>
      <w:r w:rsidRPr="006A4CD7">
        <w:rPr>
          <w:rFonts w:cs="Times New Roman"/>
          <w:szCs w:val="24"/>
        </w:rPr>
        <w:t xml:space="preserve">, 861 F.2d 198, 201 (9th Cir. 1988).  The first prong of the test—whether a money judgment would be satisfied out of state funds—is the most important.  </w:t>
      </w:r>
      <w:r w:rsidRPr="006A4CD7">
        <w:rPr>
          <w:rFonts w:cs="Times New Roman"/>
          <w:i/>
          <w:iCs/>
          <w:szCs w:val="24"/>
        </w:rPr>
        <w:t>Ray v. City of Los Angeles</w:t>
      </w:r>
      <w:r w:rsidRPr="006A4CD7">
        <w:rPr>
          <w:rFonts w:cs="Times New Roman"/>
          <w:szCs w:val="24"/>
        </w:rPr>
        <w:t>, 935 F.3d 703, 709-10 (9th Cir. 2019).</w:t>
      </w:r>
    </w:p>
    <w:p w14:paraId="09B3A6F4" w14:textId="77777777" w:rsidR="006A4CD7" w:rsidRPr="006A4CD7" w:rsidRDefault="006A4CD7" w:rsidP="0060759C">
      <w:pPr>
        <w:autoSpaceDE w:val="0"/>
        <w:autoSpaceDN w:val="0"/>
        <w:adjustRightInd w:val="0"/>
        <w:rPr>
          <w:rFonts w:cs="Times New Roman"/>
          <w:szCs w:val="24"/>
        </w:rPr>
      </w:pPr>
    </w:p>
    <w:p w14:paraId="4C188933" w14:textId="652854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A4CD7">
        <w:rPr>
          <w:rFonts w:cs="Times New Roman"/>
          <w:i/>
          <w:iCs/>
          <w:szCs w:val="24"/>
        </w:rPr>
        <w:t>Will</w:t>
      </w:r>
      <w:r w:rsidRPr="006A4CD7">
        <w:rPr>
          <w:rFonts w:cs="Times New Roman"/>
          <w:szCs w:val="24"/>
        </w:rPr>
        <w:t xml:space="preserve">, 491 U.S. at 71 n.10.  A state official may be sued under § 1983 in his or her individual capacity for damages.  </w:t>
      </w:r>
      <w:r w:rsidRPr="006A4CD7">
        <w:rPr>
          <w:rFonts w:cs="Times New Roman"/>
          <w:i/>
          <w:iCs/>
          <w:szCs w:val="24"/>
        </w:rPr>
        <w:t>Kentucky v. Graham</w:t>
      </w:r>
      <w:r w:rsidRPr="006A4CD7">
        <w:rPr>
          <w:rFonts w:cs="Times New Roman"/>
          <w:szCs w:val="24"/>
        </w:rPr>
        <w:t xml:space="preserve">, 473 U.S. 159, 165 (1985); </w:t>
      </w:r>
      <w:r w:rsidRPr="006A4CD7">
        <w:rPr>
          <w:rFonts w:cs="Times New Roman"/>
          <w:i/>
          <w:iCs/>
          <w:szCs w:val="24"/>
        </w:rPr>
        <w:t>but see Avalos v. Baca</w:t>
      </w:r>
      <w:r w:rsidRPr="006A4CD7">
        <w:rPr>
          <w:rFonts w:cs="Times New Roman"/>
          <w:szCs w:val="24"/>
        </w:rPr>
        <w:t xml:space="preserve">, 596 F.3d 583, 587 (9th Cir. 2010) (holding that in order to be individually liable under § 1983, individual must personally participate in alleged rights deprivation).  </w:t>
      </w:r>
    </w:p>
    <w:p w14:paraId="645449F5" w14:textId="77777777" w:rsidR="006A4CD7" w:rsidRPr="006A4CD7" w:rsidRDefault="006A4CD7" w:rsidP="0060759C">
      <w:pPr>
        <w:autoSpaceDE w:val="0"/>
        <w:autoSpaceDN w:val="0"/>
        <w:adjustRightInd w:val="0"/>
        <w:rPr>
          <w:rFonts w:cs="Times New Roman"/>
          <w:szCs w:val="24"/>
        </w:rPr>
      </w:pPr>
    </w:p>
    <w:p w14:paraId="10A63371" w14:textId="023E2AF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Committee also recommends the Section 1983 Outline prepared by the Office of Staff Attorneys, United States Court of Appeals for the Ninth Circuit, available at: </w:t>
      </w:r>
      <w:hyperlink r:id="rId13" w:history="1">
        <w:r w:rsidR="00703520" w:rsidRPr="00703520">
          <w:rPr>
            <w:rStyle w:val="Hyperlink"/>
          </w:rPr>
          <w:t>https://www.ca9.uscourts.gov/guides/section-1983-outline/</w:t>
        </w:r>
      </w:hyperlink>
    </w:p>
    <w:p w14:paraId="53103E0E" w14:textId="77777777" w:rsidR="006A4CD7" w:rsidRPr="006A4CD7" w:rsidRDefault="006A4CD7" w:rsidP="0060759C">
      <w:pPr>
        <w:autoSpaceDE w:val="0"/>
        <w:autoSpaceDN w:val="0"/>
        <w:adjustRightInd w:val="0"/>
        <w:rPr>
          <w:rFonts w:cs="Times New Roman"/>
          <w:szCs w:val="24"/>
        </w:rPr>
      </w:pPr>
    </w:p>
    <w:p w14:paraId="31298E48" w14:textId="77777777" w:rsidR="006A4CD7" w:rsidRPr="006A4CD7" w:rsidRDefault="006A4CD7" w:rsidP="0060759C">
      <w:pPr>
        <w:autoSpaceDE w:val="0"/>
        <w:autoSpaceDN w:val="0"/>
        <w:adjustRightInd w:val="0"/>
        <w:rPr>
          <w:rFonts w:cs="Times New Roman"/>
          <w:szCs w:val="24"/>
        </w:rPr>
      </w:pPr>
    </w:p>
    <w:p w14:paraId="224428EA" w14:textId="38C2C987" w:rsidR="00455B81" w:rsidRDefault="006A4CD7" w:rsidP="00455B81">
      <w:pPr>
        <w:autoSpaceDE w:val="0"/>
        <w:autoSpaceDN w:val="0"/>
        <w:adjustRightInd w:val="0"/>
        <w:jc w:val="right"/>
        <w:rPr>
          <w:rFonts w:cs="Times New Roman"/>
          <w:szCs w:val="24"/>
        </w:rPr>
      </w:pPr>
      <w:r w:rsidRPr="006A4CD7">
        <w:rPr>
          <w:rFonts w:cs="Times New Roman"/>
          <w:i/>
          <w:iCs/>
          <w:szCs w:val="24"/>
        </w:rPr>
        <w:t xml:space="preserve">Revised </w:t>
      </w:r>
      <w:r w:rsidR="006F7C25">
        <w:rPr>
          <w:rFonts w:cs="Times New Roman"/>
          <w:i/>
          <w:iCs/>
          <w:szCs w:val="24"/>
        </w:rPr>
        <w:t>Sept.</w:t>
      </w:r>
      <w:r w:rsidRPr="006A4CD7">
        <w:rPr>
          <w:rFonts w:cs="Times New Roman"/>
          <w:i/>
          <w:iCs/>
          <w:szCs w:val="24"/>
        </w:rPr>
        <w:t xml:space="preserve"> 20</w:t>
      </w:r>
      <w:r w:rsidR="00E62B5E">
        <w:rPr>
          <w:rFonts w:cs="Times New Roman"/>
          <w:i/>
          <w:iCs/>
          <w:szCs w:val="24"/>
        </w:rPr>
        <w:t>22</w:t>
      </w:r>
    </w:p>
    <w:p w14:paraId="2BE25ACC" w14:textId="77777777" w:rsidR="00455B81" w:rsidRDefault="00455B81">
      <w:pPr>
        <w:spacing w:after="160" w:line="259" w:lineRule="auto"/>
        <w:rPr>
          <w:rFonts w:cs="Times New Roman"/>
          <w:szCs w:val="24"/>
        </w:rPr>
      </w:pPr>
      <w:r>
        <w:rPr>
          <w:rFonts w:cs="Times New Roman"/>
          <w:szCs w:val="24"/>
        </w:rPr>
        <w:br w:type="page"/>
      </w:r>
    </w:p>
    <w:p w14:paraId="25C20A05" w14:textId="5DCD074E" w:rsidR="006A4CD7" w:rsidRPr="006A4CD7" w:rsidRDefault="006A4CD7" w:rsidP="00455B81">
      <w:pPr>
        <w:pStyle w:val="Heading2"/>
      </w:pPr>
      <w:bookmarkStart w:id="119" w:name="_Toc117512414"/>
      <w:r w:rsidRPr="006A4CD7">
        <w:lastRenderedPageBreak/>
        <w:t xml:space="preserve">9.1 </w:t>
      </w:r>
      <w:r w:rsidR="00522ACE">
        <w:t>Section 1983 Claim—Introductory Instruction</w:t>
      </w:r>
      <w:bookmarkEnd w:id="119"/>
    </w:p>
    <w:p w14:paraId="2007275A" w14:textId="77777777" w:rsidR="006A4CD7" w:rsidRPr="006A4CD7" w:rsidRDefault="006A4CD7" w:rsidP="0060759C">
      <w:pPr>
        <w:autoSpaceDE w:val="0"/>
        <w:autoSpaceDN w:val="0"/>
        <w:adjustRightInd w:val="0"/>
        <w:rPr>
          <w:rFonts w:cs="Times New Roman"/>
          <w:szCs w:val="24"/>
        </w:rPr>
      </w:pPr>
    </w:p>
    <w:p w14:paraId="069B590D" w14:textId="77777777" w:rsidR="003A5FFD" w:rsidRPr="006A4CD7" w:rsidRDefault="006A4CD7" w:rsidP="003A5FFD">
      <w:pPr>
        <w:autoSpaceDE w:val="0"/>
        <w:autoSpaceDN w:val="0"/>
        <w:adjustRightInd w:val="0"/>
        <w:rPr>
          <w:rFonts w:cs="Times New Roman"/>
          <w:szCs w:val="24"/>
        </w:rPr>
      </w:pPr>
      <w:r w:rsidRPr="006A4CD7">
        <w:rPr>
          <w:rFonts w:cs="Times New Roman"/>
          <w:szCs w:val="24"/>
        </w:rPr>
        <w:tab/>
      </w:r>
      <w:r w:rsidR="003A5FFD" w:rsidRPr="006A4CD7">
        <w:rPr>
          <w:rFonts w:cs="Times New Roman"/>
          <w:szCs w:val="24"/>
        </w:rPr>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10B3EFF6" w14:textId="77777777" w:rsidR="003A5FFD" w:rsidRPr="006A4CD7" w:rsidRDefault="003A5FFD" w:rsidP="003A5FFD">
      <w:pPr>
        <w:autoSpaceDE w:val="0"/>
        <w:autoSpaceDN w:val="0"/>
        <w:adjustRightInd w:val="0"/>
        <w:rPr>
          <w:rFonts w:cs="Times New Roman"/>
          <w:szCs w:val="24"/>
        </w:rPr>
      </w:pPr>
    </w:p>
    <w:p w14:paraId="62097899" w14:textId="77777777" w:rsidR="003A5FFD" w:rsidRPr="006A4CD7" w:rsidRDefault="003A5FFD" w:rsidP="003A5FFD">
      <w:pPr>
        <w:autoSpaceDE w:val="0"/>
        <w:autoSpaceDN w:val="0"/>
        <w:adjustRightInd w:val="0"/>
        <w:jc w:val="center"/>
        <w:rPr>
          <w:rFonts w:cs="Times New Roman"/>
          <w:b/>
          <w:bCs/>
          <w:szCs w:val="24"/>
        </w:rPr>
      </w:pPr>
      <w:r w:rsidRPr="006A4CD7">
        <w:rPr>
          <w:rFonts w:cs="Times New Roman"/>
          <w:b/>
          <w:bCs/>
          <w:szCs w:val="24"/>
        </w:rPr>
        <w:t>Comment</w:t>
      </w:r>
    </w:p>
    <w:p w14:paraId="20646352" w14:textId="77777777" w:rsidR="003A5FFD" w:rsidRPr="006A4CD7" w:rsidRDefault="003A5FFD" w:rsidP="003A5FFD">
      <w:pPr>
        <w:autoSpaceDE w:val="0"/>
        <w:autoSpaceDN w:val="0"/>
        <w:adjustRightInd w:val="0"/>
        <w:rPr>
          <w:rFonts w:cs="Times New Roman"/>
          <w:b/>
          <w:bCs/>
          <w:szCs w:val="24"/>
        </w:rPr>
      </w:pPr>
    </w:p>
    <w:p w14:paraId="4642FD2E"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The Committee notes that past decisions of the Supreme Court and the Ninth Circuit used the phrases “under color of law” and “under color of state law” interchangeably.  </w:t>
      </w:r>
      <w:r w:rsidRPr="006A4CD7">
        <w:rPr>
          <w:rFonts w:cs="Times New Roman"/>
          <w:i/>
          <w:iCs/>
          <w:szCs w:val="24"/>
        </w:rPr>
        <w:t xml:space="preserve">Compare, e.g., </w:t>
      </w:r>
      <w:proofErr w:type="spellStart"/>
      <w:r w:rsidRPr="006A4CD7">
        <w:rPr>
          <w:rFonts w:cs="Times New Roman"/>
          <w:i/>
          <w:iCs/>
          <w:szCs w:val="24"/>
        </w:rPr>
        <w:t>Livadas</w:t>
      </w:r>
      <w:proofErr w:type="spellEnd"/>
      <w:r w:rsidRPr="006A4CD7">
        <w:rPr>
          <w:rFonts w:cs="Times New Roman"/>
          <w:i/>
          <w:iCs/>
          <w:szCs w:val="24"/>
        </w:rPr>
        <w:t xml:space="preserve"> v. Bradshaw</w:t>
      </w:r>
      <w:r w:rsidRPr="006A4CD7">
        <w:rPr>
          <w:rFonts w:cs="Times New Roman"/>
          <w:szCs w:val="24"/>
        </w:rPr>
        <w:t xml:space="preserve">, 512 U.S. 107, 132 (1994), and </w:t>
      </w:r>
      <w:proofErr w:type="spellStart"/>
      <w:r w:rsidRPr="006A4CD7">
        <w:rPr>
          <w:rFonts w:cs="Times New Roman"/>
          <w:i/>
          <w:iCs/>
          <w:szCs w:val="24"/>
        </w:rPr>
        <w:t>Azer</w:t>
      </w:r>
      <w:proofErr w:type="spellEnd"/>
      <w:r w:rsidRPr="006A4CD7">
        <w:rPr>
          <w:rFonts w:cs="Times New Roman"/>
          <w:i/>
          <w:iCs/>
          <w:szCs w:val="24"/>
        </w:rPr>
        <w:t xml:space="preserve"> v. Connell, </w:t>
      </w:r>
      <w:r w:rsidRPr="006A4CD7">
        <w:rPr>
          <w:rFonts w:cs="Times New Roman"/>
          <w:szCs w:val="24"/>
        </w:rPr>
        <w:t xml:space="preserve">306 F.3d 930, 935 (9th Cir. 2002) (using phrase “under color of law”), </w:t>
      </w:r>
      <w:r w:rsidRPr="006A4CD7">
        <w:rPr>
          <w:rFonts w:cs="Times New Roman"/>
          <w:i/>
          <w:iCs/>
          <w:szCs w:val="24"/>
        </w:rPr>
        <w:t>with</w:t>
      </w:r>
      <w:r w:rsidRPr="006A4CD7">
        <w:rPr>
          <w:rFonts w:cs="Times New Roman"/>
          <w:szCs w:val="24"/>
        </w:rPr>
        <w:t xml:space="preserve"> </w:t>
      </w:r>
      <w:r w:rsidRPr="006A4CD7">
        <w:rPr>
          <w:rFonts w:cs="Times New Roman"/>
          <w:i/>
          <w:iCs/>
          <w:szCs w:val="24"/>
        </w:rPr>
        <w:t>Nelson v. Campbell</w:t>
      </w:r>
      <w:r w:rsidRPr="006A4CD7">
        <w:rPr>
          <w:rFonts w:cs="Times New Roman"/>
          <w:szCs w:val="24"/>
        </w:rPr>
        <w:t xml:space="preserve">, 541 U.S. 637, 643 (2004), and </w:t>
      </w:r>
      <w:r w:rsidRPr="006A4CD7">
        <w:rPr>
          <w:rFonts w:cs="Times New Roman"/>
          <w:i/>
          <w:iCs/>
          <w:szCs w:val="24"/>
        </w:rPr>
        <w:t>Meyers v. Redwood City</w:t>
      </w:r>
      <w:r w:rsidRPr="006A4CD7">
        <w:rPr>
          <w:rFonts w:cs="Times New Roman"/>
          <w:szCs w:val="24"/>
        </w:rPr>
        <w:t xml:space="preserve">, 400 F.3d 765, 770 (9th Cir. 2005) (using phrase “under color of state law”). </w:t>
      </w:r>
    </w:p>
    <w:p w14:paraId="12F7B6FD" w14:textId="77777777" w:rsidR="003A5FFD" w:rsidRPr="006A4CD7" w:rsidRDefault="003A5FFD" w:rsidP="003A5FFD">
      <w:pPr>
        <w:autoSpaceDE w:val="0"/>
        <w:autoSpaceDN w:val="0"/>
        <w:adjustRightInd w:val="0"/>
        <w:rPr>
          <w:rFonts w:cs="Times New Roman"/>
          <w:szCs w:val="24"/>
        </w:rPr>
      </w:pPr>
    </w:p>
    <w:p w14:paraId="4433C34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Because recent Ninth Circuit case authority more frequently uses the phrase “under color of state law,” rather than “under color of law,” the Committee uses the phrase “under color of state law.” </w:t>
      </w:r>
      <w:r w:rsidRPr="006A4CD7">
        <w:rPr>
          <w:rFonts w:cs="Times New Roman"/>
          <w:i/>
          <w:iCs/>
          <w:szCs w:val="24"/>
        </w:rPr>
        <w:t xml:space="preserve">See Planned Parenthood Ariz.  Inc. v. </w:t>
      </w:r>
      <w:proofErr w:type="spellStart"/>
      <w:r w:rsidRPr="006A4CD7">
        <w:rPr>
          <w:rFonts w:cs="Times New Roman"/>
          <w:i/>
          <w:iCs/>
          <w:szCs w:val="24"/>
        </w:rPr>
        <w:t>Betlach</w:t>
      </w:r>
      <w:proofErr w:type="spellEnd"/>
      <w:r w:rsidRPr="006A4CD7">
        <w:rPr>
          <w:rFonts w:cs="Times New Roman"/>
          <w:szCs w:val="24"/>
        </w:rPr>
        <w:t>, 727 F.3d 960, 966 (9th Cir. 2013) (“Section 1983 creates a federal remedy against anyone who, under color of state law, deprives ‘any citizen of the United States … of any rights, privileges, or immunities secured by the Constitution and laws.’”);</w:t>
      </w:r>
      <w:r w:rsidRPr="006A4CD7">
        <w:rPr>
          <w:rFonts w:cs="Times New Roman"/>
          <w:i/>
          <w:iCs/>
          <w:szCs w:val="24"/>
        </w:rPr>
        <w:t xml:space="preserve"> OSU Student All. v. Ray</w:t>
      </w:r>
      <w:r w:rsidRPr="006A4CD7">
        <w:rPr>
          <w:rFonts w:cs="Times New Roman"/>
          <w:szCs w:val="24"/>
        </w:rPr>
        <w:t xml:space="preserve">, 699 F.3d 1053, 1061 (9th Cir. 2013) (using phrase “color of state law”); </w:t>
      </w:r>
      <w:r w:rsidRPr="006A4CD7">
        <w:rPr>
          <w:rFonts w:cs="Times New Roman"/>
          <w:i/>
          <w:iCs/>
          <w:szCs w:val="24"/>
        </w:rPr>
        <w:t>Tsao v. Desert Palace, Inc.</w:t>
      </w:r>
      <w:r w:rsidRPr="006A4CD7">
        <w:rPr>
          <w:rFonts w:cs="Times New Roman"/>
          <w:szCs w:val="24"/>
        </w:rPr>
        <w:t xml:space="preserve">, 698 F.3d 1128, 1138 (9th Cir. 2012) (same); </w:t>
      </w:r>
      <w:r w:rsidRPr="006A4CD7">
        <w:rPr>
          <w:rFonts w:cs="Times New Roman"/>
          <w:i/>
          <w:iCs/>
          <w:szCs w:val="24"/>
        </w:rPr>
        <w:t>Hall v. City of Los Angeles</w:t>
      </w:r>
      <w:r w:rsidRPr="006A4CD7">
        <w:rPr>
          <w:rFonts w:cs="Times New Roman"/>
          <w:szCs w:val="24"/>
        </w:rPr>
        <w:t xml:space="preserve">, 697 F.3d 1059, 1068 (9th Cir. 2012) (same). </w:t>
      </w:r>
    </w:p>
    <w:p w14:paraId="10D66910" w14:textId="77777777" w:rsidR="003A5FFD" w:rsidRPr="006A4CD7" w:rsidRDefault="003A5FFD" w:rsidP="003A5FFD">
      <w:pPr>
        <w:autoSpaceDE w:val="0"/>
        <w:autoSpaceDN w:val="0"/>
        <w:adjustRightInd w:val="0"/>
        <w:rPr>
          <w:rFonts w:cs="Times New Roman"/>
          <w:szCs w:val="24"/>
        </w:rPr>
      </w:pPr>
    </w:p>
    <w:p w14:paraId="0C89332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Rawson v. Recovery Innovations, Inc.</w:t>
      </w:r>
      <w:r w:rsidRPr="006A4CD7">
        <w:rPr>
          <w:rFonts w:cs="Times New Roman"/>
          <w:szCs w:val="24"/>
        </w:rPr>
        <w:t xml:space="preserve">, 975 F.3d 742 (9th Cir. 2020), the Ninth Circuit explained the four tests that may aid in identifying state action: (1) public function; (2) joint action; (3) governmental compulsion or coercion; and (4) governmental nexus. </w:t>
      </w:r>
    </w:p>
    <w:p w14:paraId="067B21D4" w14:textId="77777777" w:rsidR="003A5FFD" w:rsidRPr="006E1254" w:rsidRDefault="003A5FFD" w:rsidP="003A5FFD">
      <w:pPr>
        <w:autoSpaceDE w:val="0"/>
        <w:autoSpaceDN w:val="0"/>
        <w:adjustRightInd w:val="0"/>
        <w:rPr>
          <w:rFonts w:cs="Times New Roman"/>
          <w:szCs w:val="24"/>
        </w:rPr>
      </w:pPr>
    </w:p>
    <w:p w14:paraId="124BD5FB" w14:textId="77777777" w:rsidR="00B60B51" w:rsidRPr="003F604E" w:rsidRDefault="00B60B51" w:rsidP="00B60B51">
      <w:pPr>
        <w:ind w:firstLine="720"/>
        <w:rPr>
          <w:rFonts w:cs="Times New Roman"/>
          <w:szCs w:val="24"/>
        </w:rPr>
      </w:pP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w:t>
      </w:r>
      <w:r>
        <w:t>-</w:t>
      </w:r>
      <w:r w:rsidRPr="006E1254">
        <w:t>71 (9th Cir. 2021).</w:t>
      </w:r>
      <w:r>
        <w:t xml:space="preserve">  </w:t>
      </w:r>
      <w:bookmarkStart w:id="120" w:name="Instruction_9.1"/>
      <w:bookmarkEnd w:id="120"/>
      <w:r w:rsidRPr="003F604E">
        <w:rPr>
          <w:rFonts w:cs="Times New Roman"/>
          <w:szCs w:val="24"/>
        </w:rPr>
        <w:t xml:space="preserve">For a discussion of the governmental nexus test, </w:t>
      </w:r>
      <w:r w:rsidRPr="003F604E">
        <w:rPr>
          <w:rFonts w:cs="Times New Roman"/>
          <w:i/>
          <w:iCs/>
          <w:szCs w:val="24"/>
        </w:rPr>
        <w:t>see Garnier v. O’Connor-Ratcliff</w:t>
      </w:r>
      <w:r w:rsidRPr="003F604E">
        <w:rPr>
          <w:rFonts w:cs="Times New Roman"/>
          <w:szCs w:val="24"/>
        </w:rPr>
        <w:t xml:space="preserve">, </w:t>
      </w:r>
      <w:r>
        <w:rPr>
          <w:rFonts w:cs="Times New Roman"/>
          <w:szCs w:val="24"/>
        </w:rPr>
        <w:t xml:space="preserve">41 </w:t>
      </w:r>
      <w:r w:rsidRPr="003F604E">
        <w:rPr>
          <w:rFonts w:cs="Times New Roman"/>
          <w:szCs w:val="24"/>
        </w:rPr>
        <w:t>F.4</w:t>
      </w:r>
      <w:r w:rsidRPr="005360B9">
        <w:rPr>
          <w:rFonts w:cs="Times New Roman"/>
          <w:szCs w:val="24"/>
        </w:rPr>
        <w:t xml:space="preserve">th </w:t>
      </w:r>
      <w:r>
        <w:rPr>
          <w:rFonts w:cs="Times New Roman"/>
          <w:szCs w:val="24"/>
        </w:rPr>
        <w:t>1158, 1170-73</w:t>
      </w:r>
      <w:r w:rsidRPr="003F604E">
        <w:rPr>
          <w:rFonts w:cs="Times New Roman"/>
          <w:szCs w:val="24"/>
        </w:rPr>
        <w:t xml:space="preserve"> (9th Cir. 2022) (holding that school board members engaged in state action when they operated social media pages on which they</w:t>
      </w:r>
      <w:r w:rsidRPr="003F604E">
        <w:rPr>
          <w:rFonts w:cs="Times New Roman"/>
          <w:color w:val="FF0000"/>
          <w:sz w:val="28"/>
          <w:szCs w:val="28"/>
        </w:rPr>
        <w:t xml:space="preserve"> </w:t>
      </w:r>
      <w:r w:rsidRPr="003F604E">
        <w:rPr>
          <w:rFonts w:cs="Times New Roman"/>
          <w:szCs w:val="24"/>
        </w:rPr>
        <w:t>discussed official business with members of public and posted about budgetary issues, school board meeting dates, school safety and security issues, and other topics).</w:t>
      </w:r>
    </w:p>
    <w:p w14:paraId="3888B889" w14:textId="77777777" w:rsidR="00B60B51" w:rsidRDefault="00B60B51" w:rsidP="00B60B51">
      <w:pPr>
        <w:autoSpaceDE w:val="0"/>
        <w:autoSpaceDN w:val="0"/>
        <w:adjustRightInd w:val="0"/>
        <w:rPr>
          <w:rFonts w:cs="Times New Roman"/>
          <w:szCs w:val="24"/>
        </w:rPr>
      </w:pPr>
    </w:p>
    <w:p w14:paraId="701C2108" w14:textId="77777777" w:rsidR="00B60B51" w:rsidRPr="006E1254" w:rsidRDefault="00B60B51" w:rsidP="00B60B51">
      <w:pPr>
        <w:autoSpaceDE w:val="0"/>
        <w:autoSpaceDN w:val="0"/>
        <w:adjustRightInd w:val="0"/>
        <w:rPr>
          <w:rFonts w:cs="Times New Roman"/>
          <w:szCs w:val="24"/>
        </w:rPr>
      </w:pPr>
    </w:p>
    <w:p w14:paraId="022C28C5" w14:textId="77777777" w:rsidR="00B60B51" w:rsidRPr="006E1254" w:rsidRDefault="00B60B51" w:rsidP="00B60B51">
      <w:pPr>
        <w:autoSpaceDE w:val="0"/>
        <w:autoSpaceDN w:val="0"/>
        <w:adjustRightInd w:val="0"/>
        <w:jc w:val="right"/>
        <w:rPr>
          <w:rFonts w:cs="Times New Roman"/>
          <w:szCs w:val="24"/>
        </w:rPr>
      </w:pPr>
      <w:r w:rsidRPr="006E1254">
        <w:rPr>
          <w:rFonts w:cs="Times New Roman"/>
          <w:i/>
          <w:iCs/>
          <w:szCs w:val="24"/>
        </w:rPr>
        <w:t xml:space="preserve">Revised </w:t>
      </w:r>
      <w:r>
        <w:rPr>
          <w:rFonts w:cs="Times New Roman"/>
          <w:i/>
          <w:iCs/>
          <w:szCs w:val="24"/>
        </w:rPr>
        <w:t>Sept. 2022</w:t>
      </w:r>
    </w:p>
    <w:p w14:paraId="030A5C90" w14:textId="797A24FF" w:rsidR="006A4CD7" w:rsidRPr="006A4CD7" w:rsidRDefault="006A4CD7" w:rsidP="009149DD">
      <w:pPr>
        <w:pStyle w:val="Heading2"/>
      </w:pPr>
      <w:r w:rsidRPr="006A4CD7">
        <w:br w:type="page"/>
      </w:r>
      <w:bookmarkStart w:id="121" w:name="_Toc117512415"/>
      <w:r w:rsidRPr="006A4CD7">
        <w:lastRenderedPageBreak/>
        <w:t xml:space="preserve">9.2 </w:t>
      </w:r>
      <w:r w:rsidR="00522ACE">
        <w:t>Causation</w:t>
      </w:r>
      <w:bookmarkEnd w:id="121"/>
    </w:p>
    <w:p w14:paraId="3F8DB164" w14:textId="77777777" w:rsidR="006A4CD7" w:rsidRPr="006A4CD7" w:rsidRDefault="006A4CD7" w:rsidP="0060759C">
      <w:pPr>
        <w:autoSpaceDE w:val="0"/>
        <w:autoSpaceDN w:val="0"/>
        <w:adjustRightInd w:val="0"/>
        <w:jc w:val="center"/>
        <w:rPr>
          <w:rFonts w:cs="Times New Roman"/>
          <w:b/>
          <w:bCs/>
          <w:szCs w:val="24"/>
        </w:rPr>
      </w:pPr>
    </w:p>
    <w:p w14:paraId="39DB223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6BBB2FB" w14:textId="77777777" w:rsidR="006A4CD7" w:rsidRPr="006A4CD7" w:rsidRDefault="006A4CD7" w:rsidP="00EC5E41"/>
    <w:p w14:paraId="09CE005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General Principles</w:t>
      </w:r>
    </w:p>
    <w:p w14:paraId="3EF06D3D" w14:textId="77777777" w:rsidR="006A4CD7" w:rsidRPr="006A4CD7" w:rsidRDefault="006A4CD7" w:rsidP="00EC5E41"/>
    <w:p w14:paraId="289B9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533 F.3d 1010, 1026 (9th Cir. 2008).  “To meet this causation requirement, the plaintiff must establish both causation-in-fact and proximate causation.”</w:t>
      </w:r>
      <w:r w:rsidRPr="006A4CD7">
        <w:rPr>
          <w:rFonts w:cs="Times New Roman"/>
          <w:i/>
          <w:iCs/>
          <w:szCs w:val="24"/>
        </w:rPr>
        <w:t xml:space="preserve">  Id</w:t>
      </w:r>
      <w:r w:rsidRPr="006A4CD7">
        <w:rPr>
          <w:rFonts w:cs="Times New Roman"/>
          <w:szCs w:val="24"/>
        </w:rPr>
        <w:t xml:space="preserve">.  This standard of causation “closely resembles the standard ‘foreseeability’ formulation of proximate cause.”  </w:t>
      </w:r>
      <w:r w:rsidRPr="006A4CD7">
        <w:rPr>
          <w:rFonts w:cs="Times New Roman"/>
          <w:i/>
          <w:iCs/>
          <w:szCs w:val="24"/>
        </w:rPr>
        <w:t>Arnold v. Int’l Bus. Mach. Corp.</w:t>
      </w:r>
      <w:r w:rsidRPr="006A4CD7">
        <w:rPr>
          <w:rFonts w:cs="Times New Roman"/>
          <w:szCs w:val="24"/>
        </w:rPr>
        <w:t xml:space="preserve">, 637 F.2d 1350, 1355 (9th Cir. 1981); </w:t>
      </w:r>
      <w:r w:rsidRPr="006A4CD7">
        <w:rPr>
          <w:rFonts w:cs="Times New Roman"/>
          <w:i/>
          <w:iCs/>
          <w:szCs w:val="24"/>
        </w:rPr>
        <w:t xml:space="preserve">see also Stevenson v. </w:t>
      </w:r>
      <w:proofErr w:type="spellStart"/>
      <w:r w:rsidRPr="006A4CD7">
        <w:rPr>
          <w:rFonts w:cs="Times New Roman"/>
          <w:i/>
          <w:iCs/>
          <w:szCs w:val="24"/>
        </w:rPr>
        <w:t>Koskey</w:t>
      </w:r>
      <w:proofErr w:type="spellEnd"/>
      <w:r w:rsidRPr="006A4CD7">
        <w:rPr>
          <w:rFonts w:cs="Times New Roman"/>
          <w:szCs w:val="24"/>
        </w:rPr>
        <w:t>, 877 F.2d 1435, 1438 (9th Cir. 1989) (noting that federal courts turn to common law of torts for causation in civil rights cases).</w:t>
      </w:r>
    </w:p>
    <w:p w14:paraId="72F9F84F" w14:textId="77777777" w:rsidR="006A4CD7" w:rsidRPr="006A4CD7" w:rsidRDefault="006A4CD7" w:rsidP="0060759C">
      <w:pPr>
        <w:autoSpaceDE w:val="0"/>
        <w:autoSpaceDN w:val="0"/>
        <w:adjustRightInd w:val="0"/>
        <w:rPr>
          <w:rFonts w:cs="Times New Roman"/>
          <w:szCs w:val="24"/>
        </w:rPr>
      </w:pPr>
    </w:p>
    <w:p w14:paraId="7AB7E1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inquiry into causation must be individualized and focus on the duties and responsibilities of each individual defendant whose acts or omissions are alleged to have caused a constitutional deprivation.”  </w:t>
      </w:r>
      <w:r w:rsidRPr="006A4CD7">
        <w:rPr>
          <w:rFonts w:cs="Times New Roman"/>
          <w:i/>
          <w:iCs/>
          <w:szCs w:val="24"/>
        </w:rPr>
        <w:t>Leer v. Murphy</w:t>
      </w:r>
      <w:r w:rsidRPr="006A4CD7">
        <w:rPr>
          <w:rFonts w:cs="Times New Roman"/>
          <w:szCs w:val="24"/>
        </w:rPr>
        <w:t xml:space="preserve">, 844 F.2d 628, 633 (9th Cir. 1988).  For example, when deprivation of a protected interest is substantively justified but the procedures were deficient, a plaintiff must show injury from the denial of procedural due process itself and cannot recover damages from the justified deprivation.  </w:t>
      </w:r>
      <w:r w:rsidRPr="006A4CD7">
        <w:rPr>
          <w:rFonts w:cs="Times New Roman"/>
          <w:i/>
          <w:iCs/>
          <w:szCs w:val="24"/>
        </w:rPr>
        <w:t xml:space="preserve">Carey v. </w:t>
      </w:r>
      <w:proofErr w:type="spellStart"/>
      <w:r w:rsidRPr="006A4CD7">
        <w:rPr>
          <w:rFonts w:cs="Times New Roman"/>
          <w:i/>
          <w:iCs/>
          <w:szCs w:val="24"/>
        </w:rPr>
        <w:t>Piphus</w:t>
      </w:r>
      <w:proofErr w:type="spellEnd"/>
      <w:r w:rsidRPr="006A4CD7">
        <w:rPr>
          <w:rFonts w:cs="Times New Roman"/>
          <w:szCs w:val="24"/>
        </w:rPr>
        <w:t xml:space="preserve">, 435 U.S. 247, 260-64 (1978); </w:t>
      </w:r>
      <w:r w:rsidRPr="006A4CD7">
        <w:rPr>
          <w:rFonts w:cs="Times New Roman"/>
          <w:i/>
          <w:iCs/>
          <w:szCs w:val="24"/>
        </w:rPr>
        <w:t>Watson v. City of San Jose</w:t>
      </w:r>
      <w:r w:rsidRPr="006A4CD7">
        <w:rPr>
          <w:rFonts w:cs="Times New Roman"/>
          <w:szCs w:val="24"/>
        </w:rPr>
        <w:t xml:space="preserve">, 800 F.3d 1135, 1140-42 (9th Cir. 2015) (expanding types of constitutional tort actions subject to </w:t>
      </w:r>
      <w:r w:rsidRPr="006A4CD7">
        <w:rPr>
          <w:rFonts w:cs="Times New Roman"/>
          <w:i/>
          <w:iCs/>
          <w:szCs w:val="24"/>
        </w:rPr>
        <w:t>Carey’s</w:t>
      </w:r>
      <w:r w:rsidRPr="006A4CD7">
        <w:rPr>
          <w:rFonts w:cs="Times New Roman"/>
          <w:szCs w:val="24"/>
        </w:rPr>
        <w:t xml:space="preserve"> causation analysis and quoting trial court’s damages instruction).</w:t>
      </w:r>
    </w:p>
    <w:p w14:paraId="7B5AFC6C" w14:textId="77777777" w:rsidR="006A4CD7" w:rsidRPr="006A4CD7" w:rsidRDefault="006A4CD7" w:rsidP="0060759C">
      <w:pPr>
        <w:autoSpaceDE w:val="0"/>
        <w:autoSpaceDN w:val="0"/>
        <w:adjustRightInd w:val="0"/>
        <w:rPr>
          <w:rFonts w:cs="Times New Roman"/>
          <w:szCs w:val="24"/>
        </w:rPr>
      </w:pPr>
    </w:p>
    <w:p w14:paraId="6C92BE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6A4CD7">
        <w:rPr>
          <w:rFonts w:cs="Times New Roman"/>
          <w:i/>
          <w:iCs/>
          <w:szCs w:val="24"/>
        </w:rPr>
        <w:t xml:space="preserve"> Preschooler II v. Clark </w:t>
      </w:r>
      <w:proofErr w:type="spellStart"/>
      <w:r w:rsidRPr="006A4CD7">
        <w:rPr>
          <w:rFonts w:cs="Times New Roman"/>
          <w:i/>
          <w:iCs/>
          <w:szCs w:val="24"/>
        </w:rPr>
        <w:t>Cnty</w:t>
      </w:r>
      <w:proofErr w:type="spellEnd"/>
      <w:r w:rsidRPr="006A4CD7">
        <w:rPr>
          <w:rFonts w:cs="Times New Roman"/>
          <w:i/>
          <w:iCs/>
          <w:szCs w:val="24"/>
        </w:rPr>
        <w:t xml:space="preserve">. Sch. Bd. of </w:t>
      </w:r>
      <w:proofErr w:type="spellStart"/>
      <w:r w:rsidRPr="006A4CD7">
        <w:rPr>
          <w:rFonts w:cs="Times New Roman"/>
          <w:i/>
          <w:iCs/>
          <w:szCs w:val="24"/>
        </w:rPr>
        <w:t>Trs</w:t>
      </w:r>
      <w:proofErr w:type="spellEnd"/>
      <w:r w:rsidRPr="006A4CD7">
        <w:rPr>
          <w:rFonts w:cs="Times New Roman"/>
          <w:i/>
          <w:iCs/>
          <w:szCs w:val="24"/>
        </w:rPr>
        <w:t>.</w:t>
      </w:r>
      <w:r w:rsidRPr="006A4CD7">
        <w:rPr>
          <w:rFonts w:cs="Times New Roman"/>
          <w:szCs w:val="24"/>
        </w:rPr>
        <w:t xml:space="preserve">, 479 F.3d 1175, 1183 (9th Cir. 2007) (quoting </w:t>
      </w:r>
      <w:r w:rsidRPr="006A4CD7">
        <w:rPr>
          <w:rFonts w:cs="Times New Roman"/>
          <w:i/>
          <w:iCs/>
          <w:szCs w:val="24"/>
        </w:rPr>
        <w:t>Johnson v. Duffy</w:t>
      </w:r>
      <w:r w:rsidRPr="006A4CD7">
        <w:rPr>
          <w:rFonts w:cs="Times New Roman"/>
          <w:szCs w:val="24"/>
        </w:rPr>
        <w:t xml:space="preserve">, 588 F.2d 740, 743 (9th Cir. 1978)).  “An officer’s liability under section 1983 is predicated on his integral participation in the alleged violation.”  </w:t>
      </w:r>
      <w:r w:rsidRPr="006A4CD7">
        <w:rPr>
          <w:rFonts w:cs="Times New Roman"/>
          <w:i/>
          <w:iCs/>
          <w:szCs w:val="24"/>
        </w:rPr>
        <w:t>Nicholson v. City of Los Angeles</w:t>
      </w:r>
      <w:r w:rsidRPr="006A4CD7">
        <w:rPr>
          <w:rFonts w:cs="Times New Roman"/>
          <w:szCs w:val="24"/>
        </w:rPr>
        <w:t xml:space="preserve">, 935 F.3d 685, 691 (9th Cir. 2019) (quoting </w:t>
      </w:r>
      <w:r w:rsidRPr="006A4CD7">
        <w:rPr>
          <w:rFonts w:cs="Times New Roman"/>
          <w:i/>
          <w:iCs/>
          <w:szCs w:val="24"/>
        </w:rPr>
        <w:t>Blankenhorn v. City of Orange</w:t>
      </w:r>
      <w:r w:rsidRPr="006A4CD7">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6A4CD7">
        <w:rPr>
          <w:rFonts w:cs="Times New Roman"/>
          <w:i/>
          <w:iCs/>
          <w:szCs w:val="24"/>
        </w:rPr>
        <w:t>Nicholson</w:t>
      </w:r>
      <w:r w:rsidRPr="006A4CD7">
        <w:rPr>
          <w:rFonts w:cs="Times New Roman"/>
          <w:szCs w:val="24"/>
        </w:rPr>
        <w:t>, 935 F.3d at 692.</w:t>
      </w:r>
    </w:p>
    <w:p w14:paraId="54A08443" w14:textId="77777777" w:rsidR="006A4CD7" w:rsidRPr="006A4CD7" w:rsidRDefault="006A4CD7" w:rsidP="00EC5E41"/>
    <w:p w14:paraId="2CFED36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Supervisor Liability</w:t>
      </w:r>
    </w:p>
    <w:p w14:paraId="470036A9" w14:textId="77777777" w:rsidR="006A4CD7" w:rsidRPr="006A4CD7" w:rsidRDefault="006A4CD7" w:rsidP="00EC5E41"/>
    <w:p w14:paraId="4642369D"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6A4CD7">
        <w:rPr>
          <w:rFonts w:cs="Times New Roman"/>
          <w:i/>
          <w:iCs/>
          <w:szCs w:val="24"/>
        </w:rPr>
        <w:t>Starr v. Baca</w:t>
      </w:r>
      <w:r w:rsidRPr="006A4CD7">
        <w:rPr>
          <w:rFonts w:cs="Times New Roman"/>
          <w:szCs w:val="24"/>
        </w:rPr>
        <w:t xml:space="preserve">, 652 F.3d 1202, 1207 (9th Cir. 2011) (quoting </w:t>
      </w:r>
      <w:r w:rsidRPr="006A4CD7">
        <w:rPr>
          <w:rFonts w:cs="Times New Roman"/>
          <w:i/>
          <w:iCs/>
          <w:szCs w:val="24"/>
        </w:rPr>
        <w:t>Hansen v. Black</w:t>
      </w:r>
      <w:r w:rsidRPr="006A4CD7">
        <w:rPr>
          <w:rFonts w:cs="Times New Roman"/>
          <w:szCs w:val="24"/>
        </w:rPr>
        <w:t xml:space="preserve">, 885 F.2d 642, 646 (9th Cir. 1989); </w:t>
      </w:r>
      <w:r w:rsidRPr="006A4CD7">
        <w:rPr>
          <w:rFonts w:cs="Times New Roman"/>
          <w:i/>
          <w:iCs/>
          <w:szCs w:val="24"/>
        </w:rPr>
        <w:t>see also Lacey v. Maricopa County</w:t>
      </w:r>
      <w:r w:rsidRPr="006A4CD7">
        <w:rPr>
          <w:rFonts w:cs="Times New Roman"/>
          <w:szCs w:val="24"/>
        </w:rPr>
        <w:t xml:space="preserve">, 693 F.3d 896, 915-16 (9th Cir. 2012) (discussing culpability and intent of supervisors).  Supervisors may also be held liable under § 1983 as follows: (1) for setting in motion a series of acts by others, or knowingly refusing to terminate a series of acts by others, which they knew or reasonably should have known would cause others to inflict constitutional injury; (2) for culpable action or inaction in training, supervision, or </w:t>
      </w:r>
    </w:p>
    <w:p w14:paraId="6E3DC5FC" w14:textId="1066792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control of subordinates; (3) for acquiescence in the constitutional deprivation by subordinates; or (4) for conduct that shows a “reckless or callous indifference to the rights of others.”  </w:t>
      </w:r>
      <w:r w:rsidRPr="006A4CD7">
        <w:rPr>
          <w:rFonts w:cs="Times New Roman"/>
          <w:i/>
          <w:iCs/>
          <w:szCs w:val="24"/>
        </w:rPr>
        <w:t>Starr</w:t>
      </w:r>
      <w:r w:rsidRPr="006A4CD7">
        <w:rPr>
          <w:rFonts w:cs="Times New Roman"/>
          <w:szCs w:val="24"/>
        </w:rPr>
        <w:t xml:space="preserve">, 652 F.3d at 1207-08; </w:t>
      </w:r>
      <w:r w:rsidRPr="006A4CD7">
        <w:rPr>
          <w:rFonts w:cs="Times New Roman"/>
          <w:i/>
          <w:iCs/>
          <w:szCs w:val="24"/>
        </w:rPr>
        <w:t>see also OSU Student All. v. Ray,</w:t>
      </w:r>
      <w:r w:rsidRPr="006A4CD7">
        <w:rPr>
          <w:rFonts w:cs="Times New Roman"/>
          <w:szCs w:val="24"/>
        </w:rPr>
        <w:t xml:space="preserve"> 699 F.3d 1053, 1076 (9th Cir. 2012) (“Advancing a policy that requires subordinates to commit constitutional violations is always enough for § 1983 liability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proofErr w:type="spellStart"/>
      <w:r w:rsidRPr="006A4CD7">
        <w:rPr>
          <w:rFonts w:cs="Times New Roman"/>
          <w:i/>
          <w:iCs/>
          <w:szCs w:val="24"/>
        </w:rPr>
        <w:t>respondeat</w:t>
      </w:r>
      <w:proofErr w:type="spellEnd"/>
      <w:r w:rsidRPr="006A4CD7">
        <w:rPr>
          <w:rFonts w:cs="Times New Roman"/>
          <w:i/>
          <w:iCs/>
          <w:szCs w:val="24"/>
        </w:rPr>
        <w:t xml:space="preserve"> superior</w:t>
      </w:r>
      <w:r w:rsidRPr="006A4CD7">
        <w:rPr>
          <w:rFonts w:cs="Times New Roman"/>
          <w:szCs w:val="24"/>
        </w:rPr>
        <w:t xml:space="preserve">.  </w:t>
      </w:r>
      <w:r w:rsidRPr="006A4CD7">
        <w:rPr>
          <w:rFonts w:cs="Times New Roman"/>
          <w:i/>
          <w:iCs/>
          <w:szCs w:val="24"/>
        </w:rPr>
        <w:t>Ashcroft v. Iqbal</w:t>
      </w:r>
      <w:r w:rsidRPr="006A4CD7">
        <w:rPr>
          <w:rFonts w:cs="Times New Roman"/>
          <w:szCs w:val="24"/>
        </w:rPr>
        <w:t xml:space="preserve">, 556 U.S. 662, 676 (2009);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of Soc. Servs. of City of N.Y.</w:t>
      </w:r>
      <w:r w:rsidRPr="006A4CD7">
        <w:rPr>
          <w:rFonts w:cs="Times New Roman"/>
          <w:szCs w:val="24"/>
        </w:rPr>
        <w:t>, 436 U.S. 658, 691 (1978).</w:t>
      </w:r>
    </w:p>
    <w:p w14:paraId="52E15785" w14:textId="77777777" w:rsidR="006A4CD7" w:rsidRPr="006A4CD7" w:rsidRDefault="006A4CD7" w:rsidP="00EC5E41"/>
    <w:p w14:paraId="29E776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Deliberate Fabrication</w:t>
      </w:r>
    </w:p>
    <w:p w14:paraId="2FBF2594" w14:textId="77777777" w:rsidR="006A4CD7" w:rsidRPr="006A4CD7" w:rsidRDefault="006A4CD7" w:rsidP="0060759C">
      <w:pPr>
        <w:autoSpaceDE w:val="0"/>
        <w:autoSpaceDN w:val="0"/>
        <w:adjustRightInd w:val="0"/>
        <w:jc w:val="center"/>
        <w:rPr>
          <w:rFonts w:cs="Times New Roman"/>
          <w:szCs w:val="24"/>
        </w:rPr>
      </w:pPr>
    </w:p>
    <w:p w14:paraId="53117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deliberate fabrication cases, the filing of a criminal complaint usually immunizes the</w:t>
      </w:r>
      <w:r w:rsidR="00EC5E41">
        <w:rPr>
          <w:rFonts w:cs="Times New Roman"/>
          <w:szCs w:val="24"/>
        </w:rPr>
        <w:t xml:space="preserve"> </w:t>
      </w:r>
      <w:r w:rsidRPr="006A4CD7">
        <w:rPr>
          <w:rFonts w:cs="Times New Roman"/>
          <w:szCs w:val="24"/>
        </w:rPr>
        <w:t>investigating officers “‘because it is presumed that the prosecutor filing the complaint exercised</w:t>
      </w:r>
      <w:r w:rsidR="00EC5E41">
        <w:rPr>
          <w:rFonts w:cs="Times New Roman"/>
          <w:szCs w:val="24"/>
        </w:rPr>
        <w:t xml:space="preserve"> </w:t>
      </w:r>
      <w:r w:rsidRPr="006A4CD7">
        <w:rPr>
          <w:rFonts w:cs="Times New Roman"/>
          <w:szCs w:val="24"/>
        </w:rPr>
        <w:t>independent judgment in determining that probable cause for an accused’s arrest exists at that</w:t>
      </w:r>
      <w:r w:rsidR="00EC5E41">
        <w:rPr>
          <w:rFonts w:cs="Times New Roman"/>
          <w:szCs w:val="24"/>
        </w:rPr>
        <w:t xml:space="preserve"> </w:t>
      </w:r>
      <w:r w:rsidRPr="006A4CD7">
        <w:rPr>
          <w:rFonts w:cs="Times New Roman"/>
          <w:szCs w:val="24"/>
        </w:rPr>
        <w:t xml:space="preserve">time.’”  </w:t>
      </w:r>
      <w:r w:rsidRPr="006A4CD7">
        <w:rPr>
          <w:rFonts w:cs="Times New Roman"/>
          <w:i/>
          <w:iCs/>
          <w:szCs w:val="24"/>
        </w:rPr>
        <w:t xml:space="preserve">Caldwell v. City &amp; </w:t>
      </w:r>
      <w:proofErr w:type="spellStart"/>
      <w:r w:rsidRPr="006A4CD7">
        <w:rPr>
          <w:rFonts w:cs="Times New Roman"/>
          <w:i/>
          <w:iCs/>
          <w:szCs w:val="24"/>
        </w:rPr>
        <w:t>Cnty</w:t>
      </w:r>
      <w:proofErr w:type="spellEnd"/>
      <w:r w:rsidRPr="006A4CD7">
        <w:rPr>
          <w:rFonts w:cs="Times New Roman"/>
          <w:i/>
          <w:iCs/>
          <w:szCs w:val="24"/>
        </w:rPr>
        <w:t>. of San Francisco</w:t>
      </w:r>
      <w:r w:rsidRPr="006A4CD7">
        <w:rPr>
          <w:rFonts w:cs="Times New Roman"/>
          <w:szCs w:val="24"/>
        </w:rPr>
        <w:t>, 889 F.3d 1105, 1115 (9th Cir. 2018) (quoting</w:t>
      </w:r>
      <w:r w:rsidR="00EC5E41">
        <w:rPr>
          <w:rFonts w:cs="Times New Roman"/>
          <w:szCs w:val="24"/>
        </w:rPr>
        <w:t xml:space="preserve"> </w:t>
      </w:r>
      <w:proofErr w:type="spellStart"/>
      <w:r w:rsidRPr="006A4CD7">
        <w:rPr>
          <w:rFonts w:cs="Times New Roman"/>
          <w:i/>
          <w:iCs/>
          <w:szCs w:val="24"/>
        </w:rPr>
        <w:t>Smiddy</w:t>
      </w:r>
      <w:proofErr w:type="spellEnd"/>
      <w:r w:rsidRPr="006A4CD7">
        <w:rPr>
          <w:rFonts w:cs="Times New Roman"/>
          <w:i/>
          <w:iCs/>
          <w:szCs w:val="24"/>
        </w:rPr>
        <w:t xml:space="preserve"> v. Varney</w:t>
      </w:r>
      <w:r w:rsidRPr="006A4CD7">
        <w:rPr>
          <w:rFonts w:cs="Times New Roman"/>
          <w:szCs w:val="24"/>
        </w:rPr>
        <w:t xml:space="preserve">, 665 F.2d 261, 266 (9th Cir. 1981), </w:t>
      </w:r>
      <w:r w:rsidRPr="006A4CD7">
        <w:rPr>
          <w:rFonts w:cs="Times New Roman"/>
          <w:i/>
          <w:iCs/>
          <w:szCs w:val="24"/>
        </w:rPr>
        <w:t>overruled on other grounds by Beck v. City of Upland</w:t>
      </w:r>
      <w:r w:rsidRPr="006A4CD7">
        <w:rPr>
          <w:rFonts w:cs="Times New Roman"/>
          <w:szCs w:val="24"/>
        </w:rPr>
        <w:t>, 527 F.3d 853, 865 (9th Cir. 2008)).  However, the presumption can be overcome if a plaintiff establishes that officers “either presented false evidence to or withheld crucial</w:t>
      </w:r>
      <w:r w:rsidR="00EC5E41">
        <w:rPr>
          <w:rFonts w:cs="Times New Roman"/>
          <w:szCs w:val="24"/>
        </w:rPr>
        <w:t xml:space="preserve"> </w:t>
      </w:r>
      <w:r w:rsidRPr="006A4CD7">
        <w:rPr>
          <w:rFonts w:cs="Times New Roman"/>
          <w:szCs w:val="24"/>
        </w:rPr>
        <w:t xml:space="preserve">information from the prosecutor.”  </w:t>
      </w:r>
      <w:r w:rsidRPr="006A4CD7">
        <w:rPr>
          <w:rFonts w:cs="Times New Roman"/>
          <w:i/>
          <w:iCs/>
          <w:szCs w:val="24"/>
        </w:rPr>
        <w:t>Id</w:t>
      </w:r>
      <w:r w:rsidRPr="006A4CD7">
        <w:rPr>
          <w:rFonts w:cs="Times New Roman"/>
          <w:szCs w:val="24"/>
        </w:rPr>
        <w:t>. at 1116.  At that point, “the analysis reverts back to a</w:t>
      </w:r>
      <w:r w:rsidR="00EC5E41">
        <w:rPr>
          <w:rFonts w:cs="Times New Roman"/>
          <w:szCs w:val="24"/>
        </w:rPr>
        <w:t xml:space="preserve"> </w:t>
      </w:r>
      <w:r w:rsidRPr="006A4CD7">
        <w:rPr>
          <w:rFonts w:cs="Times New Roman"/>
          <w:szCs w:val="24"/>
        </w:rPr>
        <w:t>normal causation question” and the issue again becomes whether the constitutional violation</w:t>
      </w:r>
      <w:r w:rsidR="00EC5E41">
        <w:rPr>
          <w:rFonts w:cs="Times New Roman"/>
          <w:szCs w:val="24"/>
        </w:rPr>
        <w:t xml:space="preserve"> </w:t>
      </w:r>
      <w:r w:rsidRPr="006A4CD7">
        <w:rPr>
          <w:rFonts w:cs="Times New Roman"/>
          <w:szCs w:val="24"/>
        </w:rPr>
        <w:t xml:space="preserve">caused the plaintiff’s harm.  </w:t>
      </w:r>
      <w:r w:rsidRPr="006A4CD7">
        <w:rPr>
          <w:rFonts w:cs="Times New Roman"/>
          <w:i/>
          <w:iCs/>
          <w:szCs w:val="24"/>
        </w:rPr>
        <w:t>Id</w:t>
      </w:r>
      <w:r w:rsidRPr="006A4CD7">
        <w:rPr>
          <w:rFonts w:cs="Times New Roman"/>
          <w:szCs w:val="24"/>
        </w:rPr>
        <w:t>.</w:t>
      </w:r>
    </w:p>
    <w:p w14:paraId="60A2E019" w14:textId="77777777" w:rsidR="006A4CD7" w:rsidRPr="006A4CD7" w:rsidRDefault="006A4CD7" w:rsidP="00EC5E41"/>
    <w:p w14:paraId="637C164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First Amendment Retaliation Claims</w:t>
      </w:r>
    </w:p>
    <w:p w14:paraId="2A7014B6" w14:textId="77777777" w:rsidR="006A4CD7" w:rsidRPr="006A4CD7" w:rsidRDefault="006A4CD7" w:rsidP="00EC5E41"/>
    <w:p w14:paraId="28D75F50" w14:textId="406C8346" w:rsidR="006A4CD7" w:rsidRPr="006A4CD7" w:rsidRDefault="006A4CD7" w:rsidP="0060759C">
      <w:pPr>
        <w:autoSpaceDE w:val="0"/>
        <w:autoSpaceDN w:val="0"/>
        <w:adjustRightInd w:val="0"/>
        <w:rPr>
          <w:rFonts w:cs="Times New Roman"/>
          <w:szCs w:val="24"/>
        </w:rPr>
      </w:pPr>
      <w:r w:rsidRPr="006A4CD7">
        <w:rPr>
          <w:rFonts w:cs="Times New Roman"/>
          <w:szCs w:val="24"/>
        </w:rPr>
        <w:tab/>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w:t>
      </w:r>
      <w:r w:rsidR="002D3473" w:rsidRPr="006A4CD7">
        <w:rPr>
          <w:rFonts w:cs="Times New Roman"/>
          <w:szCs w:val="24"/>
        </w:rPr>
        <w:t>— “</w:t>
      </w:r>
      <w:r w:rsidRPr="006A4CD7">
        <w:rPr>
          <w:rFonts w:cs="Times New Roman"/>
          <w:szCs w:val="24"/>
        </w:rPr>
        <w:t>Citizen” Plaintiff).</w:t>
      </w:r>
    </w:p>
    <w:p w14:paraId="697047B1" w14:textId="77777777" w:rsidR="006A4CD7" w:rsidRPr="006A4CD7" w:rsidRDefault="006A4CD7" w:rsidP="00EC5E41"/>
    <w:p w14:paraId="137B4405" w14:textId="77777777" w:rsidR="006A4CD7" w:rsidRPr="006A4CD7" w:rsidRDefault="006A4CD7" w:rsidP="0060759C">
      <w:pPr>
        <w:autoSpaceDE w:val="0"/>
        <w:autoSpaceDN w:val="0"/>
        <w:adjustRightInd w:val="0"/>
        <w:jc w:val="center"/>
        <w:rPr>
          <w:rFonts w:cs="Times New Roman"/>
          <w:b/>
          <w:bCs/>
          <w:szCs w:val="24"/>
        </w:rPr>
      </w:pPr>
      <w:proofErr w:type="spellStart"/>
      <w:r w:rsidRPr="006A4CD7">
        <w:rPr>
          <w:rFonts w:cs="Times New Roman"/>
          <w:b/>
          <w:bCs/>
          <w:i/>
          <w:iCs/>
          <w:szCs w:val="24"/>
        </w:rPr>
        <w:t>Monell</w:t>
      </w:r>
      <w:proofErr w:type="spellEnd"/>
      <w:r w:rsidRPr="006A4CD7">
        <w:rPr>
          <w:rFonts w:cs="Times New Roman"/>
          <w:b/>
          <w:bCs/>
          <w:szCs w:val="24"/>
        </w:rPr>
        <w:t xml:space="preserve"> Claims</w:t>
      </w:r>
    </w:p>
    <w:p w14:paraId="7AED2ACF" w14:textId="77777777" w:rsidR="006A4CD7" w:rsidRPr="006A4CD7" w:rsidRDefault="006A4CD7" w:rsidP="00EC5E41"/>
    <w:p w14:paraId="779053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w:t>
      </w:r>
      <w:proofErr w:type="spellStart"/>
      <w:r w:rsidRPr="006A4CD7">
        <w:rPr>
          <w:rFonts w:cs="Times New Roman"/>
          <w:i/>
          <w:iCs/>
          <w:szCs w:val="24"/>
        </w:rPr>
        <w:t>Monell</w:t>
      </w:r>
      <w:proofErr w:type="spellEnd"/>
      <w:r w:rsidRPr="006A4CD7">
        <w:rPr>
          <w:rFonts w:cs="Times New Roman"/>
          <w:szCs w:val="24"/>
        </w:rPr>
        <w:t xml:space="preserve">, a plaintiff must also show that the policy at issue was the ‘actionable cause’ of the constitutional violation, which requires showing both but for and proximate causation.” </w:t>
      </w:r>
      <w:r w:rsidRPr="006A4CD7">
        <w:rPr>
          <w:rFonts w:cs="Times New Roman"/>
          <w:i/>
          <w:iCs/>
          <w:szCs w:val="24"/>
        </w:rPr>
        <w:t xml:space="preserve"> Tsao v. Desert Palace, Inc.</w:t>
      </w:r>
      <w:r w:rsidRPr="006A4CD7">
        <w:rPr>
          <w:rFonts w:cs="Times New Roman"/>
          <w:szCs w:val="24"/>
        </w:rPr>
        <w:t xml:space="preserve">, 698 F.3d 1128, 1146 (9th Cir. 2012) (citing </w:t>
      </w:r>
      <w:r w:rsidRPr="006A4CD7">
        <w:rPr>
          <w:rFonts w:cs="Times New Roman"/>
          <w:i/>
          <w:iCs/>
          <w:szCs w:val="24"/>
        </w:rPr>
        <w:t>Harper</w:t>
      </w:r>
      <w:r w:rsidRPr="006A4CD7">
        <w:rPr>
          <w:rFonts w:cs="Times New Roman"/>
          <w:szCs w:val="24"/>
        </w:rPr>
        <w:t xml:space="preserve">, 533 F.3d at 1026).  Regardless of what theory the plaintiff employs to establish municipal liability— policy, custom, or failure to train— the plaintiff must establish an affirmative causal link between the municipal policy or practice and the alleged constitutional violation.  </w:t>
      </w:r>
      <w:r w:rsidRPr="006A4CD7">
        <w:rPr>
          <w:rFonts w:cs="Times New Roman"/>
          <w:i/>
          <w:iCs/>
          <w:szCs w:val="24"/>
        </w:rPr>
        <w:t>See City of Canton</w:t>
      </w:r>
      <w:r w:rsidRPr="006A4CD7">
        <w:rPr>
          <w:rFonts w:cs="Times New Roman"/>
          <w:szCs w:val="24"/>
        </w:rPr>
        <w:t xml:space="preserve">, 489 U.S. 378, 385, 391-92 (1989); </w:t>
      </w:r>
      <w:r w:rsidRPr="006A4CD7">
        <w:rPr>
          <w:rFonts w:cs="Times New Roman"/>
          <w:i/>
          <w:iCs/>
          <w:szCs w:val="24"/>
        </w:rPr>
        <w:t xml:space="preserve">Van Ort v. Estate of </w:t>
      </w:r>
      <w:proofErr w:type="spellStart"/>
      <w:r w:rsidRPr="006A4CD7">
        <w:rPr>
          <w:rFonts w:cs="Times New Roman"/>
          <w:i/>
          <w:iCs/>
          <w:szCs w:val="24"/>
        </w:rPr>
        <w:t>Stanewich</w:t>
      </w:r>
      <w:proofErr w:type="spellEnd"/>
      <w:r w:rsidRPr="006A4CD7">
        <w:rPr>
          <w:rFonts w:cs="Times New Roman"/>
          <w:szCs w:val="24"/>
        </w:rPr>
        <w:t xml:space="preserve">, 92 F.3d 831, 835 (9th Cir. 1996).  If the plaintiff relies on the theory of ratification, </w:t>
      </w:r>
      <w:r w:rsidRPr="006A4CD7">
        <w:rPr>
          <w:rFonts w:cs="Times New Roman"/>
          <w:i/>
          <w:iCs/>
          <w:szCs w:val="24"/>
        </w:rPr>
        <w:t>see</w:t>
      </w:r>
      <w:r w:rsidRPr="006A4CD7">
        <w:rPr>
          <w:rFonts w:cs="Times New Roman"/>
          <w:szCs w:val="24"/>
        </w:rPr>
        <w:t xml:space="preserve"> Instruction 9.7 (Section 1983 Claim Against Local Governing Body Defendants Based on Ratification— Elements and Burden of Proof), which discusses ratification and causation.</w:t>
      </w:r>
    </w:p>
    <w:p w14:paraId="76ED36B2" w14:textId="77777777" w:rsidR="006A4CD7" w:rsidRPr="006A4CD7" w:rsidRDefault="006A4CD7" w:rsidP="0060759C">
      <w:pPr>
        <w:autoSpaceDE w:val="0"/>
        <w:autoSpaceDN w:val="0"/>
        <w:adjustRightInd w:val="0"/>
        <w:rPr>
          <w:rFonts w:cs="Times New Roman"/>
          <w:szCs w:val="24"/>
        </w:rPr>
      </w:pPr>
    </w:p>
    <w:p w14:paraId="055831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Oviatt v. Pearce</w:t>
      </w:r>
      <w:r w:rsidRPr="006A4CD7">
        <w:rPr>
          <w:rFonts w:cs="Times New Roman"/>
          <w:szCs w:val="24"/>
        </w:rPr>
        <w:t xml:space="preserve">, 954 F.2d 1470, 1481 (9th Cir. 1992), the Ninth Circuit approved the trial court’s “moving force” instruction on causation in a § 1983 </w:t>
      </w:r>
      <w:proofErr w:type="spellStart"/>
      <w:r w:rsidRPr="006A4CD7">
        <w:rPr>
          <w:rFonts w:cs="Times New Roman"/>
          <w:i/>
          <w:iCs/>
          <w:szCs w:val="24"/>
        </w:rPr>
        <w:t>Monell</w:t>
      </w:r>
      <w:proofErr w:type="spellEnd"/>
      <w:r w:rsidRPr="006A4CD7">
        <w:rPr>
          <w:rFonts w:cs="Times New Roman"/>
          <w:szCs w:val="24"/>
        </w:rPr>
        <w:t xml:space="preserve"> claim as follows:</w:t>
      </w:r>
    </w:p>
    <w:p w14:paraId="237164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501A4C01"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6A4CD7">
        <w:rPr>
          <w:rFonts w:cs="Times New Roman"/>
          <w:i/>
          <w:iCs/>
          <w:szCs w:val="24"/>
        </w:rPr>
        <w:t>City of Canton</w:t>
      </w:r>
      <w:r w:rsidRPr="006A4CD7">
        <w:rPr>
          <w:rFonts w:cs="Times New Roman"/>
          <w:szCs w:val="24"/>
        </w:rPr>
        <w:t xml:space="preserve">, we find that it correctly stated the law and adequately covered the issue of causation.  </w:t>
      </w:r>
      <w:r w:rsidRPr="006A4CD7">
        <w:rPr>
          <w:rFonts w:cs="Times New Roman"/>
          <w:i/>
          <w:iCs/>
          <w:szCs w:val="24"/>
        </w:rPr>
        <w:t>See City of Canton</w:t>
      </w:r>
      <w:r w:rsidRPr="006A4CD7">
        <w:rPr>
          <w:rFonts w:cs="Times New Roman"/>
          <w:szCs w:val="24"/>
        </w:rPr>
        <w:t xml:space="preserve">, 489 U.S. at 391 (“the identified deficiency in a city’s training program must be </w:t>
      </w:r>
      <w:r w:rsidRPr="006A4CD7">
        <w:rPr>
          <w:rFonts w:cs="Times New Roman"/>
          <w:i/>
          <w:iCs/>
          <w:szCs w:val="24"/>
        </w:rPr>
        <w:t>closely related to the ultimate injury</w:t>
      </w:r>
      <w:r w:rsidRPr="006A4CD7">
        <w:rPr>
          <w:rFonts w:cs="Times New Roman"/>
          <w:szCs w:val="24"/>
        </w:rPr>
        <w:t>.”) (emphasis in original).</w:t>
      </w:r>
    </w:p>
    <w:p w14:paraId="1BE2A74B" w14:textId="77777777" w:rsidR="006A4CD7" w:rsidRPr="006A4CD7" w:rsidRDefault="006A4CD7" w:rsidP="00EC5E41"/>
    <w:p w14:paraId="6138B56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Concurrent Cause</w:t>
      </w:r>
    </w:p>
    <w:p w14:paraId="5794CD85" w14:textId="77777777" w:rsidR="006A4CD7" w:rsidRPr="006A4CD7" w:rsidRDefault="006A4CD7" w:rsidP="00EC5E41"/>
    <w:p w14:paraId="029D46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Jones v. Williams</w:t>
      </w:r>
      <w:r w:rsidRPr="006A4CD7">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6A4CD7">
        <w:rPr>
          <w:rFonts w:cs="Times New Roman"/>
          <w:i/>
          <w:iCs/>
          <w:szCs w:val="24"/>
        </w:rPr>
        <w:t>Jones v. Williams</w:t>
      </w:r>
      <w:r w:rsidRPr="006A4CD7">
        <w:rPr>
          <w:rFonts w:cs="Times New Roman"/>
          <w:szCs w:val="24"/>
        </w:rPr>
        <w:t>, 297 F.3d 930, 937 n.6 (9th Cir. 2002).</w:t>
      </w:r>
    </w:p>
    <w:p w14:paraId="66AB43C3" w14:textId="77777777" w:rsidR="006A4CD7" w:rsidRPr="006A4CD7" w:rsidRDefault="006A4CD7" w:rsidP="00EC5E41"/>
    <w:p w14:paraId="53536F4D" w14:textId="77777777" w:rsidR="006A4CD7" w:rsidRPr="006A4CD7" w:rsidRDefault="006A4CD7" w:rsidP="00EC5E41"/>
    <w:p w14:paraId="42E1B73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2019</w:t>
      </w:r>
    </w:p>
    <w:p w14:paraId="683D7A96" w14:textId="4D519212" w:rsidR="006A4CD7" w:rsidRPr="006A4CD7" w:rsidRDefault="006A4CD7" w:rsidP="00352D49">
      <w:pPr>
        <w:pStyle w:val="Heading2"/>
      </w:pPr>
      <w:r w:rsidRPr="006A4CD7">
        <w:br w:type="page"/>
      </w:r>
      <w:bookmarkStart w:id="122" w:name="_Toc117512416"/>
      <w:r w:rsidRPr="006A4CD7">
        <w:lastRenderedPageBreak/>
        <w:t xml:space="preserve">9.3 </w:t>
      </w:r>
      <w:r w:rsidR="00522ACE">
        <w:t>Section 1983 Claim Against Defendant in Individual Capacity—Elements and Burden of Proof</w:t>
      </w:r>
      <w:bookmarkEnd w:id="122"/>
    </w:p>
    <w:p w14:paraId="1994B7A4" w14:textId="77777777" w:rsidR="006A4CD7" w:rsidRPr="006A4CD7" w:rsidRDefault="006A4CD7" w:rsidP="00455B81"/>
    <w:p w14:paraId="7955DE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defendant [</w:t>
      </w:r>
      <w:r w:rsidRPr="006A4CD7">
        <w:rPr>
          <w:rFonts w:cs="Times New Roman"/>
          <w:i/>
          <w:iCs/>
          <w:szCs w:val="24"/>
          <w:u w:val="single"/>
        </w:rPr>
        <w:t>name of individual defendant</w:t>
      </w:r>
      <w:r w:rsidRPr="006A4CD7">
        <w:rPr>
          <w:rFonts w:cs="Times New Roman"/>
          <w:szCs w:val="24"/>
        </w:rPr>
        <w:t>], the plaintiff must prove each of the following elements by a preponderance of the evidence:</w:t>
      </w:r>
      <w:r w:rsidRPr="006A4CD7">
        <w:rPr>
          <w:rFonts w:cs="Times New Roman"/>
          <w:szCs w:val="24"/>
        </w:rPr>
        <w:tab/>
      </w:r>
    </w:p>
    <w:p w14:paraId="6E4C735A" w14:textId="77777777" w:rsidR="006A4CD7" w:rsidRPr="006A4CD7" w:rsidRDefault="006A4CD7" w:rsidP="0060759C">
      <w:pPr>
        <w:autoSpaceDE w:val="0"/>
        <w:autoSpaceDN w:val="0"/>
        <w:adjustRightInd w:val="0"/>
        <w:rPr>
          <w:rFonts w:cs="Times New Roman"/>
          <w:szCs w:val="24"/>
        </w:rPr>
      </w:pPr>
    </w:p>
    <w:p w14:paraId="05F2421A" w14:textId="77777777" w:rsidR="00455B81"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acted under color of state law; and</w:t>
      </w:r>
    </w:p>
    <w:p w14:paraId="39DEA368" w14:textId="77777777" w:rsidR="00455B81" w:rsidRDefault="00455B81" w:rsidP="00455B81">
      <w:pPr>
        <w:autoSpaceDE w:val="0"/>
        <w:autoSpaceDN w:val="0"/>
        <w:adjustRightInd w:val="0"/>
        <w:ind w:left="1440" w:hanging="720"/>
        <w:rPr>
          <w:rFonts w:cs="Times New Roman"/>
          <w:szCs w:val="24"/>
        </w:rPr>
      </w:pPr>
    </w:p>
    <w:p w14:paraId="2D2F9CF5"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[act[s]] [failure to act] of the defendant deprived the plaintiff of [his] [her] particular rights under [the laws of the United States] [the United States Constitution] as explained in later instructions. </w:t>
      </w:r>
    </w:p>
    <w:p w14:paraId="16A5241F" w14:textId="77777777" w:rsidR="006A4CD7" w:rsidRPr="006A4CD7" w:rsidRDefault="006A4CD7" w:rsidP="0060759C">
      <w:pPr>
        <w:autoSpaceDE w:val="0"/>
        <w:autoSpaceDN w:val="0"/>
        <w:adjustRightInd w:val="0"/>
        <w:rPr>
          <w:rFonts w:cs="Times New Roman"/>
          <w:szCs w:val="24"/>
        </w:rPr>
      </w:pPr>
    </w:p>
    <w:p w14:paraId="586766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[I instruct you] that the defendant acted under color of state law.]</w:t>
      </w:r>
    </w:p>
    <w:p w14:paraId="11E04A8D" w14:textId="77777777" w:rsidR="006A4CD7" w:rsidRPr="006A4CD7" w:rsidRDefault="006A4CD7" w:rsidP="0060759C">
      <w:pPr>
        <w:autoSpaceDE w:val="0"/>
        <w:autoSpaceDN w:val="0"/>
        <w:adjustRightInd w:val="0"/>
        <w:rPr>
          <w:rFonts w:cs="Times New Roman"/>
          <w:szCs w:val="24"/>
        </w:rPr>
      </w:pPr>
    </w:p>
    <w:p w14:paraId="6498C8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54604346" w14:textId="77777777" w:rsidR="006A4CD7" w:rsidRPr="006A4CD7" w:rsidRDefault="006A4CD7" w:rsidP="00455B81"/>
    <w:p w14:paraId="0C01A9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DDC65F" w14:textId="77777777" w:rsidR="006A4CD7" w:rsidRPr="006A4CD7" w:rsidRDefault="006A4CD7" w:rsidP="0060759C">
      <w:pPr>
        <w:autoSpaceDE w:val="0"/>
        <w:autoSpaceDN w:val="0"/>
        <w:adjustRightInd w:val="0"/>
        <w:jc w:val="center"/>
        <w:rPr>
          <w:rFonts w:cs="Times New Roman"/>
          <w:szCs w:val="24"/>
        </w:rPr>
      </w:pPr>
    </w:p>
    <w:p w14:paraId="750FEA7F" w14:textId="77777777" w:rsidR="006A4CD7" w:rsidRPr="006A4CD7" w:rsidRDefault="006A4CD7" w:rsidP="0060759C">
      <w:pPr>
        <w:autoSpaceDE w:val="0"/>
        <w:autoSpaceDN w:val="0"/>
        <w:adjustRightInd w:val="0"/>
        <w:spacing w:line="215" w:lineRule="auto"/>
        <w:rPr>
          <w:rFonts w:cs="Times New Roman"/>
          <w:szCs w:val="24"/>
        </w:rPr>
      </w:pPr>
      <w:r w:rsidRPr="006A4CD7">
        <w:rPr>
          <w:rFonts w:cs="Times New Roman"/>
          <w:szCs w:val="24"/>
        </w:rPr>
        <w:tab/>
        <w:t>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w:t>
      </w:r>
    </w:p>
    <w:p w14:paraId="7EA40EFB" w14:textId="77777777" w:rsidR="006A4CD7" w:rsidRPr="006A4CD7" w:rsidRDefault="006A4CD7" w:rsidP="0060759C">
      <w:pPr>
        <w:autoSpaceDE w:val="0"/>
        <w:autoSpaceDN w:val="0"/>
        <w:adjustRightInd w:val="0"/>
        <w:rPr>
          <w:rFonts w:cs="Times New Roman"/>
          <w:szCs w:val="24"/>
        </w:rPr>
      </w:pPr>
    </w:p>
    <w:p w14:paraId="76DFB5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a § 1983 claim are (1) the action occurred “under color of state law” and (2) the action resulted in the deprivation of a constitutional right or federal statutory right.  </w:t>
      </w:r>
      <w:r w:rsidRPr="006A4CD7">
        <w:rPr>
          <w:rFonts w:cs="Times New Roman"/>
          <w:i/>
          <w:iCs/>
          <w:szCs w:val="24"/>
        </w:rPr>
        <w:t>Long v. County of Los Angeles</w:t>
      </w:r>
      <w:r w:rsidRPr="006A4CD7">
        <w:rPr>
          <w:rFonts w:cs="Times New Roman"/>
          <w:szCs w:val="24"/>
        </w:rPr>
        <w:t>, 442 F.3d 1178, 1185 (9th Cir. 2006) (citing</w:t>
      </w:r>
      <w:r w:rsidRPr="006A4CD7">
        <w:rPr>
          <w:rFonts w:cs="Times New Roman"/>
          <w:i/>
          <w:iCs/>
          <w:szCs w:val="24"/>
        </w:rPr>
        <w:t xml:space="preserve"> West v. Atkins</w:t>
      </w:r>
      <w:r w:rsidRPr="006A4CD7">
        <w:rPr>
          <w:rFonts w:cs="Times New Roman"/>
          <w:szCs w:val="24"/>
        </w:rPr>
        <w:t xml:space="preserve">, 487 U.S. 42, 48 (1988)).  In order to be individually liable under § 1983, an individual must personally participate in an alleged rights deprivation.  </w:t>
      </w:r>
      <w:r w:rsidRPr="006A4CD7">
        <w:rPr>
          <w:rFonts w:cs="Times New Roman"/>
          <w:i/>
          <w:iCs/>
          <w:szCs w:val="24"/>
        </w:rPr>
        <w:t>Avalos v. Baca</w:t>
      </w:r>
      <w:r w:rsidRPr="006A4CD7">
        <w:rPr>
          <w:rFonts w:cs="Times New Roman"/>
          <w:szCs w:val="24"/>
        </w:rPr>
        <w:t>, 596 F.3d 583, 587 (9th Cir. 2010).</w:t>
      </w:r>
    </w:p>
    <w:p w14:paraId="7F3C6B58" w14:textId="77777777" w:rsidR="006A4CD7" w:rsidRPr="006A4CD7" w:rsidRDefault="006A4CD7" w:rsidP="0060759C">
      <w:pPr>
        <w:autoSpaceDE w:val="0"/>
        <w:autoSpaceDN w:val="0"/>
        <w:adjustRightInd w:val="0"/>
        <w:rPr>
          <w:rFonts w:cs="Times New Roman"/>
          <w:szCs w:val="24"/>
        </w:rPr>
      </w:pPr>
    </w:p>
    <w:p w14:paraId="4BEF1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xml:space="preserve">, 533 F.3d 1010, 1026 (9th Cir. 2008).  “To meet this causation requirement, the plaintiff must establish both causation-in-fact and proximate causation.”  </w:t>
      </w:r>
      <w:r w:rsidRPr="006A4CD7">
        <w:rPr>
          <w:rFonts w:cs="Times New Roman"/>
          <w:i/>
          <w:iCs/>
          <w:szCs w:val="24"/>
        </w:rPr>
        <w:t>Id.</w:t>
      </w:r>
    </w:p>
    <w:p w14:paraId="2F5383A5" w14:textId="77777777" w:rsidR="006A4CD7" w:rsidRPr="006A4CD7" w:rsidRDefault="006A4CD7" w:rsidP="0060759C">
      <w:pPr>
        <w:autoSpaceDE w:val="0"/>
        <w:autoSpaceDN w:val="0"/>
        <w:adjustRightInd w:val="0"/>
        <w:rPr>
          <w:rFonts w:cs="Times New Roman"/>
          <w:szCs w:val="24"/>
        </w:rPr>
      </w:pPr>
    </w:p>
    <w:p w14:paraId="31EE111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Reynaga</w:t>
      </w:r>
      <w:proofErr w:type="spellEnd"/>
      <w:r w:rsidRPr="006A4CD7">
        <w:rPr>
          <w:rFonts w:cs="Times New Roman"/>
          <w:i/>
          <w:iCs/>
          <w:szCs w:val="24"/>
        </w:rPr>
        <w:t xml:space="preserve"> Hernandez v. Skinner</w:t>
      </w:r>
      <w:r w:rsidRPr="006A4CD7">
        <w:rPr>
          <w:rFonts w:cs="Times New Roman"/>
          <w:szCs w:val="24"/>
        </w:rPr>
        <w:t xml:space="preserve">, 969 F.3d 930, 941-42 (9th Cir. 2020), the Ninth Circuit discussed, for the first time, the minimum level of involvement needed for § 1983 liability under the integral-participant doctrine.  When liability is alleged against a defendant on this basis, the model instruction stated above will need to be modified. </w:t>
      </w:r>
    </w:p>
    <w:p w14:paraId="151218B1" w14:textId="77777777" w:rsidR="00455B81" w:rsidRPr="006A4CD7" w:rsidRDefault="00455B81" w:rsidP="0060759C">
      <w:pPr>
        <w:autoSpaceDE w:val="0"/>
        <w:autoSpaceDN w:val="0"/>
        <w:adjustRightInd w:val="0"/>
        <w:rPr>
          <w:rFonts w:cs="Times New Roman"/>
          <w:szCs w:val="24"/>
        </w:rPr>
      </w:pPr>
    </w:p>
    <w:p w14:paraId="7249EB6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18D8DBF6" w14:textId="519429BE" w:rsidR="00455B81" w:rsidRPr="006A4CD7" w:rsidRDefault="006A4CD7" w:rsidP="00352D49">
      <w:pPr>
        <w:pStyle w:val="Heading2"/>
      </w:pPr>
      <w:r w:rsidRPr="006A4CD7">
        <w:br w:type="page"/>
      </w:r>
      <w:bookmarkStart w:id="123" w:name="_Toc117512417"/>
      <w:r w:rsidRPr="006A4CD7">
        <w:lastRenderedPageBreak/>
        <w:t xml:space="preserve">9.4 </w:t>
      </w:r>
      <w:r w:rsidR="005E7FC8">
        <w:t>Section 1983 Claim Against Supervisory Defendant in Individual Capacity—Elements and Burden of Proof</w:t>
      </w:r>
      <w:bookmarkEnd w:id="123"/>
    </w:p>
    <w:p w14:paraId="527B247D" w14:textId="77777777" w:rsidR="006A4CD7" w:rsidRPr="006A4CD7" w:rsidRDefault="006A4CD7" w:rsidP="00EC5E41"/>
    <w:p w14:paraId="5933AB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supervisory defendant, [</w:t>
      </w:r>
      <w:r w:rsidRPr="006A4CD7">
        <w:rPr>
          <w:rFonts w:cs="Times New Roman"/>
          <w:i/>
          <w:iCs/>
          <w:szCs w:val="24"/>
          <w:u w:val="single"/>
        </w:rPr>
        <w:t>name</w:t>
      </w:r>
      <w:r w:rsidRPr="006A4CD7">
        <w:rPr>
          <w:rFonts w:cs="Times New Roman"/>
          <w:szCs w:val="24"/>
        </w:rPr>
        <w:t>],</w:t>
      </w:r>
    </w:p>
    <w:p w14:paraId="2E38A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must prove each of the following elements by a preponderance of the evidence:</w:t>
      </w:r>
    </w:p>
    <w:p w14:paraId="4EF90764" w14:textId="77777777" w:rsidR="006A4CD7" w:rsidRPr="006A4CD7" w:rsidRDefault="006A4CD7" w:rsidP="0060759C">
      <w:pPr>
        <w:autoSpaceDE w:val="0"/>
        <w:autoSpaceDN w:val="0"/>
        <w:adjustRightInd w:val="0"/>
        <w:rPr>
          <w:rFonts w:cs="Times New Roman"/>
          <w:szCs w:val="24"/>
        </w:rPr>
      </w:pPr>
    </w:p>
    <w:p w14:paraId="429D5E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supervisory defendant acted under color of state law;</w:t>
      </w:r>
    </w:p>
    <w:p w14:paraId="2A4F442D" w14:textId="77777777" w:rsidR="006A4CD7" w:rsidRPr="006A4CD7" w:rsidRDefault="006A4CD7" w:rsidP="00EC5E41">
      <w:pPr>
        <w:autoSpaceDE w:val="0"/>
        <w:autoSpaceDN w:val="0"/>
        <w:adjustRightInd w:val="0"/>
        <w:ind w:left="1440" w:hanging="720"/>
        <w:rPr>
          <w:rFonts w:cs="Times New Roman"/>
          <w:szCs w:val="24"/>
        </w:rPr>
      </w:pPr>
    </w:p>
    <w:p w14:paraId="3DF72D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[act[s]] [failure to act] of the supervisory defendant’s subordinate[s] [</w:t>
      </w:r>
      <w:r w:rsidRPr="006A4CD7">
        <w:rPr>
          <w:rFonts w:cs="Times New Roman"/>
          <w:i/>
          <w:iCs/>
          <w:szCs w:val="24"/>
          <w:u w:val="single"/>
        </w:rPr>
        <w:t>name[s]</w:t>
      </w:r>
      <w:r w:rsidRPr="006A4CD7">
        <w:rPr>
          <w:rFonts w:cs="Times New Roman"/>
          <w:szCs w:val="24"/>
        </w:rPr>
        <w:t>] deprived the plaintiff of [his] [her] particular rights under [the laws of the United States] [the United States Constitution] as explained in later instructions;</w:t>
      </w:r>
    </w:p>
    <w:p w14:paraId="4EA9535B" w14:textId="77777777" w:rsidR="006A4CD7" w:rsidRPr="006A4CD7" w:rsidRDefault="006A4CD7" w:rsidP="00EC5E41">
      <w:pPr>
        <w:autoSpaceDE w:val="0"/>
        <w:autoSpaceDN w:val="0"/>
        <w:adjustRightInd w:val="0"/>
        <w:ind w:left="1440" w:hanging="720"/>
        <w:rPr>
          <w:rFonts w:cs="Times New Roman"/>
          <w:szCs w:val="24"/>
        </w:rPr>
      </w:pPr>
    </w:p>
    <w:p w14:paraId="50EFB2BC"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supervisory defendant directed [his] [her] subordinate[s] in the [act[s]] [failure to act] that deprived the plaintiff of these rights;]</w:t>
      </w:r>
    </w:p>
    <w:p w14:paraId="16A8A69F" w14:textId="77777777" w:rsidR="006A4CD7" w:rsidRPr="006A4CD7" w:rsidRDefault="006A4CD7" w:rsidP="00455B81">
      <w:pPr>
        <w:autoSpaceDE w:val="0"/>
        <w:autoSpaceDN w:val="0"/>
        <w:adjustRightInd w:val="0"/>
        <w:ind w:left="720" w:hanging="720"/>
        <w:rPr>
          <w:rFonts w:cs="Times New Roman"/>
          <w:szCs w:val="24"/>
        </w:rPr>
      </w:pPr>
    </w:p>
    <w:p w14:paraId="5F0CF0CF" w14:textId="18286C17"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0E7F273E" w14:textId="77777777" w:rsidR="006A4CD7" w:rsidRPr="006A4CD7" w:rsidRDefault="006A4CD7" w:rsidP="00455B81">
      <w:pPr>
        <w:autoSpaceDE w:val="0"/>
        <w:autoSpaceDN w:val="0"/>
        <w:adjustRightInd w:val="0"/>
        <w:ind w:left="720" w:hanging="720"/>
        <w:rPr>
          <w:rFonts w:cs="Times New Roman"/>
          <w:szCs w:val="24"/>
        </w:rPr>
      </w:pPr>
    </w:p>
    <w:p w14:paraId="3F113A88" w14:textId="08C567B6" w:rsidR="006A4CD7" w:rsidRPr="006A4CD7" w:rsidRDefault="006A4CD7" w:rsidP="00455B81">
      <w:pPr>
        <w:autoSpaceDE w:val="0"/>
        <w:autoSpaceDN w:val="0"/>
        <w:adjustRightInd w:val="0"/>
        <w:ind w:left="720"/>
        <w:rPr>
          <w:rFonts w:cs="Times New Roman"/>
          <w:szCs w:val="24"/>
        </w:rPr>
      </w:pPr>
      <w:r w:rsidRPr="006A4CD7">
        <w:rPr>
          <w:rFonts w:cs="Times New Roman"/>
          <w:szCs w:val="24"/>
        </w:rPr>
        <w:t>[the supervisory defendant set in motion a series of acts by [his] [her] subordinate[s], or knowingly refused to terminate a series of acts by [his]</w:t>
      </w:r>
      <w:r w:rsidR="00926E8E">
        <w:rPr>
          <w:rFonts w:cs="Times New Roman"/>
          <w:szCs w:val="24"/>
        </w:rPr>
        <w:t xml:space="preserve"> </w:t>
      </w:r>
      <w:r w:rsidRPr="006A4CD7">
        <w:rPr>
          <w:rFonts w:cs="Times New Roman"/>
          <w:szCs w:val="24"/>
        </w:rPr>
        <w:t>[her] subordinate[s], that [he] [she] knew or reasonably should have known would cause the subordinate[s] to deprive the plaintiff of these rights;]</w:t>
      </w:r>
    </w:p>
    <w:p w14:paraId="12FF586A" w14:textId="77777777" w:rsidR="006A4CD7" w:rsidRPr="006A4CD7" w:rsidRDefault="006A4CD7" w:rsidP="00455B81">
      <w:pPr>
        <w:autoSpaceDE w:val="0"/>
        <w:autoSpaceDN w:val="0"/>
        <w:adjustRightInd w:val="0"/>
        <w:ind w:left="720" w:hanging="720"/>
        <w:rPr>
          <w:rFonts w:cs="Times New Roman"/>
          <w:szCs w:val="24"/>
        </w:rPr>
      </w:pPr>
    </w:p>
    <w:p w14:paraId="68EF8849" w14:textId="61C75FF5"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484C580C" w14:textId="77777777" w:rsidR="006A4CD7" w:rsidRPr="006A4CD7" w:rsidRDefault="006A4CD7" w:rsidP="00455B81">
      <w:pPr>
        <w:autoSpaceDE w:val="0"/>
        <w:autoSpaceDN w:val="0"/>
        <w:adjustRightInd w:val="0"/>
        <w:ind w:left="720" w:hanging="720"/>
        <w:rPr>
          <w:rFonts w:cs="Times New Roman"/>
          <w:szCs w:val="24"/>
        </w:rPr>
      </w:pPr>
    </w:p>
    <w:p w14:paraId="33DAA40B" w14:textId="33741E91"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knew that [his] [her] subordinate[s] were engaging in these act[s] and knew or reasonably should have known that the subordinate[’</w:t>
      </w:r>
      <w:r w:rsidR="00926E8E" w:rsidRPr="006A4CD7">
        <w:rPr>
          <w:rFonts w:cs="Times New Roman"/>
          <w:szCs w:val="24"/>
        </w:rPr>
        <w:t>s] [</w:t>
      </w:r>
      <w:r w:rsidRPr="006A4CD7">
        <w:rPr>
          <w:rFonts w:cs="Times New Roman"/>
          <w:szCs w:val="24"/>
        </w:rPr>
        <w:t>s’] conduct would deprive the plaintiff of these rights; and</w:t>
      </w:r>
    </w:p>
    <w:p w14:paraId="65D4121C" w14:textId="77777777" w:rsidR="006A4CD7" w:rsidRPr="006A4CD7" w:rsidRDefault="006A4CD7" w:rsidP="000C5EAE">
      <w:pPr>
        <w:autoSpaceDE w:val="0"/>
        <w:autoSpaceDN w:val="0"/>
        <w:adjustRightInd w:val="0"/>
        <w:ind w:left="1440" w:hanging="720"/>
        <w:rPr>
          <w:rFonts w:cs="Times New Roman"/>
          <w:szCs w:val="24"/>
        </w:rPr>
      </w:pPr>
    </w:p>
    <w:p w14:paraId="13C7AD64"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(b) </w:t>
      </w:r>
      <w:r w:rsidRPr="006A4CD7">
        <w:rPr>
          <w:rFonts w:cs="Times New Roman"/>
          <w:szCs w:val="24"/>
        </w:rPr>
        <w:tab/>
        <w:t>the supervisory defendant failed to act to prevent [his] [her] subordinate[s] from engaging in such conduct;]</w:t>
      </w:r>
    </w:p>
    <w:p w14:paraId="6E539A69" w14:textId="77777777" w:rsidR="006A4CD7" w:rsidRPr="006A4CD7" w:rsidRDefault="006A4CD7" w:rsidP="000C5EAE">
      <w:pPr>
        <w:autoSpaceDE w:val="0"/>
        <w:autoSpaceDN w:val="0"/>
        <w:adjustRightInd w:val="0"/>
        <w:ind w:left="1440" w:hanging="720"/>
        <w:rPr>
          <w:rFonts w:cs="Times New Roman"/>
          <w:szCs w:val="24"/>
        </w:rPr>
      </w:pPr>
    </w:p>
    <w:p w14:paraId="18579A1E" w14:textId="38B91D49"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73C040FE" w14:textId="77777777" w:rsidR="006A4CD7" w:rsidRPr="006A4CD7" w:rsidRDefault="006A4CD7" w:rsidP="00455B81">
      <w:pPr>
        <w:autoSpaceDE w:val="0"/>
        <w:autoSpaceDN w:val="0"/>
        <w:adjustRightInd w:val="0"/>
        <w:ind w:left="720" w:hanging="720"/>
        <w:rPr>
          <w:rFonts w:cs="Times New Roman"/>
          <w:szCs w:val="24"/>
        </w:rPr>
      </w:pPr>
    </w:p>
    <w:p w14:paraId="318A572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33DFE7C" w14:textId="77777777" w:rsidR="006A4CD7" w:rsidRPr="006A4CD7" w:rsidRDefault="006A4CD7" w:rsidP="000C5EAE">
      <w:pPr>
        <w:autoSpaceDE w:val="0"/>
        <w:autoSpaceDN w:val="0"/>
        <w:adjustRightInd w:val="0"/>
        <w:ind w:left="1440" w:hanging="720"/>
        <w:rPr>
          <w:rFonts w:cs="Times New Roman"/>
          <w:szCs w:val="24"/>
        </w:rPr>
      </w:pPr>
    </w:p>
    <w:p w14:paraId="1C589EEF"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(b)</w:t>
      </w:r>
      <w:r w:rsidRPr="006A4CD7">
        <w:rPr>
          <w:rFonts w:cs="Times New Roman"/>
          <w:szCs w:val="24"/>
        </w:rPr>
        <w:tab/>
        <w:t>that deficiency or omission actually caused [his] [her] subordinates to deprive the plaintiff of [his] [her] constitutional rights;]</w:t>
      </w:r>
    </w:p>
    <w:p w14:paraId="0ED60008" w14:textId="77777777" w:rsidR="006A4CD7" w:rsidRPr="006A4CD7" w:rsidRDefault="006A4CD7" w:rsidP="00455B81">
      <w:pPr>
        <w:autoSpaceDE w:val="0"/>
        <w:autoSpaceDN w:val="0"/>
        <w:adjustRightInd w:val="0"/>
        <w:ind w:left="720" w:hanging="720"/>
        <w:rPr>
          <w:rFonts w:cs="Times New Roman"/>
          <w:szCs w:val="24"/>
        </w:rPr>
      </w:pPr>
    </w:p>
    <w:p w14:paraId="42CBF824" w14:textId="30A546D9"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or</w:t>
      </w:r>
    </w:p>
    <w:p w14:paraId="25FB50A0" w14:textId="77777777" w:rsidR="006A4CD7" w:rsidRPr="006A4CD7" w:rsidRDefault="006A4CD7" w:rsidP="0060759C">
      <w:pPr>
        <w:autoSpaceDE w:val="0"/>
        <w:autoSpaceDN w:val="0"/>
        <w:adjustRightInd w:val="0"/>
        <w:rPr>
          <w:rFonts w:cs="Times New Roman"/>
          <w:szCs w:val="24"/>
        </w:rPr>
      </w:pPr>
    </w:p>
    <w:p w14:paraId="3550D1E8" w14:textId="77777777" w:rsidR="006A4CD7" w:rsidRPr="006A4CD7" w:rsidRDefault="006A4CD7" w:rsidP="0060759C">
      <w:pPr>
        <w:autoSpaceDE w:val="0"/>
        <w:autoSpaceDN w:val="0"/>
        <w:adjustRightInd w:val="0"/>
        <w:ind w:left="720" w:hanging="1440"/>
        <w:rPr>
          <w:rFonts w:cs="Times New Roman"/>
          <w:szCs w:val="24"/>
        </w:rPr>
      </w:pPr>
      <w:r w:rsidRPr="006A4CD7">
        <w:rPr>
          <w:rFonts w:cs="Times New Roman"/>
          <w:szCs w:val="24"/>
        </w:rPr>
        <w:tab/>
        <w:t>[the supervisory defendant engaged in conduct that showed a reckless or callous indifference to the deprivation by the subordinate of the rights of others;]</w:t>
      </w:r>
    </w:p>
    <w:p w14:paraId="78918B91" w14:textId="77777777" w:rsidR="006A4CD7" w:rsidRPr="006A4CD7" w:rsidRDefault="006A4CD7" w:rsidP="0060759C">
      <w:pPr>
        <w:autoSpaceDE w:val="0"/>
        <w:autoSpaceDN w:val="0"/>
        <w:adjustRightInd w:val="0"/>
        <w:rPr>
          <w:rFonts w:cs="Times New Roman"/>
          <w:szCs w:val="24"/>
        </w:rPr>
      </w:pPr>
    </w:p>
    <w:p w14:paraId="02A43529" w14:textId="4F9BB7B1"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and</w:t>
      </w:r>
    </w:p>
    <w:p w14:paraId="7098268E" w14:textId="77777777" w:rsidR="006A4CD7" w:rsidRPr="006A4CD7" w:rsidRDefault="006A4CD7" w:rsidP="0060759C">
      <w:pPr>
        <w:autoSpaceDE w:val="0"/>
        <w:autoSpaceDN w:val="0"/>
        <w:adjustRightInd w:val="0"/>
        <w:rPr>
          <w:rFonts w:cs="Times New Roman"/>
          <w:szCs w:val="24"/>
        </w:rPr>
      </w:pPr>
    </w:p>
    <w:p w14:paraId="180C0C6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lastRenderedPageBreak/>
        <w:t xml:space="preserve">4. </w:t>
      </w:r>
      <w:r w:rsidRPr="006A4CD7">
        <w:rPr>
          <w:rFonts w:cs="Times New Roman"/>
          <w:szCs w:val="24"/>
        </w:rPr>
        <w:tab/>
        <w:t>The supervisory defendant’s conduct was so closely related to the deprivation of the plaintiff’s rights as to be the moving force that caused the ultimate injury.</w:t>
      </w:r>
    </w:p>
    <w:p w14:paraId="21457F4D" w14:textId="77777777" w:rsidR="006A4CD7" w:rsidRPr="006A4CD7" w:rsidRDefault="006A4CD7" w:rsidP="0060759C">
      <w:pPr>
        <w:autoSpaceDE w:val="0"/>
        <w:autoSpaceDN w:val="0"/>
        <w:adjustRightInd w:val="0"/>
        <w:rPr>
          <w:rFonts w:cs="Times New Roman"/>
          <w:szCs w:val="24"/>
        </w:rPr>
      </w:pPr>
    </w:p>
    <w:p w14:paraId="02316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w:t>
      </w:r>
      <w:r w:rsidR="00EC5E41">
        <w:rPr>
          <w:rFonts w:cs="Times New Roman"/>
          <w:szCs w:val="24"/>
        </w:rPr>
        <w:t xml:space="preserve">  </w:t>
      </w:r>
      <w:r w:rsidRPr="006A4CD7">
        <w:rPr>
          <w:rFonts w:cs="Times New Roman"/>
          <w:szCs w:val="24"/>
        </w:rPr>
        <w:t>[[The parties have stipulated that] [I instruct you that] the defendant acted under color of state</w:t>
      </w:r>
      <w:r w:rsidR="00EC5E41">
        <w:rPr>
          <w:rFonts w:cs="Times New Roman"/>
          <w:szCs w:val="24"/>
        </w:rPr>
        <w:t xml:space="preserve"> </w:t>
      </w:r>
      <w:r w:rsidRPr="006A4CD7">
        <w:rPr>
          <w:rFonts w:cs="Times New Roman"/>
          <w:szCs w:val="24"/>
        </w:rPr>
        <w:t>law.]</w:t>
      </w:r>
    </w:p>
    <w:p w14:paraId="3D61B586" w14:textId="77777777" w:rsidR="006A4CD7" w:rsidRPr="006A4CD7" w:rsidRDefault="006A4CD7" w:rsidP="0060759C">
      <w:pPr>
        <w:autoSpaceDE w:val="0"/>
        <w:autoSpaceDN w:val="0"/>
        <w:adjustRightInd w:val="0"/>
        <w:rPr>
          <w:rFonts w:cs="Times New Roman"/>
          <w:szCs w:val="24"/>
        </w:rPr>
      </w:pPr>
    </w:p>
    <w:p w14:paraId="687DB3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w:t>
      </w:r>
      <w:r w:rsidR="00EC5E41">
        <w:rPr>
          <w:rFonts w:cs="Times New Roman"/>
          <w:i/>
          <w:iCs/>
          <w:szCs w:val="24"/>
          <w:u w:val="single"/>
        </w:rPr>
        <w:t xml:space="preserve"> </w:t>
      </w:r>
      <w:r w:rsidRPr="006A4CD7">
        <w:rPr>
          <w:rFonts w:cs="Times New Roman"/>
          <w:i/>
          <w:iCs/>
          <w:szCs w:val="24"/>
          <w:u w:val="single"/>
        </w:rPr>
        <w:t>the instruction[s] that deal with the particular right[s]]</w:t>
      </w:r>
      <w:r w:rsidRPr="006A4CD7">
        <w:rPr>
          <w:rFonts w:cs="Times New Roman"/>
          <w:szCs w:val="24"/>
        </w:rPr>
        <w:t>, your verdict should be for the plaintiff.</w:t>
      </w:r>
      <w:r w:rsidR="00EC5E41">
        <w:rPr>
          <w:rFonts w:cs="Times New Roman"/>
          <w:szCs w:val="24"/>
        </w:rPr>
        <w:t xml:space="preserve"> </w:t>
      </w:r>
      <w:r w:rsidRPr="006A4CD7">
        <w:rPr>
          <w:rFonts w:cs="Times New Roman"/>
          <w:szCs w:val="24"/>
        </w:rPr>
        <w:t>If, on the other hand, you find that the plaintiff has failed to prove any one or more of these</w:t>
      </w:r>
      <w:r w:rsidR="00EC5E41">
        <w:rPr>
          <w:rFonts w:cs="Times New Roman"/>
          <w:szCs w:val="24"/>
        </w:rPr>
        <w:t xml:space="preserve"> </w:t>
      </w:r>
      <w:r w:rsidRPr="006A4CD7">
        <w:rPr>
          <w:rFonts w:cs="Times New Roman"/>
          <w:szCs w:val="24"/>
        </w:rPr>
        <w:t>elements, your verdict should be for the defendant.</w:t>
      </w:r>
    </w:p>
    <w:p w14:paraId="396D025D" w14:textId="77777777" w:rsidR="006A4CD7" w:rsidRPr="006A4CD7" w:rsidRDefault="006A4CD7" w:rsidP="00EC5E41"/>
    <w:p w14:paraId="26006D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9680997" w14:textId="77777777" w:rsidR="006A4CD7" w:rsidRPr="006A4CD7" w:rsidRDefault="006A4CD7" w:rsidP="00EC5E41"/>
    <w:p w14:paraId="2744EE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under § 1983 only if (1)</w:t>
      </w:r>
      <w:r w:rsidR="00EC5E41">
        <w:rPr>
          <w:rFonts w:cs="Times New Roman"/>
          <w:szCs w:val="24"/>
        </w:rPr>
        <w:t xml:space="preserve"> </w:t>
      </w:r>
      <w:r w:rsidRPr="006A4CD7">
        <w:rPr>
          <w:rFonts w:cs="Times New Roman"/>
          <w:szCs w:val="24"/>
        </w:rPr>
        <w:t>he or she personally participated in the constitutional violation, or (2) there is a “sufficient causal</w:t>
      </w:r>
      <w:r w:rsidR="00EC5E41">
        <w:rPr>
          <w:rFonts w:cs="Times New Roman"/>
          <w:szCs w:val="24"/>
        </w:rPr>
        <w:t xml:space="preserve"> </w:t>
      </w:r>
      <w:r w:rsidRPr="006A4CD7">
        <w:rPr>
          <w:rFonts w:cs="Times New Roman"/>
          <w:szCs w:val="24"/>
        </w:rPr>
        <w:t>connection between the supervisor’s wrongful conduct and the constitutional violation.”</w:t>
      </w:r>
      <w:r w:rsidRPr="006A4CD7">
        <w:rPr>
          <w:rFonts w:cs="Times New Roman"/>
          <w:i/>
          <w:iCs/>
          <w:szCs w:val="24"/>
        </w:rPr>
        <w:t xml:space="preserve">  Hansen v. Black</w:t>
      </w:r>
      <w:r w:rsidRPr="006A4CD7">
        <w:rPr>
          <w:rFonts w:cs="Times New Roman"/>
          <w:szCs w:val="24"/>
        </w:rPr>
        <w:t>, 885 F.2d 642, 645-46 (9th Cir. 1989).  Moreover, for liability to attach, supervisors</w:t>
      </w:r>
      <w:r w:rsidR="00EC5E41">
        <w:rPr>
          <w:rFonts w:cs="Times New Roman"/>
          <w:szCs w:val="24"/>
        </w:rPr>
        <w:t xml:space="preserve"> </w:t>
      </w:r>
      <w:r w:rsidRPr="006A4CD7">
        <w:rPr>
          <w:rFonts w:cs="Times New Roman"/>
          <w:szCs w:val="24"/>
        </w:rPr>
        <w:t>must have actual supervisory authority over the government actor who committed the alleged</w:t>
      </w:r>
      <w:r w:rsidR="00EC5E41">
        <w:rPr>
          <w:rFonts w:cs="Times New Roman"/>
          <w:szCs w:val="24"/>
        </w:rPr>
        <w:t xml:space="preserve"> </w:t>
      </w:r>
      <w:r w:rsidRPr="006A4CD7">
        <w:rPr>
          <w:rFonts w:cs="Times New Roman"/>
          <w:szCs w:val="24"/>
        </w:rPr>
        <w:t xml:space="preserve">violations.  </w:t>
      </w:r>
      <w:proofErr w:type="spellStart"/>
      <w:r w:rsidRPr="006A4CD7">
        <w:rPr>
          <w:rFonts w:cs="Times New Roman"/>
          <w:i/>
          <w:iCs/>
          <w:szCs w:val="24"/>
        </w:rPr>
        <w:t>Felarca</w:t>
      </w:r>
      <w:proofErr w:type="spellEnd"/>
      <w:r w:rsidRPr="006A4CD7">
        <w:rPr>
          <w:rFonts w:cs="Times New Roman"/>
          <w:i/>
          <w:iCs/>
          <w:szCs w:val="24"/>
        </w:rPr>
        <w:t xml:space="preserve"> v. Birgeneau</w:t>
      </w:r>
      <w:r w:rsidRPr="006A4CD7">
        <w:rPr>
          <w:rFonts w:cs="Times New Roman"/>
          <w:szCs w:val="24"/>
        </w:rPr>
        <w:t>, 891 F.3d 809, 820 (9th Cir. 2018).  In other words, “[t]hey</w:t>
      </w:r>
      <w:r w:rsidR="00EC5E41">
        <w:rPr>
          <w:rFonts w:cs="Times New Roman"/>
          <w:szCs w:val="24"/>
        </w:rPr>
        <w:t xml:space="preserve"> </w:t>
      </w:r>
      <w:r w:rsidRPr="006A4CD7">
        <w:rPr>
          <w:rFonts w:cs="Times New Roman"/>
          <w:szCs w:val="24"/>
        </w:rPr>
        <w:t xml:space="preserve">cannot be supervisors of persons beyond their control.”  </w:t>
      </w:r>
      <w:r w:rsidRPr="006A4CD7">
        <w:rPr>
          <w:rFonts w:cs="Times New Roman"/>
          <w:i/>
          <w:iCs/>
          <w:szCs w:val="24"/>
        </w:rPr>
        <w:t>Id</w:t>
      </w:r>
      <w:r w:rsidRPr="006A4CD7">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1A76D0F9" w14:textId="77777777" w:rsidR="006A4CD7" w:rsidRPr="006A4CD7" w:rsidRDefault="006A4CD7" w:rsidP="0060759C">
      <w:pPr>
        <w:autoSpaceDE w:val="0"/>
        <w:autoSpaceDN w:val="0"/>
        <w:adjustRightInd w:val="0"/>
        <w:rPr>
          <w:rFonts w:cs="Times New Roman"/>
          <w:szCs w:val="24"/>
        </w:rPr>
      </w:pPr>
    </w:p>
    <w:p w14:paraId="5B3BA1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there is a factual dispute concerning whether an individual is a supervisor for</w:t>
      </w:r>
      <w:r w:rsidR="00EC5E41">
        <w:rPr>
          <w:rFonts w:cs="Times New Roman"/>
          <w:szCs w:val="24"/>
        </w:rPr>
        <w:t xml:space="preserve"> </w:t>
      </w:r>
      <w:r w:rsidRPr="006A4CD7">
        <w:rPr>
          <w:rFonts w:cs="Times New Roman"/>
          <w:szCs w:val="24"/>
        </w:rPr>
        <w:t>purposes of § 1983 liability, the court should also instruct the jury on the plaintiff’s burden to</w:t>
      </w:r>
      <w:r w:rsidR="00EC5E41">
        <w:rPr>
          <w:rFonts w:cs="Times New Roman"/>
          <w:szCs w:val="24"/>
        </w:rPr>
        <w:t xml:space="preserve"> </w:t>
      </w:r>
      <w:r w:rsidRPr="006A4CD7">
        <w:rPr>
          <w:rFonts w:cs="Times New Roman"/>
          <w:szCs w:val="24"/>
        </w:rPr>
        <w:t>prove the defendant’s supervisory status.</w:t>
      </w:r>
    </w:p>
    <w:p w14:paraId="19AF5217" w14:textId="77777777" w:rsidR="006A4CD7" w:rsidRPr="006A4CD7" w:rsidRDefault="006A4CD7" w:rsidP="0060759C">
      <w:pPr>
        <w:autoSpaceDE w:val="0"/>
        <w:autoSpaceDN w:val="0"/>
        <w:adjustRightInd w:val="0"/>
        <w:rPr>
          <w:rFonts w:cs="Times New Roman"/>
          <w:szCs w:val="24"/>
        </w:rPr>
      </w:pPr>
    </w:p>
    <w:p w14:paraId="75ED04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an applicable “particular rights”</w:t>
      </w:r>
      <w:r w:rsidR="00EC5E41">
        <w:rPr>
          <w:rFonts w:cs="Times New Roman"/>
          <w:szCs w:val="24"/>
        </w:rPr>
        <w:t xml:space="preserve"> </w:t>
      </w:r>
      <w:r w:rsidRPr="006A4CD7">
        <w:rPr>
          <w:rFonts w:cs="Times New Roman"/>
          <w:szCs w:val="24"/>
        </w:rPr>
        <w:t>instruction, such as Instructions 9.9–9.33.  Such an instruction should set forth the additional</w:t>
      </w:r>
      <w:r w:rsidR="00EC5E41">
        <w:rPr>
          <w:rFonts w:cs="Times New Roman"/>
          <w:szCs w:val="24"/>
        </w:rPr>
        <w:t xml:space="preserve"> </w:t>
      </w:r>
      <w:r w:rsidRPr="006A4CD7">
        <w:rPr>
          <w:rFonts w:cs="Times New Roman"/>
          <w:szCs w:val="24"/>
        </w:rPr>
        <w:t>elements a plaintiff must establish to prove the violation of the particular constitutional right or</w:t>
      </w:r>
      <w:r w:rsidR="00EC5E41">
        <w:rPr>
          <w:rFonts w:cs="Times New Roman"/>
          <w:szCs w:val="24"/>
        </w:rPr>
        <w:t xml:space="preserve"> </w:t>
      </w:r>
      <w:r w:rsidRPr="006A4CD7">
        <w:rPr>
          <w:rFonts w:cs="Times New Roman"/>
          <w:szCs w:val="24"/>
        </w:rPr>
        <w:t>federal law at issue.</w:t>
      </w:r>
    </w:p>
    <w:p w14:paraId="20DB8BF9" w14:textId="77777777" w:rsidR="006A4CD7" w:rsidRPr="006A4CD7" w:rsidRDefault="006A4CD7" w:rsidP="0060759C">
      <w:pPr>
        <w:autoSpaceDE w:val="0"/>
        <w:autoSpaceDN w:val="0"/>
        <w:adjustRightInd w:val="0"/>
        <w:rPr>
          <w:rFonts w:cs="Times New Roman"/>
          <w:szCs w:val="24"/>
        </w:rPr>
      </w:pPr>
    </w:p>
    <w:p w14:paraId="21958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Element 3 of this instruction aims to include the principal formulations to establish a supervisor’s § 1983 liability based on Ninth Circuit decisions.</w:t>
      </w:r>
    </w:p>
    <w:p w14:paraId="7FE99B33" w14:textId="77777777" w:rsidR="006A4CD7" w:rsidRPr="006A4CD7" w:rsidRDefault="006A4CD7" w:rsidP="0060759C">
      <w:pPr>
        <w:autoSpaceDE w:val="0"/>
        <w:autoSpaceDN w:val="0"/>
        <w:adjustRightInd w:val="0"/>
        <w:rPr>
          <w:rFonts w:cs="Times New Roman"/>
          <w:szCs w:val="24"/>
        </w:rPr>
      </w:pPr>
    </w:p>
    <w:p w14:paraId="3FF3F0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supervisor is liable for the acts of his subordinates if the supervisor participated in or directed the violations.  </w:t>
      </w:r>
      <w:r w:rsidRPr="006A4CD7">
        <w:rPr>
          <w:rFonts w:cs="Times New Roman"/>
          <w:i/>
          <w:iCs/>
          <w:szCs w:val="24"/>
        </w:rPr>
        <w:t xml:space="preserve">Preschooler II v. Clark </w:t>
      </w:r>
      <w:proofErr w:type="spellStart"/>
      <w:r w:rsidRPr="006A4CD7">
        <w:rPr>
          <w:rFonts w:cs="Times New Roman"/>
          <w:i/>
          <w:iCs/>
          <w:szCs w:val="24"/>
        </w:rPr>
        <w:t>Cnty</w:t>
      </w:r>
      <w:proofErr w:type="spellEnd"/>
      <w:r w:rsidRPr="006A4CD7">
        <w:rPr>
          <w:rFonts w:cs="Times New Roman"/>
          <w:i/>
          <w:iCs/>
          <w:szCs w:val="24"/>
        </w:rPr>
        <w:t xml:space="preserve">. Sch. Bd. of </w:t>
      </w:r>
      <w:proofErr w:type="spellStart"/>
      <w:r w:rsidRPr="006A4CD7">
        <w:rPr>
          <w:rFonts w:cs="Times New Roman"/>
          <w:i/>
          <w:iCs/>
          <w:szCs w:val="24"/>
        </w:rPr>
        <w:t>Trs</w:t>
      </w:r>
      <w:proofErr w:type="spellEnd"/>
      <w:r w:rsidRPr="006A4CD7">
        <w:rPr>
          <w:rFonts w:cs="Times New Roman"/>
          <w:szCs w:val="24"/>
        </w:rPr>
        <w:t>., 479 F.3d 1175, 1182 (9th Cir. 2007).</w:t>
      </w:r>
    </w:p>
    <w:p w14:paraId="0C5BA460" w14:textId="77777777" w:rsidR="006A4CD7" w:rsidRPr="006A4CD7" w:rsidRDefault="006A4CD7" w:rsidP="0060759C">
      <w:pPr>
        <w:autoSpaceDE w:val="0"/>
        <w:autoSpaceDN w:val="0"/>
        <w:adjustRightInd w:val="0"/>
        <w:rPr>
          <w:rFonts w:cs="Times New Roman"/>
          <w:szCs w:val="24"/>
        </w:rPr>
      </w:pPr>
    </w:p>
    <w:p w14:paraId="32BDA6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Larez</w:t>
      </w:r>
      <w:proofErr w:type="spellEnd"/>
      <w:r w:rsidRPr="006A4CD7">
        <w:rPr>
          <w:rFonts w:cs="Times New Roman"/>
          <w:i/>
          <w:iCs/>
          <w:szCs w:val="24"/>
        </w:rPr>
        <w:t xml:space="preserve"> v. City of Los Angeles</w:t>
      </w:r>
      <w:r w:rsidRPr="006A4CD7">
        <w:rPr>
          <w:rFonts w:cs="Times New Roman"/>
          <w:szCs w:val="24"/>
        </w:rPr>
        <w:t>, 946 F.2d 630 (9th Cir. 1991), the court approved the district court’s instruction that the jury could find a police chief liable in his individual capacity</w:t>
      </w:r>
    </w:p>
    <w:p w14:paraId="30A4B739" w14:textId="2D46D97D" w:rsidR="006A4CD7" w:rsidRPr="006A4CD7" w:rsidRDefault="006A4CD7" w:rsidP="0060759C">
      <w:pPr>
        <w:autoSpaceDE w:val="0"/>
        <w:autoSpaceDN w:val="0"/>
        <w:adjustRightInd w:val="0"/>
        <w:rPr>
          <w:rFonts w:cs="Times New Roman"/>
          <w:szCs w:val="24"/>
        </w:rPr>
      </w:pPr>
      <w:r w:rsidRPr="006A4CD7">
        <w:rPr>
          <w:rFonts w:cs="Times New Roman"/>
          <w:szCs w:val="24"/>
        </w:rPr>
        <w:t>if he “</w:t>
      </w:r>
      <w:r w:rsidR="002D3473" w:rsidRPr="006A4CD7">
        <w:rPr>
          <w:rFonts w:cs="Times New Roman"/>
          <w:szCs w:val="24"/>
        </w:rPr>
        <w:t xml:space="preserve">set </w:t>
      </w:r>
      <w:r w:rsidR="00711209" w:rsidRPr="006A4CD7">
        <w:rPr>
          <w:rFonts w:cs="Times New Roman"/>
          <w:szCs w:val="24"/>
        </w:rPr>
        <w:t>[]</w:t>
      </w:r>
      <w:r w:rsidRPr="006A4CD7">
        <w:rPr>
          <w:rFonts w:cs="Times New Roman"/>
          <w:szCs w:val="24"/>
        </w:rPr>
        <w:t xml:space="preserve"> in motion a series of acts by others, or knowingly refused to terminate a series of acts</w:t>
      </w:r>
    </w:p>
    <w:p w14:paraId="3A15D3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by others, which he </w:t>
      </w:r>
      <w:proofErr w:type="spellStart"/>
      <w:r w:rsidRPr="006A4CD7">
        <w:rPr>
          <w:rFonts w:cs="Times New Roman"/>
          <w:szCs w:val="24"/>
        </w:rPr>
        <w:t>kn</w:t>
      </w:r>
      <w:proofErr w:type="spellEnd"/>
      <w:r w:rsidRPr="006A4CD7">
        <w:rPr>
          <w:rFonts w:cs="Times New Roman"/>
          <w:szCs w:val="24"/>
        </w:rPr>
        <w:t>[e]w or reasonably should [have] know[n], would cause others to inflict</w:t>
      </w:r>
    </w:p>
    <w:p w14:paraId="725944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constitutional injury.”  </w:t>
      </w:r>
      <w:r w:rsidRPr="006A4CD7">
        <w:rPr>
          <w:rFonts w:cs="Times New Roman"/>
          <w:i/>
          <w:iCs/>
          <w:szCs w:val="24"/>
        </w:rPr>
        <w:t>Id</w:t>
      </w:r>
      <w:r w:rsidRPr="006A4CD7">
        <w:rPr>
          <w:rFonts w:cs="Times New Roman"/>
          <w:szCs w:val="24"/>
        </w:rPr>
        <w:t>. at 646 (citations omitted).</w:t>
      </w:r>
    </w:p>
    <w:p w14:paraId="65AA019E" w14:textId="77777777" w:rsidR="006A4CD7" w:rsidRPr="006A4CD7" w:rsidRDefault="006A4CD7" w:rsidP="0060759C">
      <w:pPr>
        <w:autoSpaceDE w:val="0"/>
        <w:autoSpaceDN w:val="0"/>
        <w:adjustRightInd w:val="0"/>
        <w:rPr>
          <w:rFonts w:cs="Times New Roman"/>
          <w:szCs w:val="24"/>
        </w:rPr>
      </w:pPr>
    </w:p>
    <w:p w14:paraId="460CE8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if he or she “knew of the</w:t>
      </w:r>
      <w:r w:rsidR="00EC5E41">
        <w:rPr>
          <w:rFonts w:cs="Times New Roman"/>
          <w:szCs w:val="24"/>
        </w:rPr>
        <w:t xml:space="preserve"> </w:t>
      </w:r>
      <w:r w:rsidRPr="006A4CD7">
        <w:rPr>
          <w:rFonts w:cs="Times New Roman"/>
          <w:szCs w:val="24"/>
        </w:rPr>
        <w:t xml:space="preserve">violations and failed to act to prevent them.”  </w:t>
      </w:r>
      <w:r w:rsidRPr="006A4CD7">
        <w:rPr>
          <w:rFonts w:cs="Times New Roman"/>
          <w:i/>
          <w:iCs/>
          <w:szCs w:val="24"/>
        </w:rPr>
        <w:t>Maxwell v. County of San Diego</w:t>
      </w:r>
      <w:r w:rsidRPr="006A4CD7">
        <w:rPr>
          <w:rFonts w:cs="Times New Roman"/>
          <w:szCs w:val="24"/>
        </w:rPr>
        <w:t>, 708 F.3d 1075,</w:t>
      </w:r>
      <w:r w:rsidR="00EC5E41">
        <w:rPr>
          <w:rFonts w:cs="Times New Roman"/>
          <w:szCs w:val="24"/>
        </w:rPr>
        <w:t xml:space="preserve"> </w:t>
      </w:r>
      <w:r w:rsidRPr="006A4CD7">
        <w:rPr>
          <w:rFonts w:cs="Times New Roman"/>
          <w:szCs w:val="24"/>
        </w:rPr>
        <w:t xml:space="preserve">1086 (9th Cir. 2013); </w:t>
      </w:r>
      <w:r w:rsidRPr="006A4CD7">
        <w:rPr>
          <w:rFonts w:cs="Times New Roman"/>
          <w:i/>
          <w:iCs/>
          <w:szCs w:val="24"/>
        </w:rPr>
        <w:t xml:space="preserve">Preschooler II v. Clark </w:t>
      </w:r>
      <w:proofErr w:type="spellStart"/>
      <w:r w:rsidRPr="006A4CD7">
        <w:rPr>
          <w:rFonts w:cs="Times New Roman"/>
          <w:i/>
          <w:iCs/>
          <w:szCs w:val="24"/>
        </w:rPr>
        <w:t>Cnty</w:t>
      </w:r>
      <w:proofErr w:type="spellEnd"/>
      <w:r w:rsidRPr="006A4CD7">
        <w:rPr>
          <w:rFonts w:cs="Times New Roman"/>
          <w:i/>
          <w:iCs/>
          <w:szCs w:val="24"/>
        </w:rPr>
        <w:t xml:space="preserve">. Sch. Bd. of </w:t>
      </w:r>
      <w:proofErr w:type="spellStart"/>
      <w:r w:rsidRPr="006A4CD7">
        <w:rPr>
          <w:rFonts w:cs="Times New Roman"/>
          <w:i/>
          <w:iCs/>
          <w:szCs w:val="24"/>
        </w:rPr>
        <w:t>Trs</w:t>
      </w:r>
      <w:proofErr w:type="spellEnd"/>
      <w:r w:rsidRPr="006A4CD7">
        <w:rPr>
          <w:rFonts w:cs="Times New Roman"/>
          <w:szCs w:val="24"/>
        </w:rPr>
        <w:t>., 479 F.3d 1175, 1182 (9th Cir. 2007).</w:t>
      </w:r>
    </w:p>
    <w:p w14:paraId="783DC296" w14:textId="77777777" w:rsidR="006A4CD7" w:rsidRPr="006A4CD7" w:rsidRDefault="006A4CD7" w:rsidP="0060759C">
      <w:pPr>
        <w:autoSpaceDE w:val="0"/>
        <w:autoSpaceDN w:val="0"/>
        <w:adjustRightInd w:val="0"/>
        <w:rPr>
          <w:rFonts w:cs="Times New Roman"/>
          <w:szCs w:val="24"/>
        </w:rPr>
      </w:pPr>
    </w:p>
    <w:p w14:paraId="745EF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Flores v. County of Los Angeles</w:t>
      </w:r>
      <w:r w:rsidRPr="006A4CD7">
        <w:rPr>
          <w:rFonts w:cs="Times New Roman"/>
          <w:szCs w:val="24"/>
        </w:rPr>
        <w:t>, 758 F.3d 1154, 1159 (9th Cir. 2014), the court held</w:t>
      </w:r>
      <w:r w:rsidR="00EC5E41">
        <w:rPr>
          <w:rFonts w:cs="Times New Roman"/>
          <w:szCs w:val="24"/>
        </w:rPr>
        <w:t xml:space="preserve"> </w:t>
      </w:r>
      <w:r w:rsidRPr="006A4CD7">
        <w:rPr>
          <w:rFonts w:cs="Times New Roman"/>
          <w:szCs w:val="24"/>
        </w:rPr>
        <w:t>that plaintiffs must show that the supervisory defendant “was deliberately indifferent to the need</w:t>
      </w:r>
      <w:r w:rsidR="00EC5E41">
        <w:rPr>
          <w:rFonts w:cs="Times New Roman"/>
          <w:szCs w:val="24"/>
        </w:rPr>
        <w:t xml:space="preserve"> </w:t>
      </w:r>
      <w:r w:rsidRPr="006A4CD7">
        <w:rPr>
          <w:rFonts w:cs="Times New Roman"/>
          <w:szCs w:val="24"/>
        </w:rPr>
        <w:t>to train subordinates, and the lack of training actually caused the constitutional harm or</w:t>
      </w:r>
      <w:r w:rsidR="00EC5E41">
        <w:rPr>
          <w:rFonts w:cs="Times New Roman"/>
          <w:szCs w:val="24"/>
        </w:rPr>
        <w:t xml:space="preserve"> </w:t>
      </w:r>
      <w:r w:rsidRPr="006A4CD7">
        <w:rPr>
          <w:rFonts w:cs="Times New Roman"/>
          <w:szCs w:val="24"/>
        </w:rPr>
        <w:t>deprivation of rights.”  Under this standard, the supervisor must have “disregarded the known</w:t>
      </w:r>
      <w:r w:rsidR="00EC5E41">
        <w:rPr>
          <w:rFonts w:cs="Times New Roman"/>
          <w:szCs w:val="24"/>
        </w:rPr>
        <w:t xml:space="preserve"> </w:t>
      </w:r>
      <w:r w:rsidRPr="006A4CD7">
        <w:rPr>
          <w:rFonts w:cs="Times New Roman"/>
          <w:szCs w:val="24"/>
        </w:rPr>
        <w:t>or obvious consequences that a particular omission in their training program would cause . . .</w:t>
      </w:r>
      <w:r w:rsidR="00EC5E41">
        <w:rPr>
          <w:rFonts w:cs="Times New Roman"/>
          <w:szCs w:val="24"/>
        </w:rPr>
        <w:t xml:space="preserve"> </w:t>
      </w:r>
      <w:r w:rsidRPr="006A4CD7">
        <w:rPr>
          <w:rFonts w:cs="Times New Roman"/>
          <w:szCs w:val="24"/>
        </w:rPr>
        <w:t xml:space="preserve">employees to violate citizens’ constitutional rights.”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Connick v. Thompson</w:t>
      </w:r>
      <w:r w:rsidRPr="006A4CD7">
        <w:rPr>
          <w:rFonts w:cs="Times New Roman"/>
          <w:szCs w:val="24"/>
        </w:rPr>
        <w:t>, 563</w:t>
      </w:r>
      <w:r w:rsidR="00EC5E41">
        <w:rPr>
          <w:rFonts w:cs="Times New Roman"/>
          <w:szCs w:val="24"/>
        </w:rPr>
        <w:t xml:space="preserve"> </w:t>
      </w:r>
      <w:r w:rsidRPr="006A4CD7">
        <w:rPr>
          <w:rFonts w:cs="Times New Roman"/>
          <w:szCs w:val="24"/>
        </w:rPr>
        <w:t>U.S. 51, 51-52 (2011)).</w:t>
      </w:r>
    </w:p>
    <w:p w14:paraId="79B5E438" w14:textId="77777777" w:rsidR="006A4CD7" w:rsidRPr="006A4CD7" w:rsidRDefault="006A4CD7" w:rsidP="0060759C">
      <w:pPr>
        <w:autoSpaceDE w:val="0"/>
        <w:autoSpaceDN w:val="0"/>
        <w:adjustRightInd w:val="0"/>
        <w:rPr>
          <w:rFonts w:cs="Times New Roman"/>
          <w:szCs w:val="24"/>
        </w:rPr>
      </w:pPr>
    </w:p>
    <w:p w14:paraId="52012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state a claim against a supervisor for deliberate indifference based upon</w:t>
      </w:r>
      <w:r w:rsidR="00EC5E41">
        <w:rPr>
          <w:rFonts w:cs="Times New Roman"/>
          <w:szCs w:val="24"/>
        </w:rPr>
        <w:t xml:space="preserve"> </w:t>
      </w:r>
      <w:r w:rsidRPr="006A4CD7">
        <w:rPr>
          <w:rFonts w:cs="Times New Roman"/>
          <w:szCs w:val="24"/>
        </w:rPr>
        <w:t>the supervisor’s knowledge of and acquiescence in unconstitutional conduct by his or her</w:t>
      </w:r>
      <w:r w:rsidR="00EC5E41">
        <w:rPr>
          <w:rFonts w:cs="Times New Roman"/>
          <w:szCs w:val="24"/>
        </w:rPr>
        <w:t xml:space="preserve"> </w:t>
      </w:r>
      <w:r w:rsidRPr="006A4CD7">
        <w:rPr>
          <w:rFonts w:cs="Times New Roman"/>
          <w:szCs w:val="24"/>
        </w:rPr>
        <w:t xml:space="preserve">subordinates.”  </w:t>
      </w:r>
      <w:r w:rsidRPr="006A4CD7">
        <w:rPr>
          <w:rFonts w:cs="Times New Roman"/>
          <w:i/>
          <w:iCs/>
          <w:szCs w:val="24"/>
        </w:rPr>
        <w:t>Starr v. Baca</w:t>
      </w:r>
      <w:r w:rsidRPr="006A4CD7">
        <w:rPr>
          <w:rFonts w:cs="Times New Roman"/>
          <w:szCs w:val="24"/>
        </w:rPr>
        <w:t>, 652 F.3d 1202, 1207 (9th Cir. 2011).</w:t>
      </w:r>
    </w:p>
    <w:p w14:paraId="1205FA14" w14:textId="77777777" w:rsidR="006A4CD7" w:rsidRPr="006A4CD7" w:rsidRDefault="006A4CD7" w:rsidP="0060759C">
      <w:pPr>
        <w:autoSpaceDE w:val="0"/>
        <w:autoSpaceDN w:val="0"/>
        <w:adjustRightInd w:val="0"/>
        <w:rPr>
          <w:rFonts w:cs="Times New Roman"/>
          <w:szCs w:val="24"/>
        </w:rPr>
      </w:pPr>
    </w:p>
    <w:p w14:paraId="0A578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 plaintiff may state a claim based on conduct by the supervisor “that showed a</w:t>
      </w:r>
      <w:r w:rsidR="00EC5E41">
        <w:rPr>
          <w:rFonts w:cs="Times New Roman"/>
          <w:szCs w:val="24"/>
        </w:rPr>
        <w:t xml:space="preserve"> </w:t>
      </w:r>
      <w:r w:rsidRPr="006A4CD7">
        <w:rPr>
          <w:rFonts w:cs="Times New Roman"/>
          <w:szCs w:val="24"/>
        </w:rPr>
        <w:t xml:space="preserve">reckless or callous indifference to the rights of others.”  </w:t>
      </w:r>
      <w:proofErr w:type="spellStart"/>
      <w:r w:rsidRPr="006A4CD7">
        <w:rPr>
          <w:rFonts w:cs="Times New Roman"/>
          <w:i/>
          <w:iCs/>
          <w:szCs w:val="24"/>
        </w:rPr>
        <w:t>Larez</w:t>
      </w:r>
      <w:proofErr w:type="spellEnd"/>
      <w:r w:rsidRPr="006A4CD7">
        <w:rPr>
          <w:rFonts w:cs="Times New Roman"/>
          <w:szCs w:val="24"/>
        </w:rPr>
        <w:t>, 946 F.2d at 646 (quoting</w:t>
      </w:r>
      <w:r w:rsidR="00EC5E41">
        <w:rPr>
          <w:rFonts w:cs="Times New Roman"/>
          <w:szCs w:val="24"/>
        </w:rPr>
        <w:t xml:space="preserve"> </w:t>
      </w:r>
      <w:proofErr w:type="spellStart"/>
      <w:r w:rsidRPr="006A4CD7">
        <w:rPr>
          <w:rFonts w:cs="Times New Roman"/>
          <w:i/>
          <w:iCs/>
          <w:szCs w:val="24"/>
        </w:rPr>
        <w:t>Bordanaro</w:t>
      </w:r>
      <w:proofErr w:type="spellEnd"/>
      <w:r w:rsidRPr="006A4CD7">
        <w:rPr>
          <w:rFonts w:cs="Times New Roman"/>
          <w:i/>
          <w:iCs/>
          <w:szCs w:val="24"/>
        </w:rPr>
        <w:t xml:space="preserve"> v. McLeod</w:t>
      </w:r>
      <w:r w:rsidRPr="006A4CD7">
        <w:rPr>
          <w:rFonts w:cs="Times New Roman"/>
          <w:szCs w:val="24"/>
        </w:rPr>
        <w:t>, 871 F.2d 1151, 1163 (1st Cir. 1989)).</w:t>
      </w:r>
    </w:p>
    <w:p w14:paraId="5A8F1E91" w14:textId="77777777" w:rsidR="006A4CD7" w:rsidRPr="006A4CD7" w:rsidRDefault="006A4CD7" w:rsidP="0060759C">
      <w:pPr>
        <w:autoSpaceDE w:val="0"/>
        <w:autoSpaceDN w:val="0"/>
        <w:adjustRightInd w:val="0"/>
        <w:rPr>
          <w:rFonts w:cs="Times New Roman"/>
          <w:szCs w:val="24"/>
        </w:rPr>
      </w:pPr>
    </w:p>
    <w:p w14:paraId="3F9475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 1983 suits do not allow for the imposition of vicarious liability and a plaintiff</w:t>
      </w:r>
      <w:r w:rsidR="00EC5E41">
        <w:rPr>
          <w:rFonts w:cs="Times New Roman"/>
          <w:szCs w:val="24"/>
        </w:rPr>
        <w:t xml:space="preserve"> </w:t>
      </w:r>
      <w:r w:rsidRPr="006A4CD7">
        <w:rPr>
          <w:rFonts w:cs="Times New Roman"/>
          <w:szCs w:val="24"/>
        </w:rPr>
        <w:t>must prove that each supervisory defendant, through that defendant’s own actions, has violated</w:t>
      </w:r>
      <w:r w:rsidR="00EC5E41">
        <w:rPr>
          <w:rFonts w:cs="Times New Roman"/>
          <w:szCs w:val="24"/>
        </w:rPr>
        <w:t xml:space="preserve"> </w:t>
      </w:r>
      <w:r w:rsidRPr="006A4CD7">
        <w:rPr>
          <w:rFonts w:cs="Times New Roman"/>
          <w:szCs w:val="24"/>
        </w:rPr>
        <w:t>the Constitution, the factors that a plaintiff must prove in order to establish a claim for</w:t>
      </w:r>
      <w:r w:rsidR="00EC5E41">
        <w:rPr>
          <w:rFonts w:cs="Times New Roman"/>
          <w:szCs w:val="24"/>
        </w:rPr>
        <w:t xml:space="preserve"> </w:t>
      </w:r>
      <w:r w:rsidRPr="006A4CD7">
        <w:rPr>
          <w:rFonts w:cs="Times New Roman"/>
          <w:szCs w:val="24"/>
        </w:rPr>
        <w:t xml:space="preserve">supervisory liability depend on the alleged underlying constitutional deprivation.  </w:t>
      </w:r>
      <w:r w:rsidRPr="006A4CD7">
        <w:rPr>
          <w:rFonts w:cs="Times New Roman"/>
          <w:i/>
          <w:iCs/>
          <w:szCs w:val="24"/>
        </w:rPr>
        <w:t>See Ashcroft v.</w:t>
      </w:r>
      <w:r w:rsidR="00EC5E41">
        <w:rPr>
          <w:rFonts w:cs="Times New Roman"/>
          <w:i/>
          <w:iCs/>
          <w:szCs w:val="24"/>
        </w:rPr>
        <w:t xml:space="preserve"> </w:t>
      </w:r>
      <w:r w:rsidRPr="006A4CD7">
        <w:rPr>
          <w:rFonts w:cs="Times New Roman"/>
          <w:i/>
          <w:iCs/>
          <w:szCs w:val="24"/>
        </w:rPr>
        <w:t>Iqbal</w:t>
      </w:r>
      <w:r w:rsidRPr="006A4CD7">
        <w:rPr>
          <w:rFonts w:cs="Times New Roman"/>
          <w:szCs w:val="24"/>
        </w:rPr>
        <w:t>, 556 U.S. 662, 675-77 (2009) (finding that plaintiff needed to plead and prove that</w:t>
      </w:r>
      <w:r w:rsidR="00EC5E41">
        <w:rPr>
          <w:rFonts w:cs="Times New Roman"/>
          <w:szCs w:val="24"/>
        </w:rPr>
        <w:t xml:space="preserve"> </w:t>
      </w:r>
      <w:r w:rsidRPr="006A4CD7">
        <w:rPr>
          <w:rFonts w:cs="Times New Roman"/>
          <w:szCs w:val="24"/>
        </w:rPr>
        <w:t xml:space="preserve">supervisors acted with discriminatory purpose or intent in order to state claim for supervisory liability for invidious discrimination in contravention of the First and Fifth Amendments; </w:t>
      </w:r>
      <w:r w:rsidRPr="006A4CD7">
        <w:rPr>
          <w:rFonts w:cs="Times New Roman"/>
          <w:i/>
          <w:iCs/>
          <w:szCs w:val="24"/>
        </w:rPr>
        <w:t>Starr</w:t>
      </w:r>
      <w:r w:rsidRPr="006A4CD7">
        <w:rPr>
          <w:rFonts w:cs="Times New Roman"/>
          <w:szCs w:val="24"/>
        </w:rPr>
        <w:t>,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w:t>
      </w:r>
    </w:p>
    <w:p w14:paraId="3D7D9384" w14:textId="77777777" w:rsidR="006A4CD7" w:rsidRPr="006A4CD7" w:rsidRDefault="006A4CD7" w:rsidP="00EC5E41"/>
    <w:p w14:paraId="1590F7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seeking to establish liability of a supervisory defendant must also demonstrate</w:t>
      </w:r>
      <w:r w:rsidR="00EC5E41">
        <w:rPr>
          <w:rFonts w:cs="Times New Roman"/>
          <w:szCs w:val="24"/>
        </w:rPr>
        <w:t xml:space="preserve"> </w:t>
      </w:r>
      <w:r w:rsidRPr="006A4CD7">
        <w:rPr>
          <w:rFonts w:cs="Times New Roman"/>
          <w:szCs w:val="24"/>
        </w:rPr>
        <w:t>that the supervisor’s conduct was so closely related to the deprivation of the plaintiff’s rights as</w:t>
      </w:r>
      <w:r w:rsidR="00EC5E41">
        <w:rPr>
          <w:rFonts w:cs="Times New Roman"/>
          <w:szCs w:val="24"/>
        </w:rPr>
        <w:t xml:space="preserve"> </w:t>
      </w:r>
      <w:r w:rsidRPr="006A4CD7">
        <w:rPr>
          <w:rFonts w:cs="Times New Roman"/>
          <w:szCs w:val="24"/>
        </w:rPr>
        <w:t xml:space="preserve">to be the moving force that caused the ultimate injury.  </w:t>
      </w:r>
      <w:r w:rsidRPr="006A4CD7">
        <w:rPr>
          <w:rFonts w:cs="Times New Roman"/>
          <w:i/>
          <w:iCs/>
          <w:szCs w:val="24"/>
        </w:rPr>
        <w:t>See Oviatt v. Pearce</w:t>
      </w:r>
      <w:r w:rsidRPr="006A4CD7">
        <w:rPr>
          <w:rFonts w:cs="Times New Roman"/>
          <w:szCs w:val="24"/>
        </w:rPr>
        <w:t>, 954 F.2d 1470,</w:t>
      </w:r>
      <w:r w:rsidR="005E6F8C">
        <w:rPr>
          <w:rFonts w:cs="Times New Roman"/>
          <w:szCs w:val="24"/>
        </w:rPr>
        <w:t xml:space="preserve"> </w:t>
      </w:r>
      <w:r w:rsidRPr="006A4CD7">
        <w:rPr>
          <w:rFonts w:cs="Times New Roman"/>
          <w:szCs w:val="24"/>
        </w:rPr>
        <w:t>1481 (9th Cir. 1992).  “To meet this requirement, the plaintiff must show both causation-in-fact</w:t>
      </w:r>
      <w:r w:rsidR="00EC5E41">
        <w:rPr>
          <w:rFonts w:cs="Times New Roman"/>
          <w:szCs w:val="24"/>
        </w:rPr>
        <w:t xml:space="preserve"> </w:t>
      </w:r>
      <w:r w:rsidR="005E6F8C">
        <w:rPr>
          <w:rFonts w:cs="Times New Roman"/>
          <w:szCs w:val="24"/>
        </w:rPr>
        <w:t>a</w:t>
      </w:r>
      <w:r w:rsidRPr="006A4CD7">
        <w:rPr>
          <w:rFonts w:cs="Times New Roman"/>
          <w:szCs w:val="24"/>
        </w:rPr>
        <w:t xml:space="preserve">nd proximate causation.”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728 F.3d 1086, 1096 (9th Cir. 2013).</w:t>
      </w:r>
    </w:p>
    <w:p w14:paraId="7567A3CE" w14:textId="77777777" w:rsidR="005E6F8C" w:rsidRDefault="005E6F8C" w:rsidP="005E6F8C"/>
    <w:p w14:paraId="24041EF5" w14:textId="77777777" w:rsidR="005E6F8C" w:rsidRDefault="005E6F8C" w:rsidP="005E6F8C"/>
    <w:p w14:paraId="4D24601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07863576" w14:textId="10BEA922" w:rsidR="006A4CD7" w:rsidRPr="006A4CD7" w:rsidRDefault="006A4CD7" w:rsidP="00352D49">
      <w:pPr>
        <w:pStyle w:val="Heading2"/>
      </w:pPr>
      <w:r w:rsidRPr="006A4CD7">
        <w:br w:type="page"/>
      </w:r>
      <w:bookmarkStart w:id="124" w:name="_Toc117512418"/>
      <w:r w:rsidRPr="006A4CD7">
        <w:lastRenderedPageBreak/>
        <w:t xml:space="preserve">9.5 </w:t>
      </w:r>
      <w:r w:rsidR="005E7FC8">
        <w:t>Section 1983 Claim Against Local Governing Body Defendants Based on Unlawful</w:t>
      </w:r>
      <w:r w:rsidR="002E1434">
        <w:t xml:space="preserve"> </w:t>
      </w:r>
      <w:r w:rsidR="005E7FC8">
        <w:t>Official Policy, Practice, or Custom—Elements and Burden of Proof</w:t>
      </w:r>
      <w:bookmarkEnd w:id="124"/>
    </w:p>
    <w:p w14:paraId="42BD95B5" w14:textId="77777777" w:rsidR="006A4CD7" w:rsidRPr="006A4CD7" w:rsidRDefault="006A4CD7" w:rsidP="000C5EAE"/>
    <w:p w14:paraId="3947CBC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In order to prevail on [his] [her] § 1983 claim against defendant [</w:t>
      </w:r>
      <w:r w:rsidRPr="00305894">
        <w:rPr>
          <w:rFonts w:cs="Times New Roman"/>
          <w:i/>
          <w:iCs/>
          <w:szCs w:val="24"/>
          <w:u w:val="single"/>
        </w:rPr>
        <w:t>name of local governing body</w:t>
      </w:r>
      <w:r w:rsidRPr="00305894">
        <w:rPr>
          <w:rFonts w:cs="Times New Roman"/>
          <w:szCs w:val="24"/>
        </w:rPr>
        <w:t>] alleging liability based on an official policy, practice, or custom, the plaintiff must prove each of the following elements by a preponderance of the evidence:</w:t>
      </w:r>
    </w:p>
    <w:p w14:paraId="12623537" w14:textId="77777777" w:rsidR="00305894" w:rsidRPr="00305894" w:rsidRDefault="00305894" w:rsidP="00305894">
      <w:pPr>
        <w:autoSpaceDE w:val="0"/>
        <w:autoSpaceDN w:val="0"/>
        <w:adjustRightInd w:val="0"/>
        <w:rPr>
          <w:rFonts w:cs="Times New Roman"/>
          <w:szCs w:val="24"/>
        </w:rPr>
      </w:pPr>
    </w:p>
    <w:p w14:paraId="5CA04C3B"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1.</w:t>
      </w:r>
      <w:r w:rsidRPr="00305894">
        <w:rPr>
          <w:rFonts w:cs="Times New Roman"/>
          <w:szCs w:val="24"/>
        </w:rPr>
        <w:tab/>
        <w:t>[</w:t>
      </w:r>
      <w:r w:rsidRPr="00305894">
        <w:rPr>
          <w:rFonts w:cs="Times New Roman"/>
          <w:i/>
          <w:iCs/>
          <w:szCs w:val="24"/>
          <w:u w:val="single"/>
        </w:rPr>
        <w:t>Name of defendant’s official or employee</w:t>
      </w:r>
      <w:r w:rsidRPr="00305894">
        <w:rPr>
          <w:rFonts w:cs="Times New Roman"/>
          <w:szCs w:val="24"/>
        </w:rPr>
        <w:t>] acted under color of state law;</w:t>
      </w:r>
    </w:p>
    <w:p w14:paraId="0C9957B1"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71C5D61F"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2.</w:t>
      </w:r>
      <w:r w:rsidRPr="00305894">
        <w:rPr>
          <w:rFonts w:cs="Times New Roman"/>
          <w:szCs w:val="24"/>
        </w:rPr>
        <w:tab/>
        <w:t xml:space="preserve">the act[s] of </w:t>
      </w:r>
      <w:r w:rsidRPr="00305894">
        <w:rPr>
          <w:rFonts w:cs="Times New Roman"/>
          <w:szCs w:val="24"/>
          <w:u w:val="single"/>
        </w:rPr>
        <w:t>[</w:t>
      </w:r>
      <w:r w:rsidRPr="00305894">
        <w:rPr>
          <w:rFonts w:cs="Times New Roman"/>
          <w:i/>
          <w:iCs/>
          <w:szCs w:val="24"/>
          <w:u w:val="single"/>
        </w:rPr>
        <w:t>name of defendant’s official or employee</w:t>
      </w:r>
      <w:r w:rsidRPr="00305894">
        <w:rPr>
          <w:rFonts w:cs="Times New Roman"/>
          <w:szCs w:val="24"/>
        </w:rPr>
        <w:t xml:space="preserve">] deprived the plaintiff of [his] [her] particular rights under [the laws of the United States] [the United States Constitution] as explained in later instructions; </w:t>
      </w:r>
    </w:p>
    <w:p w14:paraId="4DB465A3"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1CABFA28"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3.</w:t>
      </w:r>
      <w:r w:rsidRPr="00305894">
        <w:rPr>
          <w:rFonts w:cs="Times New Roman"/>
          <w:szCs w:val="24"/>
        </w:rPr>
        <w:tab/>
        <w:t>[</w:t>
      </w:r>
      <w:r w:rsidRPr="00305894">
        <w:rPr>
          <w:rFonts w:cs="Times New Roman"/>
          <w:i/>
          <w:iCs/>
          <w:szCs w:val="24"/>
          <w:u w:val="single"/>
        </w:rPr>
        <w:t>Name of defendant’s official or employee</w:t>
      </w:r>
      <w:r w:rsidRPr="00305894">
        <w:rPr>
          <w:rFonts w:cs="Times New Roman"/>
          <w:szCs w:val="24"/>
        </w:rPr>
        <w:t>] acted pursuant to an expressly adopted official policy or a widespread or longstanding practice or custom of the defendant [</w:t>
      </w:r>
      <w:r w:rsidRPr="00305894">
        <w:rPr>
          <w:rFonts w:cs="Times New Roman"/>
          <w:i/>
          <w:iCs/>
          <w:szCs w:val="24"/>
          <w:u w:val="single"/>
        </w:rPr>
        <w:t>name of local governing body</w:t>
      </w:r>
      <w:r w:rsidRPr="00305894">
        <w:rPr>
          <w:rFonts w:cs="Times New Roman"/>
          <w:szCs w:val="24"/>
        </w:rPr>
        <w:t>]; and</w:t>
      </w:r>
    </w:p>
    <w:p w14:paraId="0CA87F24"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p>
    <w:p w14:paraId="37223ACE" w14:textId="77777777" w:rsidR="00305894" w:rsidRPr="00305894" w:rsidRDefault="00305894" w:rsidP="00305894">
      <w:pPr>
        <w:tabs>
          <w:tab w:val="left" w:pos="1440"/>
        </w:tabs>
        <w:autoSpaceDE w:val="0"/>
        <w:autoSpaceDN w:val="0"/>
        <w:adjustRightInd w:val="0"/>
        <w:ind w:left="1440" w:right="720" w:hanging="720"/>
        <w:rPr>
          <w:rFonts w:cs="Times New Roman"/>
          <w:szCs w:val="24"/>
        </w:rPr>
      </w:pPr>
      <w:r w:rsidRPr="00305894">
        <w:rPr>
          <w:rFonts w:cs="Times New Roman"/>
          <w:szCs w:val="24"/>
        </w:rPr>
        <w:t>4.</w:t>
      </w:r>
      <w:r w:rsidRPr="00305894">
        <w:rPr>
          <w:rFonts w:cs="Times New Roman"/>
          <w:szCs w:val="24"/>
        </w:rPr>
        <w:tab/>
        <w:t>the defendant [</w:t>
      </w:r>
      <w:r w:rsidRPr="00305894">
        <w:rPr>
          <w:rFonts w:cs="Times New Roman"/>
          <w:i/>
          <w:iCs/>
          <w:szCs w:val="24"/>
          <w:u w:val="single"/>
        </w:rPr>
        <w:t>name of local governing body</w:t>
      </w:r>
      <w:r w:rsidRPr="00305894">
        <w:rPr>
          <w:rFonts w:cs="Times New Roman"/>
          <w:szCs w:val="24"/>
        </w:rPr>
        <w:t>]’s official policy or widespread or longstanding practice or custom caused the deprivation of the plaintiff’s rights by the [</w:t>
      </w:r>
      <w:r w:rsidRPr="00305894">
        <w:rPr>
          <w:rFonts w:cs="Times New Roman"/>
          <w:i/>
          <w:iCs/>
          <w:szCs w:val="24"/>
          <w:u w:val="single"/>
        </w:rPr>
        <w:t>name of defendant’s official or employee</w:t>
      </w:r>
      <w:r w:rsidRPr="00305894">
        <w:rPr>
          <w:rFonts w:cs="Times New Roman"/>
          <w:szCs w:val="24"/>
        </w:rPr>
        <w:t>]; that is, the [</w:t>
      </w:r>
      <w:r w:rsidRPr="00305894">
        <w:rPr>
          <w:rFonts w:cs="Times New Roman"/>
          <w:i/>
          <w:iCs/>
          <w:szCs w:val="24"/>
          <w:u w:val="single"/>
        </w:rPr>
        <w:t>name of local governing body</w:t>
      </w:r>
      <w:r w:rsidRPr="00305894">
        <w:rPr>
          <w:rFonts w:cs="Times New Roman"/>
          <w:szCs w:val="24"/>
        </w:rPr>
        <w:t>]’s official policy or widespread or longstanding practice or custom is so closely related to the deprivation of the plaintiff’s rights as to be the moving force that caused the ultimate injury</w:t>
      </w:r>
      <w:r w:rsidRPr="00305894">
        <w:rPr>
          <w:rFonts w:cs="Times New Roman"/>
          <w:i/>
          <w:iCs/>
          <w:szCs w:val="24"/>
        </w:rPr>
        <w:t>.</w:t>
      </w:r>
    </w:p>
    <w:p w14:paraId="3736C98D" w14:textId="77777777" w:rsidR="00305894" w:rsidRPr="00305894" w:rsidRDefault="00305894" w:rsidP="00305894">
      <w:pPr>
        <w:autoSpaceDE w:val="0"/>
        <w:autoSpaceDN w:val="0"/>
        <w:adjustRightInd w:val="0"/>
        <w:rPr>
          <w:rFonts w:cs="Times New Roman"/>
          <w:szCs w:val="24"/>
        </w:rPr>
      </w:pPr>
    </w:p>
    <w:p w14:paraId="4BDF0276"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305894">
        <w:rPr>
          <w:rFonts w:cs="Times New Roman"/>
          <w:i/>
          <w:iCs/>
          <w:szCs w:val="24"/>
          <w:u w:val="single"/>
        </w:rPr>
        <w:t>name of defendant’s official or employee</w:t>
      </w:r>
      <w:r w:rsidRPr="00305894">
        <w:rPr>
          <w:rFonts w:cs="Times New Roman"/>
          <w:szCs w:val="24"/>
        </w:rPr>
        <w:t>] acted under color of state law.]</w:t>
      </w:r>
    </w:p>
    <w:p w14:paraId="456E3359" w14:textId="77777777" w:rsidR="00305894" w:rsidRPr="00305894" w:rsidRDefault="00305894" w:rsidP="00305894">
      <w:pPr>
        <w:autoSpaceDE w:val="0"/>
        <w:autoSpaceDN w:val="0"/>
        <w:adjustRightInd w:val="0"/>
        <w:rPr>
          <w:rFonts w:cs="Times New Roman"/>
          <w:b/>
          <w:bCs/>
          <w:szCs w:val="24"/>
        </w:rPr>
      </w:pPr>
    </w:p>
    <w:p w14:paraId="2FB4A5F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“Official policy” means a formal policy, such as a rule or regulation adopted by the defendant [name of local governing body], resulting from a deliberate choice to follow a course of action made from among various alternatives by the official or officials responsible for establishing final policy with respect to the subject matter in question.</w:t>
      </w:r>
    </w:p>
    <w:p w14:paraId="404EC267" w14:textId="77777777" w:rsidR="00305894" w:rsidRPr="00305894" w:rsidRDefault="00305894" w:rsidP="00305894">
      <w:pPr>
        <w:autoSpaceDE w:val="0"/>
        <w:autoSpaceDN w:val="0"/>
        <w:adjustRightInd w:val="0"/>
        <w:rPr>
          <w:rFonts w:cs="Times New Roman"/>
          <w:szCs w:val="24"/>
        </w:rPr>
      </w:pPr>
    </w:p>
    <w:p w14:paraId="2884B79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“Practice or custom” means any longstanding, widespread, or well-settled practice or custom that constitutes a standard operating procedure of the defendant [</w:t>
      </w:r>
      <w:r w:rsidRPr="00305894">
        <w:rPr>
          <w:rFonts w:cs="Times New Roman"/>
          <w:i/>
          <w:iCs/>
          <w:szCs w:val="24"/>
          <w:u w:val="single"/>
        </w:rPr>
        <w:t>name of local governing body</w:t>
      </w:r>
      <w:r w:rsidRPr="00305894">
        <w:rPr>
          <w:rFonts w:cs="Times New Roman"/>
          <w:szCs w:val="24"/>
        </w:rPr>
        <w:t>].  [A practice or custom can be established by repeated constitutional violations that were not properly investigated and for which the violator[s] [was] [were] not disciplined, reprimanded or punished.]</w:t>
      </w:r>
    </w:p>
    <w:p w14:paraId="068320D4" w14:textId="77777777" w:rsidR="00305894" w:rsidRPr="00305894" w:rsidRDefault="00305894" w:rsidP="00305894">
      <w:pPr>
        <w:autoSpaceDE w:val="0"/>
        <w:autoSpaceDN w:val="0"/>
        <w:adjustRightInd w:val="0"/>
        <w:rPr>
          <w:rFonts w:cs="Times New Roman"/>
          <w:szCs w:val="24"/>
        </w:rPr>
      </w:pPr>
    </w:p>
    <w:p w14:paraId="5E35BC42" w14:textId="2C123B2A"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each of these elements, and if you find that the plaintiff has proved all the elements [he] [she] is required to prove under Instruction[s] [</w:t>
      </w:r>
      <w:r w:rsidRPr="00305894">
        <w:rPr>
          <w:rFonts w:cs="Times New Roman"/>
          <w:i/>
          <w:iCs/>
          <w:szCs w:val="24"/>
          <w:u w:val="single"/>
        </w:rPr>
        <w:t>specify the instruction[s] that deal with the particular right[s]</w:t>
      </w:r>
      <w:r w:rsidRPr="00305894">
        <w:rPr>
          <w:rFonts w:cs="Times New Roman"/>
          <w:szCs w:val="24"/>
        </w:rPr>
        <w:t xml:space="preserve">], your verdict should be for the plaintiff.  If, on the other hand, you find that the plaintiff has failed to prove any one or more of these </w:t>
      </w:r>
    </w:p>
    <w:p w14:paraId="4E84080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elements, your verdict should be for the defendant.</w:t>
      </w:r>
    </w:p>
    <w:p w14:paraId="3A346BB4" w14:textId="77777777" w:rsidR="00305894" w:rsidRPr="00305894" w:rsidRDefault="00305894" w:rsidP="00305894">
      <w:pPr>
        <w:autoSpaceDE w:val="0"/>
        <w:autoSpaceDN w:val="0"/>
        <w:adjustRightInd w:val="0"/>
        <w:rPr>
          <w:rFonts w:cs="Times New Roman"/>
          <w:szCs w:val="24"/>
        </w:rPr>
      </w:pPr>
    </w:p>
    <w:p w14:paraId="0814A199" w14:textId="77777777" w:rsidR="00305894" w:rsidRPr="00305894" w:rsidRDefault="00305894" w:rsidP="00305894">
      <w:pPr>
        <w:autoSpaceDE w:val="0"/>
        <w:autoSpaceDN w:val="0"/>
        <w:adjustRightInd w:val="0"/>
        <w:jc w:val="center"/>
        <w:rPr>
          <w:rFonts w:cs="Times New Roman"/>
          <w:szCs w:val="24"/>
        </w:rPr>
      </w:pPr>
      <w:r w:rsidRPr="00305894">
        <w:rPr>
          <w:rFonts w:cs="Times New Roman"/>
          <w:b/>
          <w:bCs/>
          <w:szCs w:val="24"/>
        </w:rPr>
        <w:lastRenderedPageBreak/>
        <w:t>Comment</w:t>
      </w:r>
    </w:p>
    <w:p w14:paraId="1A882FD2" w14:textId="77777777" w:rsidR="00305894" w:rsidRPr="00305894" w:rsidRDefault="00305894" w:rsidP="00305894">
      <w:pPr>
        <w:autoSpaceDE w:val="0"/>
        <w:autoSpaceDN w:val="0"/>
        <w:adjustRightInd w:val="0"/>
        <w:rPr>
          <w:rFonts w:cs="Times New Roman"/>
          <w:szCs w:val="24"/>
        </w:rPr>
      </w:pPr>
    </w:p>
    <w:p w14:paraId="759F387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784641BC" w14:textId="77777777" w:rsidR="00305894" w:rsidRPr="00305894" w:rsidRDefault="00305894" w:rsidP="00305894">
      <w:pPr>
        <w:autoSpaceDE w:val="0"/>
        <w:autoSpaceDN w:val="0"/>
        <w:adjustRightInd w:val="0"/>
        <w:rPr>
          <w:rFonts w:cs="Times New Roman"/>
          <w:szCs w:val="24"/>
        </w:rPr>
      </w:pPr>
    </w:p>
    <w:p w14:paraId="3A54CA1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addition, use this instruction only when </w:t>
      </w:r>
      <w:proofErr w:type="spellStart"/>
      <w:r w:rsidRPr="00305894">
        <w:rPr>
          <w:rFonts w:cs="Times New Roman"/>
          <w:i/>
          <w:iCs/>
          <w:szCs w:val="24"/>
        </w:rPr>
        <w:t>Monell</w:t>
      </w:r>
      <w:proofErr w:type="spellEnd"/>
      <w:r w:rsidRPr="00305894">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305894">
        <w:rPr>
          <w:rFonts w:cs="Times New Roman"/>
          <w:i/>
          <w:iCs/>
          <w:szCs w:val="24"/>
        </w:rPr>
        <w:t xml:space="preserve">  See</w:t>
      </w:r>
      <w:r w:rsidRPr="00305894">
        <w:rPr>
          <w:rFonts w:cs="Times New Roman"/>
          <w:szCs w:val="24"/>
        </w:rPr>
        <w:t>,</w:t>
      </w:r>
      <w:r w:rsidRPr="00305894">
        <w:rPr>
          <w:rFonts w:cs="Times New Roman"/>
          <w:i/>
          <w:iCs/>
          <w:szCs w:val="24"/>
        </w:rPr>
        <w:t xml:space="preserve"> e.g.</w:t>
      </w:r>
      <w:r w:rsidRPr="00305894">
        <w:rPr>
          <w:rFonts w:cs="Times New Roman"/>
          <w:szCs w:val="24"/>
        </w:rPr>
        <w:t>,</w:t>
      </w:r>
      <w:r w:rsidRPr="00305894">
        <w:rPr>
          <w:rFonts w:cs="Times New Roman"/>
          <w:i/>
          <w:iCs/>
          <w:szCs w:val="24"/>
        </w:rPr>
        <w:t xml:space="preserve"> Jackson v. Barnes</w:t>
      </w:r>
      <w:r w:rsidRPr="00305894">
        <w:rPr>
          <w:rFonts w:cs="Times New Roman"/>
          <w:szCs w:val="24"/>
        </w:rPr>
        <w:t xml:space="preserve">, 749 F.3d 755, 763 (9th Cir. 2014).  For other bases of </w:t>
      </w:r>
      <w:proofErr w:type="spellStart"/>
      <w:r w:rsidRPr="00305894">
        <w:rPr>
          <w:rFonts w:cs="Times New Roman"/>
          <w:i/>
          <w:iCs/>
          <w:szCs w:val="24"/>
        </w:rPr>
        <w:t>Monell</w:t>
      </w:r>
      <w:proofErr w:type="spellEnd"/>
      <w:r w:rsidRPr="00305894">
        <w:rPr>
          <w:rFonts w:cs="Times New Roman"/>
          <w:i/>
          <w:iCs/>
          <w:szCs w:val="24"/>
        </w:rPr>
        <w:t xml:space="preserve"> </w:t>
      </w:r>
      <w:r w:rsidRPr="00305894">
        <w:rPr>
          <w:rFonts w:cs="Times New Roman"/>
          <w:szCs w:val="24"/>
        </w:rPr>
        <w:t xml:space="preserve">liability, </w:t>
      </w:r>
      <w:r w:rsidRPr="00305894">
        <w:rPr>
          <w:rFonts w:cs="Times New Roman"/>
          <w:i/>
          <w:iCs/>
          <w:szCs w:val="24"/>
        </w:rPr>
        <w:t>see</w:t>
      </w:r>
      <w:r w:rsidRPr="00305894">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a Failure to Prevent Violations of Law or a Failure to Train—Elements and Burden of Proof).</w:t>
      </w:r>
      <w:r w:rsidRPr="00305894">
        <w:rPr>
          <w:rFonts w:cs="Times New Roman"/>
          <w:i/>
          <w:iCs/>
          <w:szCs w:val="24"/>
        </w:rPr>
        <w:t xml:space="preserve"> </w:t>
      </w:r>
    </w:p>
    <w:p w14:paraId="61DA0436" w14:textId="77777777" w:rsidR="00305894" w:rsidRPr="00305894" w:rsidRDefault="00305894" w:rsidP="00305894">
      <w:pPr>
        <w:autoSpaceDE w:val="0"/>
        <w:autoSpaceDN w:val="0"/>
        <w:adjustRightInd w:val="0"/>
        <w:rPr>
          <w:rFonts w:cs="Times New Roman"/>
          <w:szCs w:val="24"/>
        </w:rPr>
      </w:pPr>
    </w:p>
    <w:p w14:paraId="03E0716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As noted in the Introductory Comment to this chapter, § 1983 liability of a local governing body may not be based on </w:t>
      </w:r>
      <w:proofErr w:type="spellStart"/>
      <w:r w:rsidRPr="00305894">
        <w:rPr>
          <w:rFonts w:cs="Times New Roman"/>
          <w:i/>
          <w:iCs/>
          <w:szCs w:val="24"/>
        </w:rPr>
        <w:t>respondeat</w:t>
      </w:r>
      <w:proofErr w:type="spellEnd"/>
      <w:r w:rsidRPr="00305894">
        <w:rPr>
          <w:rFonts w:cs="Times New Roman"/>
          <w:szCs w:val="24"/>
        </w:rPr>
        <w:t xml:space="preserve"> </w:t>
      </w:r>
      <w:r w:rsidRPr="00305894">
        <w:rPr>
          <w:rFonts w:cs="Times New Roman"/>
          <w:i/>
          <w:iCs/>
          <w:szCs w:val="24"/>
        </w:rPr>
        <w:t>superior</w:t>
      </w:r>
      <w:r w:rsidRPr="00305894">
        <w:rPr>
          <w:rFonts w:cs="Times New Roman"/>
          <w:szCs w:val="24"/>
        </w:rPr>
        <w:t xml:space="preserve">.  </w:t>
      </w:r>
      <w:proofErr w:type="spellStart"/>
      <w:r w:rsidRPr="00305894">
        <w:rPr>
          <w:rFonts w:cs="Times New Roman"/>
          <w:i/>
          <w:iCs/>
          <w:szCs w:val="24"/>
        </w:rPr>
        <w:t>Monell</w:t>
      </w:r>
      <w:proofErr w:type="spellEnd"/>
      <w:r w:rsidRPr="00305894">
        <w:rPr>
          <w:rFonts w:cs="Times New Roman"/>
          <w:i/>
          <w:iCs/>
          <w:szCs w:val="24"/>
        </w:rPr>
        <w:t xml:space="preserve"> v. </w:t>
      </w:r>
      <w:proofErr w:type="spellStart"/>
      <w:r w:rsidRPr="00305894">
        <w:rPr>
          <w:rFonts w:cs="Times New Roman"/>
          <w:i/>
          <w:iCs/>
          <w:szCs w:val="24"/>
        </w:rPr>
        <w:t>Dep’t</w:t>
      </w:r>
      <w:proofErr w:type="spellEnd"/>
      <w:r w:rsidRPr="00305894">
        <w:rPr>
          <w:rFonts w:cs="Times New Roman"/>
          <w:i/>
          <w:iCs/>
          <w:szCs w:val="24"/>
        </w:rPr>
        <w:t xml:space="preserve"> of Soc. Servs. of N.Y.</w:t>
      </w:r>
      <w:r w:rsidRPr="00305894">
        <w:rPr>
          <w:rFonts w:cs="Times New Roman"/>
          <w:szCs w:val="24"/>
        </w:rPr>
        <w:t xml:space="preserve">, 436 U.S. 658, 691 (1978).  Such liability may attach when an employee committed a constitutional violation pursuant to an expressly adopted official policy.  </w:t>
      </w:r>
      <w:proofErr w:type="spellStart"/>
      <w:r w:rsidRPr="00305894">
        <w:rPr>
          <w:rFonts w:cs="Times New Roman"/>
          <w:i/>
          <w:iCs/>
          <w:szCs w:val="24"/>
        </w:rPr>
        <w:t>Ellins</w:t>
      </w:r>
      <w:proofErr w:type="spellEnd"/>
      <w:r w:rsidRPr="00305894">
        <w:rPr>
          <w:rFonts w:cs="Times New Roman"/>
          <w:i/>
          <w:iCs/>
          <w:szCs w:val="24"/>
        </w:rPr>
        <w:t xml:space="preserve"> v. City of Sierra Madre</w:t>
      </w:r>
      <w:r w:rsidRPr="00305894">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proofErr w:type="spellStart"/>
      <w:r w:rsidRPr="00305894">
        <w:rPr>
          <w:rFonts w:cs="Times New Roman"/>
          <w:i/>
          <w:iCs/>
          <w:szCs w:val="24"/>
        </w:rPr>
        <w:t>Pembaur</w:t>
      </w:r>
      <w:proofErr w:type="spellEnd"/>
      <w:r w:rsidRPr="00305894">
        <w:rPr>
          <w:rFonts w:cs="Times New Roman"/>
          <w:i/>
          <w:iCs/>
          <w:szCs w:val="24"/>
        </w:rPr>
        <w:t xml:space="preserve"> v. City of Cincinnati</w:t>
      </w:r>
      <w:r w:rsidRPr="00305894">
        <w:rPr>
          <w:rFonts w:cs="Times New Roman"/>
          <w:szCs w:val="24"/>
        </w:rPr>
        <w:t xml:space="preserve">, 475 U.S. 469, 483 (1986); </w:t>
      </w:r>
      <w:r w:rsidRPr="00305894">
        <w:rPr>
          <w:rFonts w:cs="Times New Roman"/>
          <w:i/>
          <w:iCs/>
          <w:szCs w:val="24"/>
        </w:rPr>
        <w:t>see also Connick v. Thompson</w:t>
      </w:r>
      <w:r w:rsidRPr="00305894">
        <w:rPr>
          <w:rFonts w:cs="Times New Roman"/>
          <w:szCs w:val="24"/>
        </w:rPr>
        <w:t xml:space="preserve">, 563 U.S. 51, 62 (2011).   </w:t>
      </w:r>
    </w:p>
    <w:p w14:paraId="546A169D" w14:textId="77777777" w:rsidR="00305894" w:rsidRPr="00305894" w:rsidRDefault="00305894" w:rsidP="00305894">
      <w:pPr>
        <w:autoSpaceDE w:val="0"/>
        <w:autoSpaceDN w:val="0"/>
        <w:adjustRightInd w:val="0"/>
        <w:rPr>
          <w:rFonts w:cs="Times New Roman"/>
          <w:szCs w:val="24"/>
        </w:rPr>
      </w:pPr>
    </w:p>
    <w:p w14:paraId="04F25B5B"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Such liability may also attach when an employee committed a constitutional violation pursuant to a widespread practice or custom.  </w:t>
      </w:r>
      <w:r w:rsidRPr="00305894">
        <w:rPr>
          <w:rFonts w:cs="Times New Roman"/>
          <w:i/>
          <w:iCs/>
          <w:szCs w:val="24"/>
        </w:rPr>
        <w:t xml:space="preserve">City of St. Louis v. </w:t>
      </w:r>
      <w:proofErr w:type="spellStart"/>
      <w:r w:rsidRPr="00305894">
        <w:rPr>
          <w:rFonts w:cs="Times New Roman"/>
          <w:i/>
          <w:iCs/>
          <w:szCs w:val="24"/>
        </w:rPr>
        <w:t>Praprotnik</w:t>
      </w:r>
      <w:proofErr w:type="spellEnd"/>
      <w:r w:rsidRPr="00305894">
        <w:rPr>
          <w:rFonts w:cs="Times New Roman"/>
          <w:szCs w:val="24"/>
        </w:rPr>
        <w:t xml:space="preserve">, 485 U.S. 112, 127 (1988).  The plaintiff must prove the existence of such a widespread practice or policy as a matter of fact.  </w:t>
      </w:r>
      <w:r w:rsidRPr="00305894">
        <w:rPr>
          <w:rFonts w:cs="Times New Roman"/>
          <w:i/>
          <w:iCs/>
          <w:szCs w:val="24"/>
        </w:rPr>
        <w:t>Trevino v. Gates</w:t>
      </w:r>
      <w:r w:rsidRPr="00305894">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305894">
        <w:rPr>
          <w:rFonts w:cs="Times New Roman"/>
          <w:i/>
          <w:iCs/>
          <w:szCs w:val="24"/>
        </w:rPr>
        <w:t xml:space="preserve">Id. </w:t>
      </w:r>
      <w:r w:rsidRPr="00305894">
        <w:rPr>
          <w:rFonts w:cs="Times New Roman"/>
          <w:szCs w:val="24"/>
        </w:rPr>
        <w:t xml:space="preserve">at 918 (quoting </w:t>
      </w:r>
      <w:proofErr w:type="spellStart"/>
      <w:r w:rsidRPr="00305894">
        <w:rPr>
          <w:rFonts w:cs="Times New Roman"/>
          <w:i/>
          <w:iCs/>
          <w:szCs w:val="24"/>
        </w:rPr>
        <w:t>Monell</w:t>
      </w:r>
      <w:proofErr w:type="spellEnd"/>
      <w:r w:rsidRPr="00305894">
        <w:rPr>
          <w:rFonts w:cs="Times New Roman"/>
          <w:szCs w:val="24"/>
        </w:rPr>
        <w:t xml:space="preserve">, 436 U.S. at 691); </w:t>
      </w:r>
      <w:r w:rsidRPr="00305894">
        <w:rPr>
          <w:rFonts w:cs="Times New Roman"/>
          <w:i/>
          <w:iCs/>
          <w:szCs w:val="24"/>
        </w:rPr>
        <w:t xml:space="preserve">Gillette v. </w:t>
      </w:r>
      <w:proofErr w:type="spellStart"/>
      <w:r w:rsidRPr="00305894">
        <w:rPr>
          <w:rFonts w:cs="Times New Roman"/>
          <w:i/>
          <w:iCs/>
          <w:szCs w:val="24"/>
        </w:rPr>
        <w:t>Delmore</w:t>
      </w:r>
      <w:proofErr w:type="spellEnd"/>
      <w:r w:rsidRPr="00305894">
        <w:rPr>
          <w:rFonts w:cs="Times New Roman"/>
          <w:szCs w:val="24"/>
        </w:rPr>
        <w:t xml:space="preserve">, 979 F.2d 1342, 1346 (9th Cir. 1992) (providing final quotation).  Allegations of an isolated or sporadic incident cannot form the basis for </w:t>
      </w:r>
      <w:proofErr w:type="spellStart"/>
      <w:r w:rsidRPr="00305894">
        <w:rPr>
          <w:rFonts w:cs="Times New Roman"/>
          <w:i/>
          <w:iCs/>
          <w:szCs w:val="24"/>
        </w:rPr>
        <w:t>Monell</w:t>
      </w:r>
      <w:proofErr w:type="spellEnd"/>
      <w:r w:rsidRPr="00305894">
        <w:rPr>
          <w:rFonts w:cs="Times New Roman"/>
          <w:i/>
          <w:iCs/>
          <w:szCs w:val="24"/>
        </w:rPr>
        <w:t xml:space="preserve"> </w:t>
      </w:r>
      <w:r w:rsidRPr="00305894">
        <w:rPr>
          <w:rFonts w:cs="Times New Roman"/>
          <w:szCs w:val="24"/>
        </w:rPr>
        <w:t xml:space="preserve">liability.  </w:t>
      </w:r>
      <w:r w:rsidRPr="00305894">
        <w:rPr>
          <w:rFonts w:cs="Times New Roman"/>
          <w:i/>
          <w:iCs/>
          <w:szCs w:val="24"/>
        </w:rPr>
        <w:t>Saved Magazine v. Spokane Police Dept.</w:t>
      </w:r>
      <w:r w:rsidRPr="00305894">
        <w:rPr>
          <w:rFonts w:cs="Times New Roman"/>
          <w:szCs w:val="24"/>
        </w:rPr>
        <w:t>, 19 F.4th 1193, 1201 (9th Cir. 2021).</w:t>
      </w:r>
    </w:p>
    <w:p w14:paraId="60A76F20" w14:textId="77777777" w:rsidR="00305894" w:rsidRPr="00305894" w:rsidRDefault="00305894" w:rsidP="00305894">
      <w:pPr>
        <w:autoSpaceDE w:val="0"/>
        <w:autoSpaceDN w:val="0"/>
        <w:adjustRightInd w:val="0"/>
        <w:rPr>
          <w:rFonts w:cs="Times New Roman"/>
          <w:szCs w:val="24"/>
        </w:rPr>
      </w:pPr>
    </w:p>
    <w:p w14:paraId="125EF9E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305894">
        <w:rPr>
          <w:rFonts w:cs="Times New Roman"/>
          <w:i/>
          <w:iCs/>
          <w:szCs w:val="24"/>
        </w:rPr>
        <w:t>Hunter v. County of Sacramento</w:t>
      </w:r>
      <w:r w:rsidRPr="00305894">
        <w:rPr>
          <w:rFonts w:cs="Times New Roman"/>
          <w:szCs w:val="24"/>
        </w:rPr>
        <w:t xml:space="preserve">, 652 F.3d 1225, 1236 (9th Cir. 2011); </w:t>
      </w:r>
      <w:r w:rsidRPr="00305894">
        <w:rPr>
          <w:rFonts w:cs="Times New Roman"/>
          <w:i/>
          <w:iCs/>
          <w:szCs w:val="24"/>
        </w:rPr>
        <w:t xml:space="preserve">see also </w:t>
      </w:r>
      <w:proofErr w:type="spellStart"/>
      <w:r w:rsidRPr="00305894">
        <w:rPr>
          <w:rFonts w:cs="Times New Roman"/>
          <w:i/>
          <w:iCs/>
          <w:szCs w:val="24"/>
        </w:rPr>
        <w:t>Nehad</w:t>
      </w:r>
      <w:proofErr w:type="spellEnd"/>
      <w:r w:rsidRPr="00305894">
        <w:rPr>
          <w:rFonts w:cs="Times New Roman"/>
          <w:i/>
          <w:iCs/>
          <w:szCs w:val="24"/>
        </w:rPr>
        <w:t xml:space="preserve"> v. Browder</w:t>
      </w:r>
      <w:r w:rsidRPr="00305894">
        <w:rPr>
          <w:rFonts w:cs="Times New Roman"/>
          <w:szCs w:val="24"/>
        </w:rPr>
        <w:t>, 929 F.3d 1125, 1141 (9th Cir. 2019) (citing evidence</w:t>
      </w:r>
    </w:p>
    <w:p w14:paraId="60A55C7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305894">
        <w:rPr>
          <w:rFonts w:cs="Times New Roman"/>
          <w:i/>
          <w:iCs/>
          <w:szCs w:val="24"/>
        </w:rPr>
        <w:t>See</w:t>
      </w:r>
      <w:r w:rsidRPr="00305894">
        <w:rPr>
          <w:rFonts w:cs="Times New Roman"/>
          <w:szCs w:val="24"/>
        </w:rPr>
        <w:t xml:space="preserve">, </w:t>
      </w:r>
      <w:r w:rsidRPr="00305894">
        <w:rPr>
          <w:rFonts w:cs="Times New Roman"/>
          <w:i/>
          <w:iCs/>
          <w:szCs w:val="24"/>
        </w:rPr>
        <w:t>e.g.</w:t>
      </w:r>
      <w:r w:rsidRPr="00305894">
        <w:rPr>
          <w:rFonts w:cs="Times New Roman"/>
          <w:szCs w:val="24"/>
        </w:rPr>
        <w:t xml:space="preserve">, </w:t>
      </w:r>
      <w:r w:rsidRPr="00305894">
        <w:rPr>
          <w:rFonts w:cs="Times New Roman"/>
          <w:i/>
          <w:iCs/>
          <w:szCs w:val="24"/>
        </w:rPr>
        <w:t xml:space="preserve">Christie v. </w:t>
      </w:r>
      <w:proofErr w:type="spellStart"/>
      <w:r w:rsidRPr="00305894">
        <w:rPr>
          <w:rFonts w:cs="Times New Roman"/>
          <w:i/>
          <w:iCs/>
          <w:szCs w:val="24"/>
        </w:rPr>
        <w:t>Iopa</w:t>
      </w:r>
      <w:proofErr w:type="spellEnd"/>
      <w:r w:rsidRPr="00305894">
        <w:rPr>
          <w:rFonts w:cs="Times New Roman"/>
          <w:szCs w:val="24"/>
        </w:rPr>
        <w:t xml:space="preserve">, 176 F.3d 1231, 1235 (9th Cir. 1999); </w:t>
      </w:r>
    </w:p>
    <w:p w14:paraId="00E401C8" w14:textId="3E9F95BA" w:rsidR="00305894" w:rsidRDefault="00305894" w:rsidP="00305894">
      <w:pPr>
        <w:autoSpaceDE w:val="0"/>
        <w:autoSpaceDN w:val="0"/>
        <w:adjustRightInd w:val="0"/>
        <w:rPr>
          <w:rFonts w:cs="Times New Roman"/>
          <w:szCs w:val="24"/>
        </w:rPr>
      </w:pPr>
      <w:r w:rsidRPr="00305894">
        <w:rPr>
          <w:rFonts w:cs="Times New Roman"/>
          <w:i/>
          <w:iCs/>
          <w:szCs w:val="24"/>
        </w:rPr>
        <w:lastRenderedPageBreak/>
        <w:t xml:space="preserve">Jett v. Dallas </w:t>
      </w:r>
      <w:proofErr w:type="spellStart"/>
      <w:r w:rsidRPr="00305894">
        <w:rPr>
          <w:rFonts w:cs="Times New Roman"/>
          <w:i/>
          <w:iCs/>
          <w:szCs w:val="24"/>
        </w:rPr>
        <w:t>Indep</w:t>
      </w:r>
      <w:proofErr w:type="spellEnd"/>
      <w:r w:rsidRPr="00305894">
        <w:rPr>
          <w:rFonts w:cs="Times New Roman"/>
          <w:i/>
          <w:iCs/>
          <w:szCs w:val="24"/>
        </w:rPr>
        <w:t>. Sch. Dist</w:t>
      </w:r>
      <w:r w:rsidRPr="00305894">
        <w:rPr>
          <w:rFonts w:cs="Times New Roman"/>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305894">
        <w:rPr>
          <w:rFonts w:cs="Times New Roman"/>
          <w:i/>
          <w:iCs/>
          <w:szCs w:val="24"/>
        </w:rPr>
        <w:t>See Hunter</w:t>
      </w:r>
      <w:r w:rsidRPr="00305894">
        <w:rPr>
          <w:rFonts w:cs="Times New Roman"/>
          <w:szCs w:val="24"/>
        </w:rPr>
        <w:t>, 652 F.3d at 1235.</w:t>
      </w:r>
    </w:p>
    <w:p w14:paraId="0B3FDD1C" w14:textId="77777777" w:rsidR="00CC2F62" w:rsidRPr="00305894" w:rsidRDefault="00CC2F62" w:rsidP="00305894">
      <w:pPr>
        <w:autoSpaceDE w:val="0"/>
        <w:autoSpaceDN w:val="0"/>
        <w:adjustRightInd w:val="0"/>
        <w:rPr>
          <w:rFonts w:cs="Times New Roman"/>
          <w:szCs w:val="24"/>
        </w:rPr>
      </w:pPr>
    </w:p>
    <w:p w14:paraId="462504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305894">
        <w:rPr>
          <w:rFonts w:cs="Times New Roman"/>
          <w:i/>
          <w:iCs/>
          <w:szCs w:val="24"/>
        </w:rPr>
        <w:t xml:space="preserve"> </w:t>
      </w:r>
      <w:proofErr w:type="spellStart"/>
      <w:r w:rsidRPr="00305894">
        <w:rPr>
          <w:rFonts w:cs="Times New Roman"/>
          <w:i/>
          <w:iCs/>
          <w:szCs w:val="24"/>
        </w:rPr>
        <w:t>Gravelet-Blondin</w:t>
      </w:r>
      <w:proofErr w:type="spellEnd"/>
      <w:r w:rsidRPr="00305894">
        <w:rPr>
          <w:rFonts w:cs="Times New Roman"/>
          <w:i/>
          <w:iCs/>
          <w:szCs w:val="24"/>
        </w:rPr>
        <w:t xml:space="preserve"> v. Shelton</w:t>
      </w:r>
      <w:r w:rsidRPr="00305894">
        <w:rPr>
          <w:rFonts w:cs="Times New Roman"/>
          <w:szCs w:val="24"/>
        </w:rPr>
        <w:t xml:space="preserve">, 728 F.3d 1086, 1096 (9th Cir. 2013) (citations and quotations omitted).  “To meet this requirement, the plaintiff must show both causation-in-fact and proximate causation.”  </w:t>
      </w:r>
      <w:r w:rsidRPr="00305894">
        <w:rPr>
          <w:rFonts w:cs="Times New Roman"/>
          <w:i/>
          <w:iCs/>
          <w:szCs w:val="24"/>
        </w:rPr>
        <w:t xml:space="preserve">Id.  See also Eagle Point Education Assoc. v. Jackson </w:t>
      </w:r>
      <w:proofErr w:type="spellStart"/>
      <w:r w:rsidRPr="00305894">
        <w:rPr>
          <w:rFonts w:cs="Times New Roman"/>
          <w:i/>
          <w:iCs/>
          <w:szCs w:val="24"/>
        </w:rPr>
        <w:t>Cnty</w:t>
      </w:r>
      <w:proofErr w:type="spellEnd"/>
      <w:r w:rsidRPr="00305894">
        <w:rPr>
          <w:rFonts w:cs="Times New Roman"/>
          <w:i/>
          <w:iCs/>
          <w:szCs w:val="24"/>
        </w:rPr>
        <w:t>. School Dist</w:t>
      </w:r>
      <w:r w:rsidRPr="00305894">
        <w:rPr>
          <w:rFonts w:cs="Times New Roman"/>
          <w:szCs w:val="24"/>
        </w:rPr>
        <w:t xml:space="preserve">., 880 F.3d 1007, 1108 (9th Cir. 2018) (holding school district liable for acts of security officer implementing district’s official policy that unconstitutionally restricted student speech) (citing </w:t>
      </w:r>
      <w:proofErr w:type="spellStart"/>
      <w:r w:rsidRPr="00305894">
        <w:rPr>
          <w:rFonts w:cs="Times New Roman"/>
          <w:i/>
          <w:iCs/>
          <w:szCs w:val="24"/>
        </w:rPr>
        <w:t>Monell</w:t>
      </w:r>
      <w:proofErr w:type="spellEnd"/>
      <w:r w:rsidRPr="00305894">
        <w:rPr>
          <w:rFonts w:cs="Times New Roman"/>
          <w:szCs w:val="24"/>
        </w:rPr>
        <w:t>, 436 U.S. at 708).</w:t>
      </w:r>
    </w:p>
    <w:p w14:paraId="15385666" w14:textId="77777777" w:rsidR="00305894" w:rsidRPr="00305894" w:rsidRDefault="00305894" w:rsidP="00305894">
      <w:pPr>
        <w:autoSpaceDE w:val="0"/>
        <w:autoSpaceDN w:val="0"/>
        <w:adjustRightInd w:val="0"/>
        <w:rPr>
          <w:rFonts w:cs="Times New Roman"/>
          <w:szCs w:val="24"/>
        </w:rPr>
      </w:pPr>
    </w:p>
    <w:p w14:paraId="2D574A44" w14:textId="77777777" w:rsidR="00305894" w:rsidRPr="00305894" w:rsidRDefault="00305894" w:rsidP="00305894">
      <w:pPr>
        <w:autoSpaceDE w:val="0"/>
        <w:autoSpaceDN w:val="0"/>
        <w:adjustRightInd w:val="0"/>
        <w:rPr>
          <w:rFonts w:cs="Times New Roman"/>
          <w:szCs w:val="24"/>
        </w:rPr>
      </w:pPr>
    </w:p>
    <w:p w14:paraId="08C8E9EC" w14:textId="77777777" w:rsidR="00305894" w:rsidRPr="00305894" w:rsidRDefault="00305894" w:rsidP="00305894">
      <w:pPr>
        <w:autoSpaceDE w:val="0"/>
        <w:autoSpaceDN w:val="0"/>
        <w:adjustRightInd w:val="0"/>
        <w:jc w:val="right"/>
        <w:rPr>
          <w:rFonts w:cs="Times New Roman"/>
          <w:szCs w:val="24"/>
        </w:rPr>
      </w:pPr>
      <w:r w:rsidRPr="00305894">
        <w:rPr>
          <w:rFonts w:cs="Times New Roman"/>
          <w:i/>
          <w:iCs/>
          <w:szCs w:val="24"/>
        </w:rPr>
        <w:t>Revised Mar. 2022</w:t>
      </w:r>
    </w:p>
    <w:p w14:paraId="0659A8FA" w14:textId="32EC961E" w:rsidR="009149DD" w:rsidRPr="006A4CD7" w:rsidRDefault="009149DD" w:rsidP="009149DD">
      <w:pPr>
        <w:autoSpaceDE w:val="0"/>
        <w:autoSpaceDN w:val="0"/>
        <w:adjustRightInd w:val="0"/>
        <w:rPr>
          <w:rFonts w:cs="Times New Roman"/>
          <w:szCs w:val="24"/>
        </w:rPr>
      </w:pPr>
      <w:r w:rsidRPr="006A4CD7">
        <w:rPr>
          <w:rFonts w:cs="Times New Roman"/>
          <w:szCs w:val="24"/>
        </w:rPr>
        <w:t>.</w:t>
      </w:r>
    </w:p>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2C4E0074" w14:textId="6A4E7AF2" w:rsidR="006A4CD7" w:rsidRDefault="006A4CD7" w:rsidP="00352D49">
      <w:pPr>
        <w:pStyle w:val="Heading2"/>
      </w:pPr>
      <w:r w:rsidRPr="006A4CD7">
        <w:br w:type="page"/>
      </w:r>
      <w:bookmarkStart w:id="125" w:name="_Toc117512419"/>
      <w:r w:rsidRPr="006A4CD7">
        <w:lastRenderedPageBreak/>
        <w:t xml:space="preserve">9.6 </w:t>
      </w:r>
      <w:r w:rsidR="005E7FC8">
        <w:t xml:space="preserve">Section 1983 Claim Against Local Governing Body Defendants Based </w:t>
      </w:r>
      <w:r w:rsidR="002D3473">
        <w:t>on</w:t>
      </w:r>
      <w:r w:rsidR="005E7FC8">
        <w:t xml:space="preserve"> Act of Final Policymaker—Elements and Burden of Proof</w:t>
      </w:r>
      <w:bookmarkEnd w:id="125"/>
    </w:p>
    <w:p w14:paraId="1C53D802" w14:textId="77777777" w:rsidR="005E7FC8" w:rsidRPr="005E7FC8" w:rsidRDefault="005E7FC8" w:rsidP="005E7FC8"/>
    <w:p w14:paraId="477422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deprived the plaintiff of [his] [her] particular rights under [the laws of the United States] [the United States Constitution] as explained in later instructions;</w:t>
      </w:r>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when [</w:t>
      </w:r>
      <w:r w:rsidRPr="006A4CD7">
        <w:rPr>
          <w:rFonts w:cs="Times New Roman"/>
          <w:i/>
          <w:iCs/>
          <w:szCs w:val="24"/>
          <w:u w:val="single"/>
        </w:rPr>
        <w:t>name of final policymaker</w:t>
      </w:r>
      <w:r w:rsidRPr="006A4CD7">
        <w:rPr>
          <w:rFonts w:cs="Times New Roman"/>
          <w:szCs w:val="24"/>
        </w:rPr>
        <w:t>] engaged in these act[s], [he] [she] was acting as a final policymaker for defendant [</w:t>
      </w:r>
      <w:r w:rsidRPr="006A4CD7">
        <w:rPr>
          <w:rFonts w:cs="Times New Roman"/>
          <w:i/>
          <w:iCs/>
          <w:szCs w:val="24"/>
          <w:u w:val="single"/>
        </w:rPr>
        <w:t>name of local governing body</w:t>
      </w:r>
      <w:r w:rsidRPr="006A4CD7">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3C636C7" w14:textId="77777777" w:rsidR="002D3473" w:rsidRDefault="006A4CD7"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25484FA5" w14:textId="77777777" w:rsidR="002D3473" w:rsidRDefault="002D3473" w:rsidP="002D3473">
      <w:pPr>
        <w:autoSpaceDE w:val="0"/>
        <w:autoSpaceDN w:val="0"/>
        <w:adjustRightInd w:val="0"/>
        <w:rPr>
          <w:rFonts w:cs="Times New Roman"/>
          <w:szCs w:val="24"/>
        </w:rPr>
      </w:pPr>
    </w:p>
    <w:p w14:paraId="5C9A39A4" w14:textId="26304809" w:rsidR="006A4CD7" w:rsidRPr="006A4CD7" w:rsidRDefault="006A4CD7" w:rsidP="002D3473">
      <w:pPr>
        <w:autoSpaceDE w:val="0"/>
        <w:autoSpaceDN w:val="0"/>
        <w:adjustRightInd w:val="0"/>
        <w:jc w:val="center"/>
        <w:rPr>
          <w:rFonts w:cs="Times New Roman"/>
          <w:b/>
          <w:bCs/>
          <w:szCs w:val="24"/>
        </w:rPr>
      </w:pPr>
      <w:r w:rsidRPr="006A4CD7">
        <w:rPr>
          <w:rFonts w:cs="Times New Roman"/>
          <w:b/>
          <w:bCs/>
          <w:szCs w:val="24"/>
        </w:rPr>
        <w:t>Comment</w:t>
      </w:r>
    </w:p>
    <w:p w14:paraId="23A237C6" w14:textId="77777777" w:rsidR="006A4CD7" w:rsidRPr="006A4CD7" w:rsidRDefault="006A4CD7" w:rsidP="000C5EAE"/>
    <w:p w14:paraId="0CC374BA" w14:textId="622446A1"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4161C97B" w14:textId="77777777" w:rsidR="006A4CD7" w:rsidRPr="006A4CD7" w:rsidRDefault="006A4CD7" w:rsidP="000C5EAE">
      <w:pPr>
        <w:rPr>
          <w:b/>
          <w:bCs/>
        </w:rPr>
      </w:pPr>
      <w:r w:rsidRPr="006A4CD7">
        <w:lastRenderedPageBreak/>
        <w:tab/>
        <w:t xml:space="preserve">In addition, use this instruction only when </w:t>
      </w:r>
      <w:proofErr w:type="spellStart"/>
      <w:r w:rsidRPr="006A4CD7">
        <w:rPr>
          <w:i/>
          <w:iCs/>
        </w:rPr>
        <w:t>Monell</w:t>
      </w:r>
      <w:proofErr w:type="spellEnd"/>
      <w:r w:rsidRPr="006A4CD7">
        <w:t xml:space="preserve"> liability is based on the acts of a final policymaker.  For other bases of </w:t>
      </w:r>
      <w:proofErr w:type="spellStart"/>
      <w:r w:rsidRPr="006A4CD7">
        <w:rPr>
          <w:i/>
          <w:iCs/>
        </w:rPr>
        <w:t>Monell</w:t>
      </w:r>
      <w:proofErr w:type="spellEnd"/>
      <w:r w:rsidRPr="006A4CD7">
        <w:rPr>
          <w:i/>
          <w:iCs/>
        </w:rPr>
        <w:t xml:space="preserve">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proofErr w:type="spellStart"/>
      <w:r w:rsidRPr="006A4CD7">
        <w:rPr>
          <w:rFonts w:cs="Times New Roman"/>
          <w:i/>
          <w:iCs/>
          <w:szCs w:val="24"/>
        </w:rPr>
        <w:t>respondeat</w:t>
      </w:r>
      <w:proofErr w:type="spellEnd"/>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 Servs. of N.Y.</w:t>
      </w:r>
      <w:r w:rsidRPr="006A4CD7">
        <w:rPr>
          <w:rFonts w:cs="Times New Roman"/>
          <w:szCs w:val="24"/>
        </w:rPr>
        <w:t xml:space="preserve">, 436 U.S. 658, 691 (1978).  Such liability may attach when the official or employee who caused a constitutional violation was acting as a “final policymaker.”  </w:t>
      </w:r>
      <w:r w:rsidRPr="006A4CD7">
        <w:rPr>
          <w:rFonts w:cs="Times New Roman"/>
          <w:i/>
          <w:iCs/>
          <w:szCs w:val="24"/>
        </w:rPr>
        <w:t>Lytle v. Carl</w:t>
      </w:r>
      <w:r w:rsidRPr="006A4CD7">
        <w:rPr>
          <w:rFonts w:cs="Times New Roman"/>
          <w:szCs w:val="24"/>
        </w:rPr>
        <w:t xml:space="preserve">, 382 F.3d 978, 981 (9th Cir. 2004).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6A4CD7">
        <w:rPr>
          <w:rFonts w:cs="Times New Roman"/>
          <w:i/>
          <w:iCs/>
          <w:szCs w:val="24"/>
        </w:rPr>
        <w:t>Goldstein v. City of Long Beach</w:t>
      </w:r>
      <w:r w:rsidRPr="006A4CD7">
        <w:rPr>
          <w:rFonts w:cs="Times New Roman"/>
          <w:szCs w:val="24"/>
        </w:rPr>
        <w:t>, 715 F.3d 750, 753 (9th Cir. 2013) (citations omitted).</w:t>
      </w:r>
    </w:p>
    <w:p w14:paraId="0E5040B8" w14:textId="77777777" w:rsidR="006A4CD7" w:rsidRPr="006A4CD7" w:rsidRDefault="006A4CD7" w:rsidP="0060759C">
      <w:pPr>
        <w:autoSpaceDE w:val="0"/>
        <w:autoSpaceDN w:val="0"/>
        <w:adjustRightInd w:val="0"/>
        <w:rPr>
          <w:rFonts w:cs="Times New Roman"/>
          <w:szCs w:val="24"/>
        </w:rPr>
      </w:pPr>
    </w:p>
    <w:p w14:paraId="37CF8845" w14:textId="24B6789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an official is a policymaker for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 xml:space="preserve">purposes is a question of state law for the court, rather than the jury, to decide.  </w:t>
      </w:r>
      <w:r w:rsidRPr="006A4CD7">
        <w:rPr>
          <w:rFonts w:cs="Times New Roman"/>
          <w:i/>
          <w:iCs/>
          <w:szCs w:val="24"/>
        </w:rPr>
        <w:t xml:space="preserve">City of St. Louis v. </w:t>
      </w:r>
      <w:proofErr w:type="spellStart"/>
      <w:r w:rsidRPr="006A4CD7">
        <w:rPr>
          <w:rFonts w:cs="Times New Roman"/>
          <w:i/>
          <w:iCs/>
          <w:szCs w:val="24"/>
        </w:rPr>
        <w:t>Praprotnik</w:t>
      </w:r>
      <w:proofErr w:type="spellEnd"/>
      <w:r w:rsidRPr="006A4CD7">
        <w:rPr>
          <w:rFonts w:cs="Times New Roman"/>
          <w:szCs w:val="24"/>
        </w:rPr>
        <w:t xml:space="preserve">, 485 U.S. 112, 123 (1988);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Ellins</w:t>
      </w:r>
      <w:proofErr w:type="spellEnd"/>
      <w:r w:rsidRPr="006A4CD7">
        <w:rPr>
          <w:rFonts w:cs="Times New Roman"/>
          <w:i/>
          <w:iCs/>
          <w:szCs w:val="24"/>
        </w:rPr>
        <w:t xml:space="preserve"> v. City of Sierra Madre</w:t>
      </w:r>
      <w:r w:rsidRPr="006A4CD7">
        <w:rPr>
          <w:rFonts w:cs="Times New Roman"/>
          <w:szCs w:val="24"/>
        </w:rPr>
        <w:t xml:space="preserve">, 710 F.3d 1049, 1066 (9th Cir. 2013). The determination is made on a function-by-function approach analyzed under the state organizational structure. </w:t>
      </w:r>
      <w:r w:rsidRPr="006A4CD7">
        <w:rPr>
          <w:rFonts w:cs="Times New Roman"/>
          <w:i/>
          <w:iCs/>
          <w:szCs w:val="24"/>
        </w:rPr>
        <w:t xml:space="preserve"> Goldstein</w:t>
      </w:r>
      <w:r w:rsidRPr="006A4CD7">
        <w:rPr>
          <w:rFonts w:cs="Times New Roman"/>
          <w:szCs w:val="24"/>
        </w:rPr>
        <w:t xml:space="preserve">, 715 F.3d at 753.  A “policy” is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Fogel v. Collins</w:t>
      </w:r>
      <w:r w:rsidRPr="006A4CD7">
        <w:rPr>
          <w:rFonts w:cs="Times New Roman"/>
          <w:szCs w:val="24"/>
        </w:rPr>
        <w:t>, 531 F.3d 824, 834 (9th Cir. 2008).</w:t>
      </w:r>
    </w:p>
    <w:p w14:paraId="2FAB861A" w14:textId="77777777" w:rsidR="006A4CD7" w:rsidRPr="006A4CD7" w:rsidRDefault="006A4CD7" w:rsidP="0060759C">
      <w:pPr>
        <w:autoSpaceDE w:val="0"/>
        <w:autoSpaceDN w:val="0"/>
        <w:adjustRightInd w:val="0"/>
        <w:rPr>
          <w:rFonts w:cs="Times New Roman"/>
          <w:szCs w:val="24"/>
        </w:rPr>
      </w:pPr>
    </w:p>
    <w:p w14:paraId="62444E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seeking to establish municipal liability under this theory must demonstrate that an action of the final policymaker “was the ‘moving force’ behind the constitutional violation he suffered.” </w:t>
      </w:r>
      <w:r w:rsidRPr="006A4CD7">
        <w:rPr>
          <w:rFonts w:cs="Times New Roman"/>
          <w:i/>
          <w:iCs/>
          <w:szCs w:val="24"/>
        </w:rPr>
        <w:t xml:space="preserve">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xml:space="preserve">, 728 F.3d 1086, 1096 (9th Cir. 2013).  “To meet this requirement, the plaintiff must show both causation-in-fact and proximate causation.” </w:t>
      </w:r>
      <w:r w:rsidRPr="006A4CD7">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F61D5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municipality may be liable for the acts of a final policymaker if these acts caused a constitutional violation, even if the constitutional violation occurs only once.</w:t>
      </w:r>
      <w:r w:rsidRPr="006A4CD7">
        <w:rPr>
          <w:rFonts w:cs="Times New Roman"/>
          <w:i/>
          <w:iCs/>
          <w:szCs w:val="24"/>
        </w:rPr>
        <w:t xml:space="preserve">  </w:t>
      </w:r>
      <w:proofErr w:type="spellStart"/>
      <w:r w:rsidRPr="006A4CD7">
        <w:rPr>
          <w:rFonts w:cs="Times New Roman"/>
          <w:i/>
          <w:iCs/>
          <w:szCs w:val="24"/>
        </w:rPr>
        <w:t>Pembaur</w:t>
      </w:r>
      <w:proofErr w:type="spellEnd"/>
      <w:r w:rsidRPr="006A4CD7">
        <w:rPr>
          <w:rFonts w:cs="Times New Roman"/>
          <w:i/>
          <w:iCs/>
          <w:szCs w:val="24"/>
        </w:rPr>
        <w:t xml:space="preserve"> v. City of Cincinnati</w:t>
      </w:r>
      <w:r w:rsidRPr="006A4CD7">
        <w:rPr>
          <w:rFonts w:cs="Times New Roman"/>
          <w:szCs w:val="24"/>
        </w:rPr>
        <w:t xml:space="preserve">, 475 U.S. 469, 478 &amp; n.6 (1986).  In certain situations, a municipality is also liable if a policymaking official fully delegates his or her discretionary authority to a subordinate, and the subordinate uses that discretion.   </w:t>
      </w:r>
      <w:r w:rsidRPr="006A4CD7">
        <w:rPr>
          <w:rFonts w:cs="Times New Roman"/>
          <w:i/>
          <w:iCs/>
          <w:szCs w:val="24"/>
        </w:rPr>
        <w:t>Fogel</w:t>
      </w:r>
      <w:r w:rsidRPr="006A4CD7">
        <w:rPr>
          <w:rFonts w:cs="Times New Roman"/>
          <w:szCs w:val="24"/>
        </w:rPr>
        <w:t xml:space="preserve">, 531 F.3d at 834-35; </w:t>
      </w:r>
      <w:r w:rsidRPr="006A4CD7">
        <w:rPr>
          <w:rFonts w:cs="Times New Roman"/>
          <w:i/>
          <w:iCs/>
          <w:szCs w:val="24"/>
        </w:rPr>
        <w:t xml:space="preserve">see also City of St. Louis v. </w:t>
      </w:r>
      <w:proofErr w:type="spellStart"/>
      <w:r w:rsidRPr="006A4CD7">
        <w:rPr>
          <w:rFonts w:cs="Times New Roman"/>
          <w:i/>
          <w:iCs/>
          <w:szCs w:val="24"/>
        </w:rPr>
        <w:t>Praprotnik</w:t>
      </w:r>
      <w:proofErr w:type="spellEnd"/>
      <w:r w:rsidRPr="006A4CD7">
        <w:rPr>
          <w:rFonts w:cs="Times New Roman"/>
          <w:szCs w:val="24"/>
        </w:rPr>
        <w:t xml:space="preserve">, 485 U.S. 112 (1988).  An official may be found to have been delegated final policymaking authority when the official’s discretionary decision is unconstrained by policies not of that official’s making and unreviewable by the municipality’s authorized policymakers.  </w:t>
      </w:r>
      <w:r w:rsidRPr="006A4CD7">
        <w:rPr>
          <w:rFonts w:cs="Times New Roman"/>
          <w:i/>
          <w:iCs/>
          <w:szCs w:val="24"/>
        </w:rPr>
        <w:t>Ulrich v. City &amp; County of San Francisco</w:t>
      </w:r>
      <w:r w:rsidRPr="006A4CD7">
        <w:rPr>
          <w:rFonts w:cs="Times New Roman"/>
          <w:szCs w:val="24"/>
        </w:rPr>
        <w:t xml:space="preserve">, 308 F.3d 968, 986 (9th Cir. 2002) (citing </w:t>
      </w:r>
      <w:r w:rsidRPr="006A4CD7">
        <w:rPr>
          <w:rFonts w:cs="Times New Roman"/>
          <w:i/>
          <w:iCs/>
          <w:szCs w:val="24"/>
        </w:rPr>
        <w:t xml:space="preserve">Christie v. </w:t>
      </w:r>
      <w:proofErr w:type="spellStart"/>
      <w:r w:rsidRPr="006A4CD7">
        <w:rPr>
          <w:rFonts w:cs="Times New Roman"/>
          <w:i/>
          <w:iCs/>
          <w:szCs w:val="24"/>
        </w:rPr>
        <w:t>Iopa</w:t>
      </w:r>
      <w:proofErr w:type="spellEnd"/>
      <w:r w:rsidRPr="006A4CD7">
        <w:rPr>
          <w:rFonts w:cs="Times New Roman"/>
          <w:szCs w:val="24"/>
        </w:rPr>
        <w:t xml:space="preserve">, 176 F.3d 1231, 1236-37 (9th Cir. 1999)). </w:t>
      </w:r>
    </w:p>
    <w:p w14:paraId="673E528F" w14:textId="77777777" w:rsidR="006A4CD7" w:rsidRPr="006A4CD7" w:rsidRDefault="006A4CD7" w:rsidP="0060759C">
      <w:pPr>
        <w:autoSpaceDE w:val="0"/>
        <w:autoSpaceDN w:val="0"/>
        <w:adjustRightInd w:val="0"/>
        <w:rPr>
          <w:rFonts w:cs="Times New Roman"/>
          <w:szCs w:val="24"/>
        </w:rPr>
      </w:pPr>
    </w:p>
    <w:p w14:paraId="5CF22A37" w14:textId="1FCA5479" w:rsidR="006A4CD7" w:rsidRPr="006A4CD7" w:rsidRDefault="006A4CD7" w:rsidP="00352D49">
      <w:pPr>
        <w:pStyle w:val="Heading2"/>
      </w:pPr>
      <w:r w:rsidRPr="006A4CD7">
        <w:br w:type="page"/>
      </w:r>
      <w:bookmarkStart w:id="126" w:name="_Toc117512420"/>
      <w:r w:rsidRPr="006A4CD7">
        <w:lastRenderedPageBreak/>
        <w:t xml:space="preserve">9.7 </w:t>
      </w:r>
      <w:r w:rsidR="005E7FC8">
        <w:t>Section 1983 Claim Against Local Governing Body Defendants Based On Ratification—Elements and Burden of Proof</w:t>
      </w:r>
      <w:bookmarkEnd w:id="126"/>
    </w:p>
    <w:p w14:paraId="514A59E5" w14:textId="77777777" w:rsidR="006A4CD7" w:rsidRPr="006A4CD7" w:rsidRDefault="006A4CD7" w:rsidP="0060759C">
      <w:pPr>
        <w:autoSpaceDE w:val="0"/>
        <w:autoSpaceDN w:val="0"/>
        <w:adjustRightInd w:val="0"/>
        <w:rPr>
          <w:rFonts w:cs="Times New Roman"/>
          <w:szCs w:val="24"/>
        </w:rPr>
      </w:pPr>
    </w:p>
    <w:p w14:paraId="2C677E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ratification by a final policymaker, the plaintiff must prove each of the following elements by a preponderance of the evidence:</w:t>
      </w:r>
    </w:p>
    <w:p w14:paraId="197986A6" w14:textId="77777777" w:rsidR="006A4CD7" w:rsidRPr="006A4CD7" w:rsidRDefault="006A4CD7" w:rsidP="0060759C">
      <w:pPr>
        <w:autoSpaceDE w:val="0"/>
        <w:autoSpaceDN w:val="0"/>
        <w:adjustRightInd w:val="0"/>
        <w:rPr>
          <w:rFonts w:cs="Times New Roman"/>
          <w:szCs w:val="24"/>
        </w:rPr>
      </w:pPr>
    </w:p>
    <w:p w14:paraId="662F5CE7"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employee</w:t>
      </w:r>
      <w:r w:rsidRPr="006A4CD7">
        <w:rPr>
          <w:rFonts w:cs="Times New Roman"/>
          <w:szCs w:val="24"/>
        </w:rPr>
        <w:t>] acted under color of state law;</w:t>
      </w:r>
    </w:p>
    <w:p w14:paraId="420BF883" w14:textId="77777777" w:rsidR="006A4CD7" w:rsidRPr="006A4CD7" w:rsidRDefault="006A4CD7" w:rsidP="005E6F8C">
      <w:pPr>
        <w:autoSpaceDE w:val="0"/>
        <w:autoSpaceDN w:val="0"/>
        <w:adjustRightInd w:val="0"/>
        <w:ind w:left="1440" w:hanging="720"/>
        <w:rPr>
          <w:rFonts w:cs="Times New Roman"/>
          <w:szCs w:val="24"/>
        </w:rPr>
      </w:pPr>
    </w:p>
    <w:p w14:paraId="60499753"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[act[s]][failure to act] of [</w:t>
      </w:r>
      <w:r w:rsidRPr="006A4CD7">
        <w:rPr>
          <w:rFonts w:cs="Times New Roman"/>
          <w:i/>
          <w:iCs/>
          <w:szCs w:val="24"/>
          <w:u w:val="single"/>
        </w:rPr>
        <w:t>name of defendant’s employee</w:t>
      </w:r>
      <w:r w:rsidRPr="006A4CD7">
        <w:rPr>
          <w:rFonts w:cs="Times New Roman"/>
          <w:szCs w:val="24"/>
        </w:rPr>
        <w:t>] deprived the plaintiff of [his] [her] particular rights under [the laws of the United States] [the United States Constitution] as explained in later instructions;</w:t>
      </w:r>
    </w:p>
    <w:p w14:paraId="023F2DE9" w14:textId="77777777" w:rsidR="006A4CD7" w:rsidRPr="006A4CD7" w:rsidRDefault="006A4CD7" w:rsidP="005E6F8C">
      <w:pPr>
        <w:autoSpaceDE w:val="0"/>
        <w:autoSpaceDN w:val="0"/>
        <w:adjustRightInd w:val="0"/>
        <w:ind w:left="1440" w:hanging="720"/>
        <w:rPr>
          <w:rFonts w:cs="Times New Roman"/>
          <w:szCs w:val="24"/>
        </w:rPr>
      </w:pPr>
    </w:p>
    <w:p w14:paraId="4CD1068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09F5574C" w14:textId="77777777" w:rsidR="006A4CD7" w:rsidRPr="006A4CD7" w:rsidRDefault="006A4CD7" w:rsidP="005E6F8C">
      <w:pPr>
        <w:autoSpaceDE w:val="0"/>
        <w:autoSpaceDN w:val="0"/>
        <w:adjustRightInd w:val="0"/>
        <w:ind w:left="1440" w:hanging="720"/>
        <w:rPr>
          <w:rFonts w:cs="Times New Roman"/>
          <w:szCs w:val="24"/>
        </w:rPr>
      </w:pPr>
    </w:p>
    <w:p w14:paraId="2422C3B2"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 [act[s]] [failure to act] of [</w:t>
      </w:r>
      <w:r w:rsidRPr="006A4CD7">
        <w:rPr>
          <w:rFonts w:cs="Times New Roman"/>
          <w:i/>
          <w:iCs/>
          <w:szCs w:val="24"/>
          <w:u w:val="single"/>
        </w:rPr>
        <w:t>name of defendant’s employee</w:t>
      </w:r>
      <w:r w:rsidRPr="006A4CD7">
        <w:rPr>
          <w:rFonts w:cs="Times New Roman"/>
          <w:szCs w:val="24"/>
        </w:rPr>
        <w:t>]; and</w:t>
      </w:r>
    </w:p>
    <w:p w14:paraId="64BA4945" w14:textId="77777777" w:rsidR="006A4CD7" w:rsidRPr="006A4CD7" w:rsidRDefault="006A4CD7" w:rsidP="005E6F8C">
      <w:pPr>
        <w:autoSpaceDE w:val="0"/>
        <w:autoSpaceDN w:val="0"/>
        <w:adjustRightInd w:val="0"/>
        <w:ind w:left="1440" w:hanging="720"/>
        <w:rPr>
          <w:rFonts w:cs="Times New Roman"/>
          <w:szCs w:val="24"/>
        </w:rPr>
      </w:pPr>
    </w:p>
    <w:p w14:paraId="5999D274" w14:textId="77777777" w:rsidR="006A4CD7" w:rsidRPr="006A4CD7" w:rsidRDefault="006A4CD7" w:rsidP="005E6F8C">
      <w:pPr>
        <w:autoSpaceDE w:val="0"/>
        <w:autoSpaceDN w:val="0"/>
        <w:adjustRightInd w:val="0"/>
        <w:ind w:left="1440" w:hanging="720"/>
        <w:rPr>
          <w:rFonts w:cs="Times New Roman"/>
          <w:b/>
          <w:bCs/>
          <w:szCs w:val="24"/>
        </w:rPr>
      </w:pPr>
      <w:r w:rsidRPr="006A4CD7">
        <w:rPr>
          <w:rFonts w:cs="Times New Roman"/>
          <w:szCs w:val="24"/>
        </w:rPr>
        <w:t>5.</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ratified [</w:t>
      </w:r>
      <w:r w:rsidRPr="006A4CD7">
        <w:rPr>
          <w:rFonts w:cs="Times New Roman"/>
          <w:i/>
          <w:iCs/>
          <w:szCs w:val="24"/>
          <w:u w:val="single"/>
        </w:rPr>
        <w:t>name of defendant’s employee</w:t>
      </w:r>
      <w:r w:rsidRPr="006A4CD7">
        <w:rPr>
          <w:rFonts w:cs="Times New Roman"/>
          <w:szCs w:val="24"/>
        </w:rPr>
        <w:t>]’s [act[s] [failure to act], that is, [</w:t>
      </w:r>
      <w:r w:rsidRPr="006A4CD7">
        <w:rPr>
          <w:rFonts w:cs="Times New Roman"/>
          <w:i/>
          <w:iCs/>
          <w:szCs w:val="24"/>
          <w:u w:val="single"/>
        </w:rPr>
        <w:t>name of alleged final policymaker</w:t>
      </w:r>
      <w:r w:rsidRPr="006A4CD7">
        <w:rPr>
          <w:rFonts w:cs="Times New Roman"/>
          <w:szCs w:val="24"/>
        </w:rPr>
        <w:t>] knew of and specifically made a deliberate choice to approve [</w:t>
      </w:r>
      <w:r w:rsidRPr="006A4CD7">
        <w:rPr>
          <w:rFonts w:cs="Times New Roman"/>
          <w:i/>
          <w:iCs/>
          <w:szCs w:val="24"/>
          <w:u w:val="single"/>
        </w:rPr>
        <w:t>name of defendant’s employee</w:t>
      </w:r>
      <w:r w:rsidRPr="006A4CD7">
        <w:rPr>
          <w:rFonts w:cs="Times New Roman"/>
          <w:szCs w:val="24"/>
        </w:rPr>
        <w:t>]’s [act[s]] [failure to act] and the basis for it.</w:t>
      </w:r>
    </w:p>
    <w:p w14:paraId="7D2B85AD" w14:textId="77777777" w:rsidR="006A4CD7" w:rsidRPr="006A4CD7" w:rsidRDefault="006A4CD7" w:rsidP="0060759C">
      <w:pPr>
        <w:autoSpaceDE w:val="0"/>
        <w:autoSpaceDN w:val="0"/>
        <w:adjustRightInd w:val="0"/>
        <w:rPr>
          <w:rFonts w:cs="Times New Roman"/>
          <w:b/>
          <w:bCs/>
          <w:szCs w:val="24"/>
        </w:rPr>
      </w:pPr>
    </w:p>
    <w:p w14:paraId="09B44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63166689" w14:textId="77777777" w:rsidR="006A4CD7" w:rsidRPr="006A4CD7" w:rsidRDefault="006A4CD7" w:rsidP="0060759C">
      <w:pPr>
        <w:autoSpaceDE w:val="0"/>
        <w:autoSpaceDN w:val="0"/>
        <w:adjustRightInd w:val="0"/>
        <w:rPr>
          <w:rFonts w:cs="Times New Roman"/>
          <w:szCs w:val="24"/>
        </w:rPr>
      </w:pPr>
    </w:p>
    <w:p w14:paraId="6D68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fourth element requires no proof. </w:t>
      </w:r>
    </w:p>
    <w:p w14:paraId="5AAE23EB" w14:textId="77777777" w:rsidR="006A4CD7" w:rsidRPr="006A4CD7" w:rsidRDefault="006A4CD7" w:rsidP="0060759C">
      <w:pPr>
        <w:autoSpaceDE w:val="0"/>
        <w:autoSpaceDN w:val="0"/>
        <w:adjustRightInd w:val="0"/>
        <w:rPr>
          <w:rFonts w:cs="Times New Roman"/>
          <w:szCs w:val="24"/>
        </w:rPr>
      </w:pPr>
    </w:p>
    <w:p w14:paraId="65A4E7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02479BC1" w14:textId="77777777" w:rsidR="006A4CD7" w:rsidRPr="006A4CD7" w:rsidRDefault="006A4CD7" w:rsidP="0060759C">
      <w:pPr>
        <w:autoSpaceDE w:val="0"/>
        <w:autoSpaceDN w:val="0"/>
        <w:adjustRightInd w:val="0"/>
        <w:rPr>
          <w:rFonts w:cs="Times New Roman"/>
          <w:szCs w:val="24"/>
        </w:rPr>
      </w:pPr>
    </w:p>
    <w:p w14:paraId="102EDC0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BB089A" w14:textId="77777777" w:rsidR="006A4CD7" w:rsidRPr="006A4CD7" w:rsidRDefault="006A4CD7" w:rsidP="0060759C">
      <w:pPr>
        <w:autoSpaceDE w:val="0"/>
        <w:autoSpaceDN w:val="0"/>
        <w:adjustRightInd w:val="0"/>
        <w:rPr>
          <w:rFonts w:cs="Times New Roman"/>
          <w:szCs w:val="24"/>
        </w:rPr>
      </w:pPr>
    </w:p>
    <w:p w14:paraId="5245DE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5D77A28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lastRenderedPageBreak/>
        <w:tab/>
        <w:t xml:space="preserve">In addition, use this instruction only when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 xml:space="preserve">liability is based on ratification by a final policymaker.  For other bases of </w:t>
      </w:r>
      <w:proofErr w:type="spellStart"/>
      <w:r w:rsidRPr="006A4CD7">
        <w:rPr>
          <w:rFonts w:cs="Times New Roman"/>
          <w:i/>
          <w:iCs/>
          <w:szCs w:val="24"/>
        </w:rPr>
        <w:t>Monell</w:t>
      </w:r>
      <w:proofErr w:type="spellEnd"/>
      <w:r w:rsidRPr="006A4CD7">
        <w:rPr>
          <w:rFonts w:cs="Times New Roman"/>
          <w:i/>
          <w:iCs/>
          <w:szCs w:val="24"/>
        </w:rPr>
        <w:t xml:space="preserve">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51A431E6" w14:textId="77777777" w:rsidR="006A4CD7" w:rsidRPr="006A4CD7" w:rsidRDefault="006A4CD7" w:rsidP="000C5EAE"/>
    <w:p w14:paraId="231B1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lies when “action pursuant to official municipal policy of some nature caused a constitutional tort,” and not on the basis of </w:t>
      </w:r>
      <w:proofErr w:type="spellStart"/>
      <w:r w:rsidRPr="006A4CD7">
        <w:rPr>
          <w:rFonts w:cs="Times New Roman"/>
          <w:i/>
          <w:iCs/>
          <w:szCs w:val="24"/>
        </w:rPr>
        <w:t>respondeat</w:t>
      </w:r>
      <w:proofErr w:type="spellEnd"/>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proofErr w:type="spellStart"/>
      <w:r w:rsidRPr="006A4CD7">
        <w:rPr>
          <w:rFonts w:cs="Times New Roman"/>
          <w:i/>
          <w:iCs/>
          <w:szCs w:val="24"/>
        </w:rPr>
        <w:t>Monell</w:t>
      </w:r>
      <w:proofErr w:type="spellEnd"/>
      <w:r w:rsidRPr="006A4CD7">
        <w:rPr>
          <w:rFonts w:cs="Times New Roman"/>
          <w:i/>
          <w:iCs/>
          <w:szCs w:val="24"/>
        </w:rPr>
        <w:t xml:space="preserve"> v. </w:t>
      </w:r>
      <w:proofErr w:type="spellStart"/>
      <w:r w:rsidRPr="006A4CD7">
        <w:rPr>
          <w:rFonts w:cs="Times New Roman"/>
          <w:i/>
          <w:iCs/>
          <w:szCs w:val="24"/>
        </w:rPr>
        <w:t>Dep’t</w:t>
      </w:r>
      <w:proofErr w:type="spellEnd"/>
      <w:r w:rsidRPr="006A4CD7">
        <w:rPr>
          <w:rFonts w:cs="Times New Roman"/>
          <w:i/>
          <w:iCs/>
          <w:szCs w:val="24"/>
        </w:rPr>
        <w:t xml:space="preserve"> of Soc. Servs. of N.Y.</w:t>
      </w:r>
      <w:r w:rsidRPr="006A4CD7">
        <w:rPr>
          <w:rFonts w:cs="Times New Roman"/>
          <w:szCs w:val="24"/>
        </w:rPr>
        <w:t xml:space="preserve">, 436 U.S. 658, 691 (1978).  The concept of ratification often causes confusion in light of the causation requirement; because ratification occurs after an allegedly wrongful act, it cannot have caused that underlying act.  Nevertheless, in </w:t>
      </w:r>
      <w:r w:rsidRPr="006A4CD7">
        <w:rPr>
          <w:rFonts w:cs="Times New Roman"/>
          <w:i/>
          <w:iCs/>
          <w:szCs w:val="24"/>
        </w:rPr>
        <w:t xml:space="preserve">City of St. Louis v. </w:t>
      </w:r>
      <w:proofErr w:type="spellStart"/>
      <w:r w:rsidRPr="006A4CD7">
        <w:rPr>
          <w:rFonts w:cs="Times New Roman"/>
          <w:i/>
          <w:iCs/>
          <w:szCs w:val="24"/>
        </w:rPr>
        <w:t>Praprotnik</w:t>
      </w:r>
      <w:proofErr w:type="spellEnd"/>
      <w:r w:rsidRPr="006A4CD7">
        <w:rPr>
          <w:rFonts w:cs="Times New Roman"/>
          <w:szCs w:val="24"/>
        </w:rPr>
        <w:t xml:space="preserve">, 485 U.S. 112, 127 (1988), a plurality of the Supreme Court recognized the relevance of ratification to what may be chargeable to a municipality in the §1983 context: </w:t>
      </w:r>
    </w:p>
    <w:p w14:paraId="617E24F7" w14:textId="77777777" w:rsidR="006A4CD7" w:rsidRPr="006A4CD7" w:rsidRDefault="006A4CD7" w:rsidP="0060759C">
      <w:pPr>
        <w:autoSpaceDE w:val="0"/>
        <w:autoSpaceDN w:val="0"/>
        <w:adjustRightInd w:val="0"/>
        <w:rPr>
          <w:rFonts w:cs="Times New Roman"/>
          <w:szCs w:val="24"/>
        </w:rPr>
      </w:pPr>
    </w:p>
    <w:p w14:paraId="3F5D1024"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When an official’s discretionary decisions are constrained by policies not of that official’s making, those policies, rather than the subordinate’s departures from them, are the act of the municipality.  Similarly, when a subordinate’s decision is subject to review by the municipality’s authorized policymakers, they have retained the authority to measure the official’s conduct for conformance with their policies.  If the authorized policymakers approve a subordinate’s decision and the basis for it, their ratification would be chargeable to the municipality because their decision is final.</w:t>
      </w:r>
    </w:p>
    <w:p w14:paraId="70410AF1" w14:textId="77777777" w:rsidR="006A4CD7" w:rsidRPr="006A4CD7" w:rsidRDefault="006A4CD7" w:rsidP="0060759C">
      <w:pPr>
        <w:autoSpaceDE w:val="0"/>
        <w:autoSpaceDN w:val="0"/>
        <w:adjustRightInd w:val="0"/>
        <w:rPr>
          <w:rFonts w:cs="Times New Roman"/>
          <w:szCs w:val="24"/>
        </w:rPr>
      </w:pPr>
    </w:p>
    <w:p w14:paraId="0A4DC5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Understanding ratification liability is complicated by the frequent reference to ratification</w:t>
      </w:r>
    </w:p>
    <w:p w14:paraId="64ADD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discussions that actually concern the use of a policymaker’s after-the-fact conduct as evidence</w:t>
      </w:r>
    </w:p>
    <w:p w14:paraId="7C0163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of a pre-existing custom or policy. While such evidentiary use of after-the-fact conduct may be</w:t>
      </w:r>
    </w:p>
    <w:p w14:paraId="5C4BDC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useful in establishing municipal liability based on a custom or policy, that use does not suffice to</w:t>
      </w:r>
    </w:p>
    <w:p w14:paraId="6565CE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show ratification. Establishing ratification requires proof of the affirmance of a prior act.</w:t>
      </w:r>
    </w:p>
    <w:p w14:paraId="0DBB5C40" w14:textId="77777777" w:rsidR="006A4CD7" w:rsidRPr="006A4CD7" w:rsidRDefault="006A4CD7" w:rsidP="0060759C">
      <w:pPr>
        <w:autoSpaceDE w:val="0"/>
        <w:autoSpaceDN w:val="0"/>
        <w:adjustRightInd w:val="0"/>
        <w:rPr>
          <w:rFonts w:cs="Times New Roman"/>
          <w:szCs w:val="24"/>
        </w:rPr>
      </w:pPr>
    </w:p>
    <w:p w14:paraId="67CEC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how courts sometimes merge evidentiary use with true ratification,</w:t>
      </w:r>
    </w:p>
    <w:p w14:paraId="0363EB4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 xml:space="preserve">see </w:t>
      </w:r>
      <w:r w:rsidRPr="006A4CD7">
        <w:rPr>
          <w:rFonts w:cs="Times New Roman"/>
          <w:szCs w:val="24"/>
        </w:rPr>
        <w:t xml:space="preserve">George M. Weaver, </w:t>
      </w:r>
      <w:r w:rsidRPr="006A4CD7">
        <w:rPr>
          <w:rFonts w:cs="Times New Roman"/>
          <w:i/>
          <w:iCs/>
          <w:szCs w:val="24"/>
        </w:rPr>
        <w:t>Ratification as an Exception to the § 1983 Causation Requirement:</w:t>
      </w:r>
    </w:p>
    <w:p w14:paraId="2B4654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Plaintiff’s Opportunity or Illusion?</w:t>
      </w:r>
      <w:r w:rsidRPr="006A4CD7">
        <w:rPr>
          <w:rFonts w:cs="Times New Roman"/>
          <w:szCs w:val="24"/>
        </w:rPr>
        <w:t>, 89 Neb. L. Rev. 358 (2010).  By way of example, Weaver</w:t>
      </w:r>
    </w:p>
    <w:p w14:paraId="4425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points to </w:t>
      </w:r>
      <w:proofErr w:type="spellStart"/>
      <w:r w:rsidRPr="006A4CD7">
        <w:rPr>
          <w:rFonts w:cs="Times New Roman"/>
          <w:i/>
          <w:iCs/>
          <w:szCs w:val="24"/>
        </w:rPr>
        <w:t>Larez</w:t>
      </w:r>
      <w:proofErr w:type="spellEnd"/>
      <w:r w:rsidRPr="006A4CD7">
        <w:rPr>
          <w:rFonts w:cs="Times New Roman"/>
          <w:i/>
          <w:iCs/>
          <w:szCs w:val="24"/>
        </w:rPr>
        <w:t xml:space="preserve"> v. City of Los Angeles</w:t>
      </w:r>
      <w:r w:rsidRPr="006A4CD7">
        <w:rPr>
          <w:rFonts w:cs="Times New Roman"/>
          <w:szCs w:val="24"/>
        </w:rPr>
        <w:t>, 949 F.2d 630, 645 (9th Cir. 1991) (noting that, because statements by police chief made after subordinates were accused of using excessive force might “shed light on the operation, custom, or policy of his department, or on his ratification or condonation of the injurious acts,” those statements, “if admitted upon retrial, may, of course, be used as evidence on the issue of his liability and that of the City”).</w:t>
      </w:r>
    </w:p>
    <w:p w14:paraId="62863321" w14:textId="77777777" w:rsidR="006A4CD7" w:rsidRPr="006A4CD7" w:rsidRDefault="006A4CD7" w:rsidP="0060759C">
      <w:pPr>
        <w:autoSpaceDE w:val="0"/>
        <w:autoSpaceDN w:val="0"/>
        <w:adjustRightInd w:val="0"/>
        <w:rPr>
          <w:rFonts w:cs="Times New Roman"/>
          <w:szCs w:val="24"/>
        </w:rPr>
      </w:pPr>
    </w:p>
    <w:p w14:paraId="51645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states that ratification liability may attach when a final policymaker ratifies a subordinate’s unconstitutional action and the basis for it.  </w:t>
      </w:r>
      <w:r w:rsidRPr="006A4CD7">
        <w:rPr>
          <w:rFonts w:cs="Times New Roman"/>
          <w:i/>
          <w:iCs/>
          <w:szCs w:val="24"/>
        </w:rPr>
        <w:t>Christie</w:t>
      </w:r>
      <w:r w:rsidRPr="006A4CD7">
        <w:rPr>
          <w:rFonts w:cs="Times New Roman"/>
          <w:szCs w:val="24"/>
        </w:rPr>
        <w:t xml:space="preserve"> </w:t>
      </w:r>
      <w:r w:rsidRPr="006A4CD7">
        <w:rPr>
          <w:rFonts w:cs="Times New Roman"/>
          <w:i/>
          <w:iCs/>
          <w:szCs w:val="24"/>
        </w:rPr>
        <w:t xml:space="preserve">v. </w:t>
      </w:r>
      <w:proofErr w:type="spellStart"/>
      <w:r w:rsidRPr="006A4CD7">
        <w:rPr>
          <w:rFonts w:cs="Times New Roman"/>
          <w:i/>
          <w:iCs/>
          <w:szCs w:val="24"/>
        </w:rPr>
        <w:t>Iopa</w:t>
      </w:r>
      <w:proofErr w:type="spellEnd"/>
      <w:r w:rsidRPr="006A4CD7">
        <w:rPr>
          <w:rFonts w:cs="Times New Roman"/>
          <w:i/>
          <w:iCs/>
          <w:szCs w:val="24"/>
        </w:rPr>
        <w:t>,</w:t>
      </w:r>
      <w:r w:rsidRPr="006A4CD7">
        <w:rPr>
          <w:rFonts w:cs="Times New Roman"/>
          <w:szCs w:val="24"/>
        </w:rPr>
        <w:t xml:space="preserve"> 176 F.3d 1231, 1239 (9th Cir. 1999) (citing </w:t>
      </w:r>
      <w:proofErr w:type="spellStart"/>
      <w:r w:rsidRPr="006A4CD7">
        <w:rPr>
          <w:rFonts w:cs="Times New Roman"/>
          <w:i/>
          <w:iCs/>
          <w:szCs w:val="24"/>
        </w:rPr>
        <w:t>Praprotnik</w:t>
      </w:r>
      <w:proofErr w:type="spellEnd"/>
      <w:r w:rsidRPr="006A4CD7">
        <w:rPr>
          <w:rFonts w:cs="Times New Roman"/>
          <w:szCs w:val="24"/>
        </w:rPr>
        <w:t xml:space="preserve">, 485 U.S. at 127).  This occurs when the official policymaker involved has adopted and expressly approved of the acts of others who caused the constitutional violation.  </w:t>
      </w:r>
      <w:r w:rsidRPr="006A4CD7">
        <w:rPr>
          <w:rFonts w:cs="Times New Roman"/>
          <w:i/>
          <w:iCs/>
          <w:szCs w:val="24"/>
        </w:rPr>
        <w:t>Trevino v. Gates</w:t>
      </w:r>
      <w:r w:rsidRPr="006A4CD7">
        <w:rPr>
          <w:rFonts w:cs="Times New Roman"/>
          <w:szCs w:val="24"/>
        </w:rPr>
        <w:t xml:space="preserve">, 99 F.3d 911, 920 (9th Cir. 1996). There must be </w:t>
      </w:r>
      <w:r w:rsidRPr="006A4CD7">
        <w:rPr>
          <w:rFonts w:cs="Times New Roman"/>
          <w:szCs w:val="24"/>
        </w:rPr>
        <w:lastRenderedPageBreak/>
        <w:t xml:space="preserve">evidence that the policymaker “made a deliberate choice to endorse” the subordinate employee’s actions.  </w:t>
      </w:r>
      <w:r w:rsidRPr="006A4CD7">
        <w:rPr>
          <w:rFonts w:cs="Times New Roman"/>
          <w:i/>
          <w:iCs/>
          <w:szCs w:val="24"/>
        </w:rPr>
        <w:t xml:space="preserve">Gillette v. </w:t>
      </w:r>
      <w:proofErr w:type="spellStart"/>
      <w:r w:rsidRPr="006A4CD7">
        <w:rPr>
          <w:rFonts w:cs="Times New Roman"/>
          <w:i/>
          <w:iCs/>
          <w:szCs w:val="24"/>
        </w:rPr>
        <w:t>Delmore</w:t>
      </w:r>
      <w:proofErr w:type="spellEnd"/>
      <w:r w:rsidRPr="006A4CD7">
        <w:rPr>
          <w:rFonts w:cs="Times New Roman"/>
          <w:szCs w:val="24"/>
        </w:rPr>
        <w:t>, 979 F.2d 1342, 1348 (9th Cir. 1992).</w:t>
      </w:r>
    </w:p>
    <w:p w14:paraId="12A4AB5A" w14:textId="77777777" w:rsidR="006A4CD7" w:rsidRPr="006A4CD7" w:rsidRDefault="006A4CD7" w:rsidP="0060759C">
      <w:pPr>
        <w:autoSpaceDE w:val="0"/>
        <w:autoSpaceDN w:val="0"/>
        <w:adjustRightInd w:val="0"/>
        <w:rPr>
          <w:rFonts w:cs="Times New Roman"/>
          <w:szCs w:val="24"/>
        </w:rPr>
      </w:pPr>
    </w:p>
    <w:p w14:paraId="524E59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Ratification generally requires more than acquiescence.  </w:t>
      </w:r>
      <w:r w:rsidRPr="006A4CD7">
        <w:rPr>
          <w:rFonts w:cs="Times New Roman"/>
          <w:i/>
          <w:iCs/>
          <w:szCs w:val="24"/>
        </w:rPr>
        <w:t>Sheehan v. City &amp; County of San Francisco</w:t>
      </w:r>
      <w:r w:rsidRPr="006A4CD7">
        <w:rPr>
          <w:rFonts w:cs="Times New Roman"/>
          <w:szCs w:val="24"/>
        </w:rPr>
        <w:t xml:space="preserve">, 741 F.3d 1211, 1231 (9th Cir. 2014), </w:t>
      </w:r>
      <w:proofErr w:type="spellStart"/>
      <w:r w:rsidRPr="006A4CD7">
        <w:rPr>
          <w:rFonts w:cs="Times New Roman"/>
          <w:i/>
          <w:iCs/>
          <w:szCs w:val="24"/>
        </w:rPr>
        <w:t>rev’d</w:t>
      </w:r>
      <w:proofErr w:type="spellEnd"/>
      <w:r w:rsidRPr="006A4CD7">
        <w:rPr>
          <w:rFonts w:cs="Times New Roman"/>
          <w:i/>
          <w:iCs/>
          <w:szCs w:val="24"/>
        </w:rPr>
        <w:t xml:space="preserve"> on other grounds</w:t>
      </w:r>
      <w:r w:rsidRPr="006A4CD7">
        <w:rPr>
          <w:rFonts w:cs="Times New Roman"/>
          <w:szCs w:val="24"/>
        </w:rPr>
        <w:t xml:space="preserve">, 135 S. Ct. 1765 (2015).  A mere failure to overrule a subordinate’s actions, without more, is insufficient to support a § 1983 ratification claim.  </w:t>
      </w:r>
      <w:r w:rsidRPr="006A4CD7">
        <w:rPr>
          <w:rFonts w:cs="Times New Roman"/>
          <w:i/>
          <w:iCs/>
          <w:szCs w:val="24"/>
        </w:rPr>
        <w:t>Christie</w:t>
      </w:r>
      <w:r w:rsidRPr="006A4CD7">
        <w:rPr>
          <w:rFonts w:cs="Times New Roman"/>
          <w:szCs w:val="24"/>
        </w:rPr>
        <w:t xml:space="preserve">, 176 F.3d at 1239; </w:t>
      </w:r>
      <w:r w:rsidRPr="006A4CD7">
        <w:rPr>
          <w:rFonts w:cs="Times New Roman"/>
          <w:i/>
          <w:iCs/>
          <w:szCs w:val="24"/>
        </w:rPr>
        <w:t xml:space="preserve">see also </w:t>
      </w:r>
      <w:proofErr w:type="spellStart"/>
      <w:r w:rsidRPr="006A4CD7">
        <w:rPr>
          <w:rFonts w:cs="Times New Roman"/>
          <w:i/>
          <w:iCs/>
          <w:szCs w:val="24"/>
        </w:rPr>
        <w:t>Clouthier</w:t>
      </w:r>
      <w:proofErr w:type="spellEnd"/>
      <w:r w:rsidRPr="006A4CD7">
        <w:rPr>
          <w:rFonts w:cs="Times New Roman"/>
          <w:i/>
          <w:iCs/>
          <w:szCs w:val="24"/>
        </w:rPr>
        <w:t xml:space="preserve"> v. County of Contra Costa,</w:t>
      </w:r>
      <w:r w:rsidRPr="006A4CD7">
        <w:rPr>
          <w:rFonts w:cs="Times New Roman"/>
          <w:szCs w:val="24"/>
        </w:rPr>
        <w:t xml:space="preserve"> 591 F.3d 1232, 1253-54 (9th Cir. 2010) (holding that failure to discipline employees, without more, was insufficient to establish ratification) (overruled on other grounds in </w:t>
      </w:r>
      <w:r w:rsidRPr="006A4CD7">
        <w:rPr>
          <w:rFonts w:cs="Times New Roman"/>
          <w:i/>
          <w:iCs/>
          <w:szCs w:val="24"/>
        </w:rPr>
        <w:t>Castro v. County of Los Angeles</w:t>
      </w:r>
      <w:r w:rsidRPr="006A4CD7">
        <w:rPr>
          <w:rFonts w:cs="Times New Roman"/>
          <w:szCs w:val="24"/>
        </w:rPr>
        <w:t>, 833 F.3d 1060, 1070 (9th Cir. 2016) (</w:t>
      </w:r>
      <w:proofErr w:type="spellStart"/>
      <w:r w:rsidRPr="006A4CD7">
        <w:rPr>
          <w:rFonts w:cs="Times New Roman"/>
          <w:szCs w:val="24"/>
        </w:rPr>
        <w:t>en</w:t>
      </w:r>
      <w:proofErr w:type="spellEnd"/>
      <w:r w:rsidRPr="006A4CD7">
        <w:rPr>
          <w:rFonts w:cs="Times New Roman"/>
          <w:szCs w:val="24"/>
        </w:rPr>
        <w:t xml:space="preserve"> banc) (“We therefore overrule </w:t>
      </w:r>
      <w:proofErr w:type="spellStart"/>
      <w:r w:rsidRPr="006A4CD7">
        <w:rPr>
          <w:rFonts w:cs="Times New Roman"/>
          <w:i/>
          <w:iCs/>
          <w:szCs w:val="24"/>
        </w:rPr>
        <w:t>Clouthier</w:t>
      </w:r>
      <w:proofErr w:type="spellEnd"/>
      <w:r w:rsidRPr="006A4CD7">
        <w:rPr>
          <w:rFonts w:cs="Times New Roman"/>
          <w:i/>
          <w:iCs/>
          <w:szCs w:val="24"/>
        </w:rPr>
        <w:t xml:space="preserve"> </w:t>
      </w:r>
      <w:r w:rsidRPr="006A4CD7">
        <w:rPr>
          <w:rFonts w:cs="Times New Roman"/>
          <w:szCs w:val="24"/>
        </w:rPr>
        <w:t xml:space="preserve">to the extent that it identified a single deliberate indifference standard for all § 1983 claims and to the extent that it required a plaintiff to prove an individual defendant’s subjective intent to punish in the context of a pretrial detainee’s failure-to-protect claim.”)); </w:t>
      </w:r>
      <w:r w:rsidRPr="006A4CD7">
        <w:rPr>
          <w:rFonts w:cs="Times New Roman"/>
          <w:i/>
          <w:iCs/>
          <w:szCs w:val="24"/>
        </w:rPr>
        <w:t>Lassiter v. City of Bremerton</w:t>
      </w:r>
      <w:r w:rsidRPr="006A4CD7">
        <w:rPr>
          <w:rFonts w:cs="Times New Roman"/>
          <w:szCs w:val="24"/>
        </w:rPr>
        <w:t xml:space="preserve">, 556 F.3d 1049, 1055 (9th Cir. 2009) (“A single decision by a municipal policymaker ‘may be sufficient to trigger Section 1983 liability under </w:t>
      </w:r>
      <w:proofErr w:type="spellStart"/>
      <w:r w:rsidRPr="006A4CD7">
        <w:rPr>
          <w:rFonts w:cs="Times New Roman"/>
          <w:i/>
          <w:iCs/>
          <w:szCs w:val="24"/>
        </w:rPr>
        <w:t>Monell</w:t>
      </w:r>
      <w:proofErr w:type="spellEnd"/>
      <w:r w:rsidRPr="006A4CD7">
        <w:rPr>
          <w:rFonts w:cs="Times New Roman"/>
          <w:szCs w:val="24"/>
        </w:rPr>
        <w:t>, even though the decision is not intended to govern future situations,’ but the plaintiff must show that the triggering decision was the product of a ‘conscious, affirmative choice’ to ratify the conduct in question.”) (citation omitted);</w:t>
      </w:r>
      <w:r w:rsidRPr="006A4CD7">
        <w:rPr>
          <w:rFonts w:cs="Times New Roman"/>
          <w:i/>
          <w:iCs/>
          <w:szCs w:val="24"/>
        </w:rPr>
        <w:t xml:space="preserve"> Lytle v. Carl</w:t>
      </w:r>
      <w:r w:rsidRPr="006A4CD7">
        <w:rPr>
          <w:rFonts w:cs="Times New Roman"/>
          <w:szCs w:val="24"/>
        </w:rPr>
        <w:t>, 382 F.3d 978, 987-88 (9th Cir. 2004) (“[R]</w:t>
      </w:r>
      <w:proofErr w:type="spellStart"/>
      <w:r w:rsidRPr="006A4CD7">
        <w:rPr>
          <w:rFonts w:cs="Times New Roman"/>
          <w:szCs w:val="24"/>
        </w:rPr>
        <w:t>atification</w:t>
      </w:r>
      <w:proofErr w:type="spellEnd"/>
      <w:r w:rsidRPr="006A4CD7">
        <w:rPr>
          <w:rFonts w:cs="Times New Roman"/>
          <w:szCs w:val="24"/>
        </w:rPr>
        <w:t xml:space="preserve"> requires both knowledge of the alleged constitutional violation, and proof that the policymaker specifically approved of the subordinate’s act.”).</w:t>
      </w:r>
    </w:p>
    <w:p w14:paraId="22C42B33" w14:textId="77777777" w:rsidR="006A4CD7" w:rsidRPr="006A4CD7" w:rsidRDefault="006A4CD7" w:rsidP="0060759C">
      <w:pPr>
        <w:autoSpaceDE w:val="0"/>
        <w:autoSpaceDN w:val="0"/>
        <w:adjustRightInd w:val="0"/>
        <w:rPr>
          <w:rFonts w:cs="Times New Roman"/>
          <w:szCs w:val="24"/>
        </w:rPr>
      </w:pPr>
    </w:p>
    <w:p w14:paraId="5ABA09A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court must determine as a matter of state law whether certain employees or officials have the power to make official or final policy on a particular issue or subject area.  </w:t>
      </w:r>
      <w:r w:rsidRPr="006A4CD7">
        <w:rPr>
          <w:rFonts w:cs="Times New Roman"/>
          <w:i/>
          <w:iCs/>
          <w:szCs w:val="24"/>
        </w:rPr>
        <w:t>Jett</w:t>
      </w:r>
      <w:r w:rsidRPr="006A4CD7">
        <w:rPr>
          <w:rFonts w:cs="Times New Roman"/>
          <w:szCs w:val="24"/>
        </w:rPr>
        <w:t xml:space="preserve"> </w:t>
      </w:r>
      <w:r w:rsidRPr="006A4CD7">
        <w:rPr>
          <w:rFonts w:cs="Times New Roman"/>
          <w:i/>
          <w:iCs/>
          <w:szCs w:val="24"/>
        </w:rPr>
        <w:t xml:space="preserve">v. Dallas </w:t>
      </w:r>
      <w:proofErr w:type="spellStart"/>
      <w:r w:rsidRPr="006A4CD7">
        <w:rPr>
          <w:rFonts w:cs="Times New Roman"/>
          <w:i/>
          <w:iCs/>
          <w:szCs w:val="24"/>
        </w:rPr>
        <w:t>Indep</w:t>
      </w:r>
      <w:proofErr w:type="spellEnd"/>
      <w:r w:rsidRPr="006A4CD7">
        <w:rPr>
          <w:rFonts w:cs="Times New Roman"/>
          <w:i/>
          <w:iCs/>
          <w:szCs w:val="24"/>
        </w:rPr>
        <w:t>. Sch. Dist</w:t>
      </w:r>
      <w:r w:rsidRPr="006A4CD7">
        <w:rPr>
          <w:rFonts w:cs="Times New Roman"/>
          <w:szCs w:val="24"/>
        </w:rPr>
        <w:t xml:space="preserve">., 491 U.S. 701, 737-38 (1989);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Lytle, </w:t>
      </w:r>
      <w:r w:rsidRPr="006A4CD7">
        <w:rPr>
          <w:rFonts w:cs="Times New Roman"/>
          <w:szCs w:val="24"/>
        </w:rPr>
        <w:t xml:space="preserve">382 F.3d at 983 (“For a person to be a final policymaker, he or she must be in a position of authority such that a final decision by that person may appropriately be attributed to the [defendant public body].”).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4A88345B" w14:textId="18E71C2C" w:rsidR="00492076" w:rsidRDefault="006A4CD7" w:rsidP="00352D49">
      <w:pPr>
        <w:pStyle w:val="Heading2"/>
      </w:pPr>
      <w:r w:rsidRPr="006A4CD7">
        <w:br w:type="page"/>
      </w:r>
      <w:bookmarkStart w:id="127" w:name="_Toc117512421"/>
      <w:r w:rsidRPr="006A4CD7">
        <w:lastRenderedPageBreak/>
        <w:t>9.8 S</w:t>
      </w:r>
      <w:r w:rsidR="00D855FC">
        <w:t>ection</w:t>
      </w:r>
      <w:r w:rsidRPr="006A4CD7">
        <w:t xml:space="preserve"> 1983 C</w:t>
      </w:r>
      <w:r w:rsidR="00D855FC">
        <w:t>laim</w:t>
      </w:r>
      <w:r w:rsidRPr="006A4CD7">
        <w:t xml:space="preserve"> A</w:t>
      </w:r>
      <w:r w:rsidR="00D855FC">
        <w:t>gainst</w:t>
      </w:r>
      <w:r w:rsidRPr="006A4CD7">
        <w:t xml:space="preserve"> L</w:t>
      </w:r>
      <w:r w:rsidR="00D855FC">
        <w:t>ocal</w:t>
      </w:r>
      <w:r w:rsidRPr="006A4CD7">
        <w:t xml:space="preserve"> G</w:t>
      </w:r>
      <w:r w:rsidR="00D855FC">
        <w:t>overning</w:t>
      </w:r>
      <w:r w:rsidRPr="006A4CD7">
        <w:t xml:space="preserve"> B</w:t>
      </w:r>
      <w:r w:rsidR="00D855FC">
        <w:t>ody</w:t>
      </w:r>
      <w:r w:rsidRPr="006A4CD7">
        <w:t xml:space="preserve"> D</w:t>
      </w:r>
      <w:r w:rsidR="00D855FC">
        <w:t>efendants</w:t>
      </w:r>
      <w:r w:rsidRPr="006A4CD7">
        <w:t xml:space="preserve"> B</w:t>
      </w:r>
      <w:r w:rsidR="00D855FC">
        <w:t>ased</w:t>
      </w:r>
      <w:bookmarkEnd w:id="127"/>
      <w:r w:rsidRPr="006A4CD7">
        <w:t xml:space="preserve"> </w:t>
      </w:r>
    </w:p>
    <w:p w14:paraId="43C72F7E" w14:textId="231E4AAD" w:rsidR="00492076" w:rsidRDefault="00D855FC" w:rsidP="00352D49">
      <w:pPr>
        <w:pStyle w:val="Heading2"/>
      </w:pPr>
      <w:bookmarkStart w:id="128" w:name="_Toc117512422"/>
      <w:r>
        <w:t>on</w:t>
      </w:r>
      <w:r w:rsidR="006A4CD7" w:rsidRPr="006A4CD7">
        <w:t xml:space="preserve"> </w:t>
      </w:r>
      <w:r>
        <w:t>a</w:t>
      </w:r>
      <w:r w:rsidR="006A4CD7" w:rsidRPr="006A4CD7">
        <w:t xml:space="preserve"> P</w:t>
      </w:r>
      <w:r>
        <w:t xml:space="preserve">olicy </w:t>
      </w:r>
      <w:r w:rsidR="006A4CD7" w:rsidRPr="006A4CD7">
        <w:t>T</w:t>
      </w:r>
      <w:r>
        <w:t>hat</w:t>
      </w:r>
      <w:r w:rsidR="006A4CD7" w:rsidRPr="006A4CD7">
        <w:t xml:space="preserve"> F</w:t>
      </w:r>
      <w:r>
        <w:t>ails</w:t>
      </w:r>
      <w:r w:rsidR="006A4CD7" w:rsidRPr="006A4CD7">
        <w:t xml:space="preserve"> </w:t>
      </w:r>
      <w:r>
        <w:t>to</w:t>
      </w:r>
      <w:r w:rsidR="006A4CD7" w:rsidRPr="006A4CD7">
        <w:t xml:space="preserve"> P</w:t>
      </w:r>
      <w:r>
        <w:t>revent</w:t>
      </w:r>
      <w:r w:rsidR="006A4CD7" w:rsidRPr="006A4CD7">
        <w:t xml:space="preserve"> V</w:t>
      </w:r>
      <w:r>
        <w:t>iolations</w:t>
      </w:r>
      <w:r w:rsidR="006A4CD7" w:rsidRPr="006A4CD7">
        <w:t xml:space="preserve"> </w:t>
      </w:r>
      <w:r>
        <w:t>of</w:t>
      </w:r>
      <w:r w:rsidR="006A4CD7" w:rsidRPr="006A4CD7">
        <w:t xml:space="preserve"> L</w:t>
      </w:r>
      <w:r>
        <w:t>aw</w:t>
      </w:r>
      <w:r w:rsidR="006A4CD7" w:rsidRPr="006A4CD7">
        <w:t xml:space="preserve"> </w:t>
      </w:r>
      <w:r>
        <w:t>or</w:t>
      </w:r>
      <w:r w:rsidR="006A4CD7" w:rsidRPr="006A4CD7">
        <w:t xml:space="preserve"> </w:t>
      </w:r>
      <w:r>
        <w:t>a</w:t>
      </w:r>
      <w:r w:rsidR="006A4CD7" w:rsidRPr="006A4CD7">
        <w:t xml:space="preserve"> P</w:t>
      </w:r>
      <w:r>
        <w:t>olicy</w:t>
      </w:r>
      <w:bookmarkEnd w:id="128"/>
      <w:r w:rsidR="006A4CD7" w:rsidRPr="006A4CD7">
        <w:t xml:space="preserve"> </w:t>
      </w:r>
    </w:p>
    <w:p w14:paraId="3BD4D91C" w14:textId="73648A3E" w:rsidR="006A4CD7" w:rsidRPr="006A4CD7" w:rsidRDefault="00D855FC" w:rsidP="00352D49">
      <w:pPr>
        <w:pStyle w:val="Heading2"/>
      </w:pPr>
      <w:bookmarkStart w:id="129" w:name="_Toc117512423"/>
      <w:r>
        <w:t>of</w:t>
      </w:r>
      <w:r w:rsidR="006A4CD7" w:rsidRPr="006A4CD7">
        <w:t xml:space="preserve"> F</w:t>
      </w:r>
      <w:r>
        <w:t>ailure</w:t>
      </w:r>
      <w:r w:rsidR="006A4CD7" w:rsidRPr="006A4CD7">
        <w:t xml:space="preserve"> </w:t>
      </w:r>
      <w:r>
        <w:t>to</w:t>
      </w:r>
      <w:r w:rsidR="006A4CD7" w:rsidRPr="006A4CD7">
        <w:t xml:space="preserve"> T</w:t>
      </w:r>
      <w:r>
        <w:t>rain</w:t>
      </w:r>
      <w:r w:rsidR="006A4CD7" w:rsidRPr="006A4CD7">
        <w:t>—E</w:t>
      </w:r>
      <w:r>
        <w:t>lements</w:t>
      </w:r>
      <w:r w:rsidR="006A4CD7" w:rsidRPr="006A4CD7">
        <w:t xml:space="preserve"> </w:t>
      </w:r>
      <w:r>
        <w:t xml:space="preserve">and </w:t>
      </w:r>
      <w:r w:rsidR="006A4CD7" w:rsidRPr="006A4CD7">
        <w:t>B</w:t>
      </w:r>
      <w:r>
        <w:t>urden</w:t>
      </w:r>
      <w:r w:rsidR="006A4CD7" w:rsidRPr="006A4CD7">
        <w:t xml:space="preserve"> </w:t>
      </w:r>
      <w:r>
        <w:t xml:space="preserve">of </w:t>
      </w:r>
      <w:r w:rsidR="006A4CD7" w:rsidRPr="006A4CD7">
        <w:t>P</w:t>
      </w:r>
      <w:r>
        <w:t>roof</w:t>
      </w:r>
      <w:bookmarkEnd w:id="129"/>
    </w:p>
    <w:p w14:paraId="6F99D877" w14:textId="77777777" w:rsidR="006A4CD7" w:rsidRPr="006A4CD7" w:rsidRDefault="006A4CD7" w:rsidP="0060759C">
      <w:pPr>
        <w:autoSpaceDE w:val="0"/>
        <w:autoSpaceDN w:val="0"/>
        <w:adjustRightInd w:val="0"/>
        <w:rPr>
          <w:rFonts w:cs="Times New Roman"/>
          <w:b/>
          <w:bCs/>
          <w:szCs w:val="24"/>
        </w:rPr>
      </w:pPr>
    </w:p>
    <w:p w14:paraId="41C97E0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In order to prevail on [his] [her] § 1983 claim against defendant [</w:t>
      </w:r>
      <w:r w:rsidRPr="00305894">
        <w:rPr>
          <w:rFonts w:cs="Times New Roman"/>
          <w:i/>
          <w:iCs/>
          <w:szCs w:val="24"/>
          <w:u w:val="single"/>
        </w:rPr>
        <w:t>name of local governing body</w:t>
      </w:r>
      <w:r w:rsidRPr="00305894">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69F5179A" w14:textId="77777777" w:rsidR="00305894" w:rsidRPr="00305894" w:rsidRDefault="00305894" w:rsidP="00305894">
      <w:pPr>
        <w:autoSpaceDE w:val="0"/>
        <w:autoSpaceDN w:val="0"/>
        <w:adjustRightInd w:val="0"/>
        <w:rPr>
          <w:rFonts w:cs="Times New Roman"/>
          <w:szCs w:val="24"/>
        </w:rPr>
      </w:pPr>
    </w:p>
    <w:p w14:paraId="7A976434"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[act[s]] [failure to act] of [</w:t>
      </w:r>
      <w:r w:rsidRPr="00305894">
        <w:rPr>
          <w:rFonts w:cs="Times New Roman"/>
          <w:i/>
          <w:iCs/>
          <w:szCs w:val="24"/>
          <w:u w:val="single"/>
        </w:rPr>
        <w:t xml:space="preserve">name of defendant’s </w:t>
      </w:r>
      <w:r w:rsidRPr="00305894">
        <w:rPr>
          <w:rFonts w:cs="Times New Roman"/>
          <w:szCs w:val="24"/>
        </w:rPr>
        <w:t>[</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szCs w:val="24"/>
        </w:rPr>
        <w:t>]] deprived the plaintiff of [his] [her] particular rights under [the laws of the United States] [the United States Constitution] as explained in later instructions;</w:t>
      </w:r>
    </w:p>
    <w:p w14:paraId="1CEC295C" w14:textId="77777777" w:rsidR="00305894" w:rsidRPr="00305894" w:rsidRDefault="00305894" w:rsidP="00305894">
      <w:pPr>
        <w:autoSpaceDE w:val="0"/>
        <w:autoSpaceDN w:val="0"/>
        <w:adjustRightInd w:val="0"/>
        <w:ind w:left="1440" w:hanging="720"/>
        <w:rPr>
          <w:rFonts w:cs="Times New Roman"/>
          <w:szCs w:val="24"/>
        </w:rPr>
      </w:pPr>
    </w:p>
    <w:p w14:paraId="2AFB7BAD"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w:t>
      </w:r>
      <w:r w:rsidRPr="00305894">
        <w:rPr>
          <w:rFonts w:cs="Times New Roman"/>
          <w:i/>
          <w:iCs/>
          <w:szCs w:val="24"/>
          <w:u w:val="single"/>
        </w:rPr>
        <w:t xml:space="preserve">name of defendant’s </w:t>
      </w:r>
      <w:r w:rsidRPr="00305894">
        <w:rPr>
          <w:rFonts w:cs="Times New Roman"/>
          <w:szCs w:val="24"/>
        </w:rPr>
        <w:t>[</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i/>
          <w:iCs/>
          <w:szCs w:val="24"/>
        </w:rPr>
        <w:t>]</w:t>
      </w:r>
      <w:r w:rsidRPr="00305894">
        <w:rPr>
          <w:rFonts w:cs="Times New Roman"/>
          <w:szCs w:val="24"/>
        </w:rPr>
        <w:t xml:space="preserve">]] acted under color of state law; </w:t>
      </w:r>
    </w:p>
    <w:p w14:paraId="0CC459BE" w14:textId="77777777" w:rsidR="00305894" w:rsidRPr="00305894" w:rsidRDefault="00305894" w:rsidP="00305894">
      <w:pPr>
        <w:autoSpaceDE w:val="0"/>
        <w:autoSpaceDN w:val="0"/>
        <w:adjustRightInd w:val="0"/>
        <w:ind w:left="1440" w:hanging="720"/>
        <w:rPr>
          <w:rFonts w:cs="Times New Roman"/>
          <w:szCs w:val="24"/>
        </w:rPr>
      </w:pPr>
    </w:p>
    <w:p w14:paraId="63B382D9"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[training] policies of the defendant [</w:t>
      </w:r>
      <w:r w:rsidRPr="00305894">
        <w:rPr>
          <w:rFonts w:cs="Times New Roman"/>
          <w:i/>
          <w:iCs/>
          <w:szCs w:val="24"/>
          <w:u w:val="single"/>
        </w:rPr>
        <w:t>name of local governing body</w:t>
      </w:r>
      <w:r w:rsidRPr="00305894">
        <w:rPr>
          <w:rFonts w:cs="Times New Roman"/>
          <w:szCs w:val="24"/>
        </w:rPr>
        <w:t>] were not adequate to [prevent violations of law by its employees] [train its [police officers] [employees] to handle the usual and recurring situations with which they must deal];</w:t>
      </w:r>
    </w:p>
    <w:p w14:paraId="78AF9AD7" w14:textId="77777777" w:rsidR="00305894" w:rsidRPr="00305894" w:rsidRDefault="00305894" w:rsidP="00305894">
      <w:pPr>
        <w:autoSpaceDE w:val="0"/>
        <w:autoSpaceDN w:val="0"/>
        <w:adjustRightInd w:val="0"/>
        <w:ind w:left="1440" w:hanging="720"/>
        <w:rPr>
          <w:rFonts w:cs="Times New Roman"/>
          <w:szCs w:val="24"/>
        </w:rPr>
      </w:pPr>
    </w:p>
    <w:p w14:paraId="03D42C69"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4.</w:t>
      </w:r>
      <w:r w:rsidRPr="00305894">
        <w:rPr>
          <w:rFonts w:cs="Times New Roman"/>
          <w:szCs w:val="24"/>
        </w:rPr>
        <w:tab/>
        <w:t>the defendant [</w:t>
      </w:r>
      <w:r w:rsidRPr="00305894">
        <w:rPr>
          <w:rFonts w:cs="Times New Roman"/>
          <w:i/>
          <w:iCs/>
          <w:szCs w:val="24"/>
          <w:u w:val="single"/>
        </w:rPr>
        <w:t>name of local governing body</w:t>
      </w:r>
      <w:r w:rsidRPr="00305894">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7DB866D2" w14:textId="77777777" w:rsidR="00305894" w:rsidRPr="00305894" w:rsidRDefault="00305894" w:rsidP="00305894">
      <w:pPr>
        <w:autoSpaceDE w:val="0"/>
        <w:autoSpaceDN w:val="0"/>
        <w:adjustRightInd w:val="0"/>
        <w:ind w:left="1440" w:hanging="720"/>
        <w:rPr>
          <w:rFonts w:cs="Times New Roman"/>
          <w:szCs w:val="24"/>
        </w:rPr>
      </w:pPr>
    </w:p>
    <w:p w14:paraId="264D8CB6"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5.</w:t>
      </w:r>
      <w:r w:rsidRPr="00305894">
        <w:rPr>
          <w:rFonts w:cs="Times New Roman"/>
          <w:szCs w:val="24"/>
        </w:rPr>
        <w:tab/>
        <w:t>the failure of the defendant [</w:t>
      </w:r>
      <w:r w:rsidRPr="00305894">
        <w:rPr>
          <w:rFonts w:cs="Times New Roman"/>
          <w:i/>
          <w:iCs/>
          <w:szCs w:val="24"/>
          <w:u w:val="single"/>
        </w:rPr>
        <w:t>name of local governing body</w:t>
      </w:r>
      <w:r w:rsidRPr="00305894">
        <w:rPr>
          <w:rFonts w:cs="Times New Roman"/>
          <w:szCs w:val="24"/>
        </w:rPr>
        <w:t>] [to prevent violations of law by its employees] [to provide adequate training] caused the deprivation of the plaintiff’s rights by the [</w:t>
      </w:r>
      <w:r w:rsidRPr="00305894">
        <w:rPr>
          <w:rFonts w:cs="Times New Roman"/>
          <w:i/>
          <w:iCs/>
          <w:szCs w:val="24"/>
          <w:u w:val="single"/>
        </w:rPr>
        <w:t>name of defendant’s</w:t>
      </w:r>
      <w:r w:rsidRPr="00305894">
        <w:rPr>
          <w:rFonts w:cs="Times New Roman"/>
          <w:szCs w:val="24"/>
        </w:rPr>
        <w:t xml:space="preserve"> [</w:t>
      </w:r>
      <w:r w:rsidRPr="00305894">
        <w:rPr>
          <w:rFonts w:cs="Times New Roman"/>
          <w:i/>
          <w:iCs/>
          <w:szCs w:val="24"/>
          <w:u w:val="single"/>
        </w:rPr>
        <w:t>police officer[s]</w:t>
      </w:r>
      <w:r w:rsidRPr="00305894">
        <w:rPr>
          <w:rFonts w:cs="Times New Roman"/>
          <w:szCs w:val="24"/>
          <w:u w:val="single"/>
        </w:rPr>
        <w:t>]</w:t>
      </w:r>
      <w:r w:rsidRPr="00305894">
        <w:rPr>
          <w:rFonts w:cs="Times New Roman"/>
          <w:i/>
          <w:iCs/>
          <w:szCs w:val="24"/>
          <w:u w:val="single"/>
        </w:rPr>
        <w:t xml:space="preserve"> </w:t>
      </w:r>
      <w:r w:rsidRPr="00305894">
        <w:rPr>
          <w:rFonts w:cs="Times New Roman"/>
          <w:szCs w:val="24"/>
          <w:u w:val="single"/>
        </w:rPr>
        <w:t>[</w:t>
      </w:r>
      <w:r w:rsidRPr="00305894">
        <w:rPr>
          <w:rFonts w:cs="Times New Roman"/>
          <w:i/>
          <w:iCs/>
          <w:szCs w:val="24"/>
          <w:u w:val="single"/>
        </w:rPr>
        <w:t>employee[s]</w:t>
      </w:r>
      <w:r w:rsidRPr="00305894">
        <w:rPr>
          <w:rFonts w:cs="Times New Roman"/>
          <w:szCs w:val="24"/>
        </w:rPr>
        <w:t>]]; that is, the defendant’s failure [to prevent violations of law by its employees] [to train] played a substantial part in bringing about or actually causing the injury or damage to the plaintiff.</w:t>
      </w:r>
    </w:p>
    <w:p w14:paraId="081BF6DD" w14:textId="77777777" w:rsidR="00305894" w:rsidRPr="00305894" w:rsidRDefault="00305894" w:rsidP="00305894">
      <w:pPr>
        <w:autoSpaceDE w:val="0"/>
        <w:autoSpaceDN w:val="0"/>
        <w:adjustRightInd w:val="0"/>
        <w:rPr>
          <w:rFonts w:cs="Times New Roman"/>
          <w:szCs w:val="24"/>
        </w:rPr>
      </w:pPr>
    </w:p>
    <w:p w14:paraId="33DA407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305894">
        <w:rPr>
          <w:rFonts w:cs="Times New Roman"/>
          <w:i/>
          <w:iCs/>
          <w:szCs w:val="24"/>
          <w:u w:val="single"/>
        </w:rPr>
        <w:t>name of defendant’s</w:t>
      </w:r>
      <w:r w:rsidRPr="00305894">
        <w:rPr>
          <w:rFonts w:cs="Times New Roman"/>
          <w:szCs w:val="24"/>
        </w:rPr>
        <w:t xml:space="preserve"> [</w:t>
      </w:r>
      <w:r w:rsidRPr="00305894">
        <w:rPr>
          <w:rFonts w:cs="Times New Roman"/>
          <w:i/>
          <w:iCs/>
          <w:szCs w:val="24"/>
          <w:u w:val="single"/>
        </w:rPr>
        <w:t>police officer[s]</w:t>
      </w:r>
      <w:r w:rsidRPr="00305894">
        <w:rPr>
          <w:rFonts w:cs="Times New Roman"/>
          <w:szCs w:val="24"/>
        </w:rPr>
        <w:t>] [</w:t>
      </w:r>
      <w:r w:rsidRPr="00305894">
        <w:rPr>
          <w:rFonts w:cs="Times New Roman"/>
          <w:i/>
          <w:iCs/>
          <w:szCs w:val="24"/>
          <w:u w:val="single"/>
        </w:rPr>
        <w:t>employee[s]</w:t>
      </w:r>
      <w:r w:rsidRPr="00305894">
        <w:rPr>
          <w:rFonts w:cs="Times New Roman"/>
          <w:szCs w:val="24"/>
        </w:rPr>
        <w:t>] acted under color of state law.]</w:t>
      </w:r>
    </w:p>
    <w:p w14:paraId="56E820AC" w14:textId="77777777" w:rsidR="00305894" w:rsidRPr="00305894" w:rsidRDefault="00305894" w:rsidP="00305894">
      <w:pPr>
        <w:autoSpaceDE w:val="0"/>
        <w:autoSpaceDN w:val="0"/>
        <w:adjustRightInd w:val="0"/>
        <w:rPr>
          <w:rFonts w:cs="Times New Roman"/>
          <w:szCs w:val="24"/>
        </w:rPr>
      </w:pPr>
    </w:p>
    <w:p w14:paraId="223A419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municipality </w:t>
      </w:r>
    </w:p>
    <w:p w14:paraId="2FF35FA0" w14:textId="77777777" w:rsidR="00305894" w:rsidRPr="00305894" w:rsidRDefault="00305894" w:rsidP="00305894">
      <w:pPr>
        <w:autoSpaceDE w:val="0"/>
        <w:autoSpaceDN w:val="0"/>
        <w:adjustRightInd w:val="0"/>
        <w:rPr>
          <w:rFonts w:cs="Times New Roman"/>
          <w:szCs w:val="24"/>
        </w:rPr>
      </w:pPr>
    </w:p>
    <w:p w14:paraId="26A85D2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lastRenderedPageBreak/>
        <w:t>could have prevented the violation with an appropriate policy.]</w:t>
      </w:r>
    </w:p>
    <w:p w14:paraId="240BA8AC" w14:textId="77777777" w:rsidR="00305894" w:rsidRPr="00305894" w:rsidRDefault="00305894" w:rsidP="00305894">
      <w:pPr>
        <w:autoSpaceDE w:val="0"/>
        <w:autoSpaceDN w:val="0"/>
        <w:adjustRightInd w:val="0"/>
        <w:rPr>
          <w:rFonts w:cs="Times New Roman"/>
          <w:szCs w:val="24"/>
        </w:rPr>
      </w:pPr>
    </w:p>
    <w:p w14:paraId="6E5284BB"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“Deliberate indifference” is the conscious choice to disregard the consequences of one’s acts or omissions.  The plaintiff may prove deliberate indifference in this case by showing that </w:t>
      </w:r>
      <w:r w:rsidRPr="00305894">
        <w:t>the facts available to</w:t>
      </w:r>
      <w:r w:rsidRPr="00305894">
        <w:rPr>
          <w:rFonts w:cs="Times New Roman"/>
          <w:szCs w:val="24"/>
        </w:rPr>
        <w:t xml:space="preserve"> the defendant [</w:t>
      </w:r>
      <w:r w:rsidRPr="00305894">
        <w:rPr>
          <w:rFonts w:cs="Times New Roman"/>
          <w:i/>
          <w:iCs/>
          <w:szCs w:val="24"/>
          <w:u w:val="single"/>
        </w:rPr>
        <w:t>name of local governing body</w:t>
      </w:r>
      <w:r w:rsidRPr="00305894">
        <w:rPr>
          <w:rFonts w:cs="Times New Roman"/>
          <w:szCs w:val="24"/>
        </w:rPr>
        <w:t xml:space="preserve">] </w:t>
      </w:r>
      <w:r w:rsidRPr="00305894">
        <w:t>put it on actual or constructive notice that its</w:t>
      </w:r>
      <w:r w:rsidRPr="00305894">
        <w:rPr>
          <w:rFonts w:cs="Times New Roman"/>
          <w:szCs w:val="24"/>
        </w:rPr>
        <w:t xml:space="preserve"> [failure to implement adequate policies] [failure to train adequately] </w:t>
      </w:r>
      <w:r w:rsidRPr="00305894">
        <w:t>was substantially certain to result in the violation of the constitutional rights of persons such as the plaintiff due to</w:t>
      </w:r>
      <w:r w:rsidRPr="00305894">
        <w:rPr>
          <w:rFonts w:cs="Times New Roman"/>
          <w:szCs w:val="24"/>
        </w:rPr>
        <w:t xml:space="preserve"> [police officer[s]] [employee[s]]’s conduct. </w:t>
      </w:r>
    </w:p>
    <w:p w14:paraId="6EBAE740" w14:textId="77777777" w:rsidR="00305894" w:rsidRPr="00305894" w:rsidRDefault="00305894" w:rsidP="00305894">
      <w:pPr>
        <w:autoSpaceDE w:val="0"/>
        <w:autoSpaceDN w:val="0"/>
        <w:adjustRightInd w:val="0"/>
        <w:rPr>
          <w:rFonts w:cs="Times New Roman"/>
          <w:szCs w:val="24"/>
        </w:rPr>
      </w:pPr>
    </w:p>
    <w:p w14:paraId="1346830E"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each of these elements, and if you find that the plaintiff has proved all the elements [he] [she] is required to prove under Instruction[s] [</w:t>
      </w:r>
      <w:r w:rsidRPr="00305894">
        <w:rPr>
          <w:rFonts w:cs="Times New Roman"/>
          <w:i/>
          <w:iCs/>
          <w:szCs w:val="24"/>
          <w:u w:val="single"/>
        </w:rPr>
        <w:t>specify the instruction[s] that deal with the particular right[s]</w:t>
      </w:r>
      <w:r w:rsidRPr="00305894">
        <w:rPr>
          <w:rFonts w:cs="Times New Roman"/>
          <w:szCs w:val="24"/>
        </w:rPr>
        <w:t>], your verdict should be for the plaintiff.  If, on the other hand, the plaintiff has failed to prove any one or more of these elements, your verdict should be for the defendant.</w:t>
      </w:r>
    </w:p>
    <w:p w14:paraId="131E6CDB" w14:textId="77777777" w:rsidR="00305894" w:rsidRPr="00305894" w:rsidRDefault="00305894" w:rsidP="00305894">
      <w:pPr>
        <w:autoSpaceDE w:val="0"/>
        <w:autoSpaceDN w:val="0"/>
        <w:adjustRightInd w:val="0"/>
        <w:rPr>
          <w:rFonts w:cs="Times New Roman"/>
          <w:szCs w:val="24"/>
        </w:rPr>
      </w:pPr>
    </w:p>
    <w:p w14:paraId="1142CCF3"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4ABD5361" w14:textId="77777777" w:rsidR="00305894" w:rsidRPr="00305894" w:rsidRDefault="00305894" w:rsidP="00305894">
      <w:pPr>
        <w:autoSpaceDE w:val="0"/>
        <w:autoSpaceDN w:val="0"/>
        <w:adjustRightInd w:val="0"/>
        <w:rPr>
          <w:rFonts w:cs="Times New Roman"/>
          <w:b/>
          <w:bCs/>
          <w:szCs w:val="24"/>
        </w:rPr>
      </w:pPr>
    </w:p>
    <w:p w14:paraId="5C34868E"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661AD904" w14:textId="77777777" w:rsidR="00305894" w:rsidRPr="00305894" w:rsidRDefault="00305894" w:rsidP="00305894">
      <w:pPr>
        <w:autoSpaceDE w:val="0"/>
        <w:autoSpaceDN w:val="0"/>
        <w:adjustRightInd w:val="0"/>
        <w:rPr>
          <w:rFonts w:cs="Times New Roman"/>
          <w:szCs w:val="24"/>
        </w:rPr>
      </w:pPr>
    </w:p>
    <w:p w14:paraId="2F0449B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addition, use this instruction only when </w:t>
      </w:r>
      <w:proofErr w:type="spellStart"/>
      <w:r w:rsidRPr="00305894">
        <w:rPr>
          <w:rFonts w:cs="Times New Roman"/>
          <w:i/>
          <w:iCs/>
          <w:szCs w:val="24"/>
        </w:rPr>
        <w:t>Monell</w:t>
      </w:r>
      <w:proofErr w:type="spellEnd"/>
      <w:r w:rsidRPr="00305894">
        <w:rPr>
          <w:rFonts w:cs="Times New Roman"/>
          <w:i/>
          <w:iCs/>
          <w:szCs w:val="24"/>
        </w:rPr>
        <w:t xml:space="preserve"> </w:t>
      </w:r>
      <w:r w:rsidRPr="00305894">
        <w:rPr>
          <w:rFonts w:cs="Times New Roman"/>
          <w:szCs w:val="24"/>
        </w:rPr>
        <w:t>liability is based on a local governing body’s policy of inaction, such as a failure to train its police officers.  If the plaintiff is alleging</w:t>
      </w:r>
    </w:p>
    <w:p w14:paraId="528CD476"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inadequate hiring of employees, inadequate supervision, or failure to adopt a needed policy,</w:t>
      </w:r>
    </w:p>
    <w:p w14:paraId="7FBF8AAE" w14:textId="77777777" w:rsidR="00305894" w:rsidRPr="00305894" w:rsidRDefault="00305894" w:rsidP="00305894">
      <w:pPr>
        <w:autoSpaceDE w:val="0"/>
        <w:autoSpaceDN w:val="0"/>
        <w:adjustRightInd w:val="0"/>
        <w:rPr>
          <w:rFonts w:cs="Times New Roman"/>
          <w:i/>
          <w:iCs/>
          <w:szCs w:val="24"/>
        </w:rPr>
      </w:pPr>
      <w:r w:rsidRPr="00305894">
        <w:rPr>
          <w:rFonts w:cs="Times New Roman"/>
          <w:szCs w:val="24"/>
        </w:rPr>
        <w:t>elements 3 through 5 of this instruction should be modified accordingly.</w:t>
      </w:r>
      <w:r w:rsidRPr="00305894">
        <w:rPr>
          <w:rFonts w:cs="Times New Roman"/>
          <w:i/>
          <w:iCs/>
          <w:szCs w:val="24"/>
        </w:rPr>
        <w:t xml:space="preserve">  See Bd. of </w:t>
      </w:r>
      <w:proofErr w:type="spellStart"/>
      <w:r w:rsidRPr="00305894">
        <w:rPr>
          <w:rFonts w:cs="Times New Roman"/>
          <w:i/>
          <w:iCs/>
          <w:szCs w:val="24"/>
        </w:rPr>
        <w:t>Cnty</w:t>
      </w:r>
      <w:proofErr w:type="spellEnd"/>
      <w:r w:rsidRPr="00305894">
        <w:rPr>
          <w:rFonts w:cs="Times New Roman"/>
          <w:i/>
          <w:iCs/>
          <w:szCs w:val="24"/>
        </w:rPr>
        <w:t>. Comm’rs v. Brown</w:t>
      </w:r>
      <w:r w:rsidRPr="00305894">
        <w:rPr>
          <w:rFonts w:cs="Times New Roman"/>
          <w:szCs w:val="24"/>
        </w:rPr>
        <w:t xml:space="preserve">, 520 U.S. 397, 409-11 (1997) (addressing failure to screen candidates); </w:t>
      </w:r>
      <w:r w:rsidRPr="00305894">
        <w:rPr>
          <w:rFonts w:cs="Times New Roman"/>
          <w:i/>
          <w:iCs/>
          <w:szCs w:val="24"/>
        </w:rPr>
        <w:t>Jackson v. Barnes</w:t>
      </w:r>
      <w:r w:rsidRPr="00305894">
        <w:rPr>
          <w:rFonts w:cs="Times New Roman"/>
          <w:szCs w:val="24"/>
        </w:rPr>
        <w:t xml:space="preserve">, 749 F.3d 755, 763-64 (9th Cir. 2014) (addressing failure to supervise), </w:t>
      </w:r>
      <w:r w:rsidRPr="00305894">
        <w:rPr>
          <w:rFonts w:cs="Times New Roman"/>
          <w:i/>
          <w:iCs/>
          <w:szCs w:val="24"/>
        </w:rPr>
        <w:t>cert. denied</w:t>
      </w:r>
      <w:r w:rsidRPr="00305894">
        <w:rPr>
          <w:rFonts w:cs="Times New Roman"/>
          <w:szCs w:val="24"/>
        </w:rPr>
        <w:t xml:space="preserve">, 135 S. Ct. 980 (2015); </w:t>
      </w:r>
      <w:r w:rsidRPr="00305894">
        <w:rPr>
          <w:rFonts w:cs="Times New Roman"/>
          <w:i/>
          <w:iCs/>
          <w:szCs w:val="24"/>
        </w:rPr>
        <w:t>Tsao v. Desert Palace, Inc.</w:t>
      </w:r>
      <w:r w:rsidRPr="00305894">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305894">
        <w:rPr>
          <w:rFonts w:cs="Times New Roman"/>
          <w:i/>
          <w:iCs/>
          <w:szCs w:val="24"/>
        </w:rPr>
        <w:t>See</w:t>
      </w:r>
      <w:r w:rsidRPr="00305894">
        <w:rPr>
          <w:rFonts w:cs="Times New Roman"/>
          <w:szCs w:val="24"/>
        </w:rPr>
        <w:t xml:space="preserve">, </w:t>
      </w:r>
      <w:r w:rsidRPr="00305894">
        <w:rPr>
          <w:rFonts w:cs="Times New Roman"/>
          <w:i/>
          <w:iCs/>
          <w:szCs w:val="24"/>
        </w:rPr>
        <w:t>e.g.</w:t>
      </w:r>
      <w:r w:rsidRPr="00305894">
        <w:rPr>
          <w:rFonts w:cs="Times New Roman"/>
          <w:szCs w:val="24"/>
        </w:rPr>
        <w:t xml:space="preserve">, </w:t>
      </w:r>
      <w:r w:rsidRPr="00305894">
        <w:rPr>
          <w:rFonts w:cs="Times New Roman"/>
          <w:i/>
          <w:iCs/>
          <w:szCs w:val="24"/>
        </w:rPr>
        <w:t>Tsao</w:t>
      </w:r>
      <w:r w:rsidRPr="00305894">
        <w:rPr>
          <w:rFonts w:cs="Times New Roman"/>
          <w:szCs w:val="24"/>
        </w:rPr>
        <w:t xml:space="preserve">, 698 F.3d at 1145.  For other bases of </w:t>
      </w:r>
      <w:proofErr w:type="spellStart"/>
      <w:r w:rsidRPr="00305894">
        <w:rPr>
          <w:rFonts w:cs="Times New Roman"/>
          <w:i/>
          <w:iCs/>
          <w:szCs w:val="24"/>
        </w:rPr>
        <w:t>Monell</w:t>
      </w:r>
      <w:proofErr w:type="spellEnd"/>
      <w:r w:rsidRPr="00305894">
        <w:rPr>
          <w:rFonts w:cs="Times New Roman"/>
          <w:szCs w:val="24"/>
        </w:rPr>
        <w:t xml:space="preserve"> liability, </w:t>
      </w:r>
      <w:r w:rsidRPr="00305894">
        <w:rPr>
          <w:rFonts w:cs="Times New Roman"/>
          <w:i/>
          <w:iCs/>
          <w:szCs w:val="24"/>
        </w:rPr>
        <w:t>see</w:t>
      </w:r>
      <w:r w:rsidRPr="00305894">
        <w:rPr>
          <w:rFonts w:cs="Times New Roman"/>
          <w:szCs w:val="24"/>
        </w:rPr>
        <w:t xml:space="preserve"> Instructions 9.5 (Section 1983 Claim Against Local Governing Body Defendants Based on Official Policy, Practice, or Custom that Violates Law or Directs Employee to Violate Law—Elements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723830EA" w14:textId="77777777" w:rsidR="00305894" w:rsidRPr="00305894" w:rsidRDefault="00305894" w:rsidP="00305894">
      <w:pPr>
        <w:autoSpaceDE w:val="0"/>
        <w:autoSpaceDN w:val="0"/>
        <w:adjustRightInd w:val="0"/>
        <w:rPr>
          <w:rFonts w:cs="Times New Roman"/>
          <w:b/>
          <w:bCs/>
          <w:szCs w:val="24"/>
        </w:rPr>
      </w:pPr>
    </w:p>
    <w:p w14:paraId="70B97D03" w14:textId="77777777" w:rsidR="00305894" w:rsidRPr="00305894" w:rsidRDefault="00305894" w:rsidP="00305894">
      <w:pPr>
        <w:autoSpaceDE w:val="0"/>
        <w:autoSpaceDN w:val="0"/>
        <w:adjustRightInd w:val="0"/>
        <w:rPr>
          <w:rFonts w:cs="Times New Roman"/>
        </w:rPr>
      </w:pPr>
      <w:r w:rsidRPr="00305894">
        <w:rPr>
          <w:rFonts w:cs="Times New Roman"/>
          <w:b/>
          <w:bCs/>
          <w:szCs w:val="24"/>
        </w:rPr>
        <w:tab/>
      </w:r>
      <w:r w:rsidRPr="00305894">
        <w:rPr>
          <w:rFonts w:cs="Times New Roman"/>
          <w:szCs w:val="24"/>
        </w:rPr>
        <w:t xml:space="preserve">As noted in the Introductory Comment to this chapter, § 1983 liability of a local governing body may not be based on </w:t>
      </w:r>
      <w:proofErr w:type="spellStart"/>
      <w:r w:rsidRPr="00305894">
        <w:rPr>
          <w:rFonts w:cs="Times New Roman"/>
          <w:i/>
          <w:iCs/>
          <w:szCs w:val="24"/>
        </w:rPr>
        <w:t>respondeat</w:t>
      </w:r>
      <w:proofErr w:type="spellEnd"/>
      <w:r w:rsidRPr="00305894">
        <w:rPr>
          <w:rFonts w:cs="Times New Roman"/>
          <w:szCs w:val="24"/>
        </w:rPr>
        <w:t xml:space="preserve"> </w:t>
      </w:r>
      <w:r w:rsidRPr="00305894">
        <w:rPr>
          <w:rFonts w:cs="Times New Roman"/>
          <w:i/>
          <w:iCs/>
          <w:szCs w:val="24"/>
        </w:rPr>
        <w:t>superior</w:t>
      </w:r>
      <w:r w:rsidRPr="00305894">
        <w:rPr>
          <w:rFonts w:cs="Times New Roman"/>
          <w:szCs w:val="24"/>
        </w:rPr>
        <w:t xml:space="preserve">.  </w:t>
      </w:r>
      <w:proofErr w:type="spellStart"/>
      <w:r w:rsidRPr="00305894">
        <w:rPr>
          <w:rFonts w:cs="Times New Roman"/>
          <w:i/>
          <w:iCs/>
          <w:szCs w:val="24"/>
        </w:rPr>
        <w:t>Monell</w:t>
      </w:r>
      <w:proofErr w:type="spellEnd"/>
      <w:r w:rsidRPr="00305894">
        <w:rPr>
          <w:rFonts w:cs="Times New Roman"/>
          <w:i/>
          <w:iCs/>
          <w:szCs w:val="24"/>
        </w:rPr>
        <w:t xml:space="preserve"> v. </w:t>
      </w:r>
      <w:proofErr w:type="spellStart"/>
      <w:r w:rsidRPr="00305894">
        <w:rPr>
          <w:rFonts w:cs="Times New Roman"/>
          <w:i/>
          <w:iCs/>
          <w:szCs w:val="24"/>
        </w:rPr>
        <w:t>Dep’t</w:t>
      </w:r>
      <w:proofErr w:type="spellEnd"/>
      <w:r w:rsidRPr="00305894">
        <w:rPr>
          <w:rFonts w:cs="Times New Roman"/>
          <w:i/>
          <w:iCs/>
          <w:szCs w:val="24"/>
        </w:rPr>
        <w:t xml:space="preserve"> of Soc. Servs. of N.Y.</w:t>
      </w:r>
      <w:r w:rsidRPr="00305894">
        <w:rPr>
          <w:rFonts w:cs="Times New Roman"/>
          <w:szCs w:val="24"/>
        </w:rPr>
        <w:t>, 436 U.S. 658, 691 (1978).</w:t>
      </w:r>
      <w:r w:rsidRPr="00305894">
        <w:rPr>
          <w:rFonts w:cs="Times New Roman"/>
        </w:rPr>
        <w:t xml:space="preserve">  Instead, a plaintiff must establish a “direct causal link” between the municipal policy or custom and the alleged constitutional violation.  </w:t>
      </w:r>
      <w:r w:rsidRPr="00305894">
        <w:rPr>
          <w:rFonts w:cs="Times New Roman"/>
          <w:i/>
          <w:iCs/>
        </w:rPr>
        <w:t xml:space="preserve">See Sandoval v. </w:t>
      </w:r>
      <w:proofErr w:type="spellStart"/>
      <w:r w:rsidRPr="00305894">
        <w:rPr>
          <w:rFonts w:cs="Times New Roman"/>
          <w:i/>
          <w:iCs/>
        </w:rPr>
        <w:t>Cnty</w:t>
      </w:r>
      <w:proofErr w:type="spellEnd"/>
      <w:r w:rsidRPr="00305894">
        <w:rPr>
          <w:rFonts w:cs="Times New Roman"/>
          <w:i/>
          <w:iCs/>
        </w:rPr>
        <w:t>. of San Diego</w:t>
      </w:r>
      <w:r w:rsidRPr="00305894">
        <w:rPr>
          <w:rFonts w:cs="Times New Roman"/>
        </w:rPr>
        <w:t xml:space="preserve">, 985 F.3d 657, 681 (9th Cir. 2021). This “requires showing both but for and proximate causation.” </w:t>
      </w:r>
      <w:r w:rsidRPr="00305894">
        <w:rPr>
          <w:rFonts w:cs="Times New Roman"/>
          <w:i/>
          <w:iCs/>
        </w:rPr>
        <w:t>Tsao</w:t>
      </w:r>
      <w:r w:rsidRPr="00305894">
        <w:rPr>
          <w:rFonts w:cs="Times New Roman"/>
        </w:rPr>
        <w:t xml:space="preserve">, 698 F.3d at 1146 (quoting </w:t>
      </w:r>
      <w:r w:rsidRPr="00305894">
        <w:rPr>
          <w:rFonts w:cs="Times New Roman"/>
          <w:i/>
          <w:iCs/>
        </w:rPr>
        <w:t>Harper v. City of Los Angeles</w:t>
      </w:r>
      <w:r w:rsidRPr="00305894">
        <w:rPr>
          <w:rFonts w:cs="Times New Roman"/>
        </w:rPr>
        <w:t xml:space="preserve">, 533 F.3d 1010, 1026 (9th Cir. 2008). In </w:t>
      </w:r>
      <w:r w:rsidRPr="00305894">
        <w:rPr>
          <w:rFonts w:cs="Times New Roman"/>
          <w:i/>
          <w:iCs/>
        </w:rPr>
        <w:t>Harper</w:t>
      </w:r>
      <w:r w:rsidRPr="00305894">
        <w:rPr>
          <w:rFonts w:cs="Times New Roman"/>
        </w:rPr>
        <w:t xml:space="preserve">, the Ninth Circuit approved of a jury instruction that </w:t>
      </w:r>
      <w:r w:rsidRPr="00305894">
        <w:rPr>
          <w:rFonts w:cs="Times New Roman"/>
        </w:rPr>
        <w:lastRenderedPageBreak/>
        <w:t xml:space="preserve">explained that “proximate cause exists where “an act or omission played a substantial part in bringing about or actually causing the injury or damage to plaintiffs.” </w:t>
      </w:r>
      <w:r w:rsidRPr="00305894">
        <w:rPr>
          <w:rFonts w:cs="Times New Roman"/>
          <w:i/>
          <w:iCs/>
        </w:rPr>
        <w:t>Harper</w:t>
      </w:r>
      <w:r w:rsidRPr="00305894">
        <w:rPr>
          <w:rFonts w:cs="Times New Roman"/>
        </w:rPr>
        <w:t>, 533 F.3d at 1026.</w:t>
      </w:r>
    </w:p>
    <w:p w14:paraId="16FDCD9C" w14:textId="77777777" w:rsidR="00305894" w:rsidRPr="00305894" w:rsidRDefault="00305894" w:rsidP="00305894">
      <w:pPr>
        <w:autoSpaceDE w:val="0"/>
        <w:autoSpaceDN w:val="0"/>
        <w:adjustRightInd w:val="0"/>
        <w:rPr>
          <w:rFonts w:cs="Times New Roman"/>
          <w:szCs w:val="24"/>
        </w:rPr>
      </w:pPr>
    </w:p>
    <w:p w14:paraId="21C59458"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“A policy of inaction or omission may be based on failure to implement procedural</w:t>
      </w:r>
    </w:p>
    <w:p w14:paraId="33D8B01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safeguards to prevent constitutional violations.”  </w:t>
      </w:r>
      <w:r w:rsidRPr="00305894">
        <w:rPr>
          <w:rFonts w:cs="Times New Roman"/>
          <w:i/>
          <w:iCs/>
          <w:szCs w:val="24"/>
        </w:rPr>
        <w:t>Tsao</w:t>
      </w:r>
      <w:r w:rsidRPr="00305894">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305894">
        <w:rPr>
          <w:rFonts w:cs="Times New Roman"/>
          <w:i/>
          <w:iCs/>
          <w:szCs w:val="24"/>
        </w:rPr>
        <w:t xml:space="preserve"> Connick v. Thompson</w:t>
      </w:r>
      <w:r w:rsidRPr="00305894">
        <w:rPr>
          <w:rFonts w:cs="Times New Roman"/>
          <w:szCs w:val="24"/>
        </w:rPr>
        <w:t xml:space="preserve">, 563 U.S. 51, 61 (2011) (holding that county’s failure to train prosecutors regarding </w:t>
      </w:r>
      <w:r w:rsidRPr="00305894">
        <w:rPr>
          <w:rFonts w:cs="Times New Roman"/>
          <w:i/>
          <w:iCs/>
          <w:szCs w:val="24"/>
        </w:rPr>
        <w:t>Brady v. Maryland</w:t>
      </w:r>
      <w:r w:rsidRPr="00305894">
        <w:rPr>
          <w:rFonts w:cs="Times New Roman"/>
          <w:szCs w:val="24"/>
        </w:rPr>
        <w:t>, 373 U.S. 83 (1963), did not constitute obvious deficiency because attorneys had attended law school and were charged with knowing</w:t>
      </w:r>
    </w:p>
    <w:p w14:paraId="1AE72337"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the law).  “[P]</w:t>
      </w:r>
      <w:proofErr w:type="spellStart"/>
      <w:r w:rsidRPr="00305894">
        <w:rPr>
          <w:rFonts w:cs="Times New Roman"/>
          <w:szCs w:val="24"/>
        </w:rPr>
        <w:t>olicies</w:t>
      </w:r>
      <w:proofErr w:type="spellEnd"/>
      <w:r w:rsidRPr="00305894">
        <w:rPr>
          <w:rFonts w:cs="Times New Roman"/>
          <w:szCs w:val="24"/>
        </w:rPr>
        <w:t xml:space="preserve"> of omission regarding the supervision of employees … can be ‘policies’ or</w:t>
      </w:r>
    </w:p>
    <w:p w14:paraId="303EC0C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‘customs’ that create municipal liability … only if the omission ‘reflects a deliberate or</w:t>
      </w:r>
    </w:p>
    <w:p w14:paraId="72779824"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conscious choice’ to countenance the possibility of a constitutional violation.”  </w:t>
      </w:r>
      <w:r w:rsidRPr="00305894">
        <w:rPr>
          <w:rFonts w:cs="Times New Roman"/>
          <w:i/>
          <w:iCs/>
          <w:szCs w:val="24"/>
        </w:rPr>
        <w:t>Tsao</w:t>
      </w:r>
      <w:r w:rsidRPr="00305894">
        <w:rPr>
          <w:rFonts w:cs="Times New Roman"/>
          <w:szCs w:val="24"/>
        </w:rPr>
        <w:t>, 698 F.3d at</w:t>
      </w:r>
    </w:p>
    <w:p w14:paraId="7114A03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 xml:space="preserve">1145 (quoting </w:t>
      </w:r>
      <w:r w:rsidRPr="00305894">
        <w:rPr>
          <w:rFonts w:cs="Times New Roman"/>
          <w:i/>
          <w:iCs/>
          <w:szCs w:val="24"/>
        </w:rPr>
        <w:t>City of Canton v. Harris</w:t>
      </w:r>
      <w:r w:rsidRPr="00305894">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305894">
        <w:rPr>
          <w:rFonts w:cs="Times New Roman"/>
          <w:i/>
          <w:iCs/>
          <w:szCs w:val="24"/>
        </w:rPr>
        <w:t>Connick</w:t>
      </w:r>
      <w:r w:rsidRPr="00305894">
        <w:rPr>
          <w:rFonts w:cs="Times New Roman"/>
          <w:szCs w:val="24"/>
        </w:rPr>
        <w:t xml:space="preserve">, 563 U.S. at 61 (second alteration in original). </w:t>
      </w:r>
    </w:p>
    <w:p w14:paraId="3F52BFEF" w14:textId="77777777" w:rsidR="00305894" w:rsidRPr="00305894" w:rsidRDefault="00305894" w:rsidP="00305894">
      <w:pPr>
        <w:autoSpaceDE w:val="0"/>
        <w:autoSpaceDN w:val="0"/>
        <w:adjustRightInd w:val="0"/>
        <w:rPr>
          <w:rFonts w:cs="Times New Roman"/>
          <w:szCs w:val="24"/>
        </w:rPr>
      </w:pPr>
    </w:p>
    <w:p w14:paraId="649A13F5"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w:t>
      </w:r>
      <w:r w:rsidRPr="00305894">
        <w:rPr>
          <w:rFonts w:cs="Times New Roman"/>
          <w:i/>
          <w:iCs/>
          <w:szCs w:val="24"/>
        </w:rPr>
        <w:t>Castro v. County of Los Angeles</w:t>
      </w:r>
      <w:r w:rsidRPr="00305894">
        <w:rPr>
          <w:rFonts w:cs="Times New Roman"/>
          <w:szCs w:val="24"/>
        </w:rPr>
        <w:t>, 833 F.3d 1060, 1076 (9th Cir. 2016) (</w:t>
      </w:r>
      <w:proofErr w:type="spellStart"/>
      <w:r w:rsidRPr="00305894">
        <w:rPr>
          <w:rFonts w:cs="Times New Roman"/>
          <w:szCs w:val="24"/>
        </w:rPr>
        <w:t>en</w:t>
      </w:r>
      <w:proofErr w:type="spellEnd"/>
      <w:r w:rsidRPr="00305894">
        <w:rPr>
          <w:rFonts w:cs="Times New Roman"/>
          <w:szCs w:val="24"/>
        </w:rPr>
        <w:t xml:space="preserve"> banc), the Ninth Circuit held that the deliberate indifference inquiry is objective for pretrial detainees’ failure-to-protect claims.  “Deliberate indifference” requires proof that a municipal actor disregarded a known or obvious consequence of his action. </w:t>
      </w:r>
      <w:r w:rsidRPr="00305894">
        <w:rPr>
          <w:rFonts w:cs="Times New Roman"/>
          <w:i/>
          <w:iCs/>
          <w:szCs w:val="24"/>
        </w:rPr>
        <w:t xml:space="preserve"> Connick</w:t>
      </w:r>
      <w:r w:rsidRPr="00305894">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305894">
        <w:rPr>
          <w:rFonts w:cs="Times New Roman"/>
          <w:i/>
          <w:iCs/>
          <w:szCs w:val="24"/>
        </w:rPr>
        <w:t xml:space="preserve"> see also Castro</w:t>
      </w:r>
      <w:r w:rsidRPr="00305894">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305894">
        <w:rPr>
          <w:rFonts w:cs="Times New Roman"/>
          <w:i/>
          <w:iCs/>
          <w:szCs w:val="24"/>
        </w:rPr>
        <w:t xml:space="preserve"> Connick</w:t>
      </w:r>
      <w:r w:rsidRPr="00305894">
        <w:rPr>
          <w:rFonts w:cs="Times New Roman"/>
          <w:szCs w:val="24"/>
        </w:rPr>
        <w:t xml:space="preserve">, 563 U.S. at 62; </w:t>
      </w:r>
      <w:r w:rsidRPr="00305894">
        <w:rPr>
          <w:rFonts w:cs="Times New Roman"/>
          <w:i/>
          <w:iCs/>
          <w:szCs w:val="24"/>
        </w:rPr>
        <w:t>see also Hyde v. City of Willcox</w:t>
      </w:r>
      <w:r w:rsidRPr="00305894">
        <w:rPr>
          <w:rFonts w:cs="Times New Roman"/>
          <w:szCs w:val="24"/>
        </w:rPr>
        <w:t>, 23 F.4th 863, 874-75 (9th Cir. 2022) (holding that “[w]</w:t>
      </w:r>
      <w:proofErr w:type="spellStart"/>
      <w:r w:rsidRPr="00305894">
        <w:rPr>
          <w:rFonts w:cs="Times New Roman"/>
          <w:szCs w:val="24"/>
        </w:rPr>
        <w:t>hile</w:t>
      </w:r>
      <w:proofErr w:type="spellEnd"/>
      <w:r w:rsidRPr="00305894">
        <w:rPr>
          <w:rFonts w:cs="Times New Roman"/>
          <w:szCs w:val="24"/>
        </w:rPr>
        <w:t xml:space="preserve"> deliberate indifference can be inferred from a single incident when the unconstitutional consequences of failing to train are patently obvious, an inadequate training policy itself cannot be inferred from a single incident.”) (quotation marks and citation omitted);</w:t>
      </w:r>
      <w:r w:rsidRPr="00305894">
        <w:rPr>
          <w:rFonts w:cs="Times New Roman"/>
          <w:i/>
          <w:iCs/>
          <w:szCs w:val="24"/>
        </w:rPr>
        <w:t xml:space="preserve"> Flores v. County of Los Angeles</w:t>
      </w:r>
      <w:r w:rsidRPr="00305894">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305894">
        <w:rPr>
          <w:rFonts w:cs="Times New Roman"/>
          <w:i/>
          <w:iCs/>
          <w:szCs w:val="24"/>
        </w:rPr>
        <w:t>Marsh v. County of San Diego</w:t>
      </w:r>
      <w:r w:rsidRPr="00305894">
        <w:rPr>
          <w:rFonts w:cs="Times New Roman"/>
          <w:szCs w:val="24"/>
        </w:rPr>
        <w:t xml:space="preserve">, 680 F.3d 1148, 1159 (9th Cir. 2012) (holding that practice must be “widespread” and proof of single inadequately-trained employee was insufficient); </w:t>
      </w:r>
      <w:proofErr w:type="spellStart"/>
      <w:r w:rsidRPr="00305894">
        <w:rPr>
          <w:rFonts w:cs="Times New Roman"/>
          <w:i/>
          <w:iCs/>
          <w:szCs w:val="24"/>
        </w:rPr>
        <w:t>Doughtery</w:t>
      </w:r>
      <w:proofErr w:type="spellEnd"/>
      <w:r w:rsidRPr="00305894">
        <w:rPr>
          <w:rFonts w:cs="Times New Roman"/>
          <w:i/>
          <w:iCs/>
          <w:szCs w:val="24"/>
        </w:rPr>
        <w:t xml:space="preserve"> v. City of Covina</w:t>
      </w:r>
      <w:r w:rsidRPr="00305894">
        <w:rPr>
          <w:rFonts w:cs="Times New Roman"/>
          <w:szCs w:val="24"/>
        </w:rPr>
        <w:t xml:space="preserve">, 654 F.3d 892, 900 (9th Cir. 2011) (“Mere negligence in training or supervision … does not give rise to a </w:t>
      </w:r>
      <w:proofErr w:type="spellStart"/>
      <w:r w:rsidRPr="00305894">
        <w:rPr>
          <w:rFonts w:cs="Times New Roman"/>
          <w:i/>
          <w:iCs/>
          <w:szCs w:val="24"/>
        </w:rPr>
        <w:t>Monell</w:t>
      </w:r>
      <w:proofErr w:type="spellEnd"/>
      <w:r w:rsidRPr="00305894">
        <w:rPr>
          <w:rFonts w:cs="Times New Roman"/>
          <w:szCs w:val="24"/>
        </w:rPr>
        <w:t xml:space="preserve"> claim.”).  </w:t>
      </w:r>
    </w:p>
    <w:p w14:paraId="05FC7992" w14:textId="77777777" w:rsidR="00305894" w:rsidRPr="00305894" w:rsidRDefault="00305894" w:rsidP="00305894">
      <w:pPr>
        <w:autoSpaceDE w:val="0"/>
        <w:autoSpaceDN w:val="0"/>
        <w:adjustRightInd w:val="0"/>
        <w:rPr>
          <w:rFonts w:cs="Times New Roman"/>
          <w:szCs w:val="24"/>
        </w:rPr>
      </w:pPr>
    </w:p>
    <w:p w14:paraId="41D0882B"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305894">
        <w:rPr>
          <w:rFonts w:cs="Times New Roman"/>
          <w:i/>
          <w:iCs/>
          <w:szCs w:val="24"/>
        </w:rPr>
        <w:t>Connick</w:t>
      </w:r>
      <w:r w:rsidRPr="00305894">
        <w:rPr>
          <w:rFonts w:cs="Times New Roman"/>
          <w:szCs w:val="24"/>
        </w:rPr>
        <w:t xml:space="preserve">, 563 U.S. at 63-64 (quoting </w:t>
      </w:r>
      <w:r w:rsidRPr="00305894">
        <w:rPr>
          <w:rFonts w:cs="Times New Roman"/>
          <w:i/>
          <w:iCs/>
          <w:szCs w:val="24"/>
        </w:rPr>
        <w:t>Brown</w:t>
      </w:r>
      <w:r w:rsidRPr="00305894">
        <w:rPr>
          <w:rFonts w:cs="Times New Roman"/>
          <w:szCs w:val="24"/>
        </w:rPr>
        <w:t xml:space="preserve">, 520 U.S. at 409, and citing </w:t>
      </w:r>
      <w:r w:rsidRPr="00305894">
        <w:rPr>
          <w:rFonts w:cs="Times New Roman"/>
          <w:i/>
          <w:iCs/>
          <w:szCs w:val="24"/>
        </w:rPr>
        <w:t>Canton</w:t>
      </w:r>
      <w:r w:rsidRPr="00305894">
        <w:rPr>
          <w:rFonts w:cs="Times New Roman"/>
          <w:szCs w:val="24"/>
        </w:rPr>
        <w:t xml:space="preserve">, 489 U.S. at 389-90).  In </w:t>
      </w:r>
      <w:r w:rsidRPr="00305894">
        <w:rPr>
          <w:rFonts w:cs="Times New Roman"/>
          <w:i/>
          <w:iCs/>
          <w:szCs w:val="24"/>
        </w:rPr>
        <w:t>Kirkpatrick v. Washoe County</w:t>
      </w:r>
      <w:r w:rsidRPr="00305894">
        <w:rPr>
          <w:rFonts w:cs="Times New Roman"/>
          <w:szCs w:val="24"/>
        </w:rPr>
        <w:t>, 843 F.3d 784 (9th Cir. 2016) (</w:t>
      </w:r>
      <w:proofErr w:type="spellStart"/>
      <w:r w:rsidRPr="00305894">
        <w:rPr>
          <w:rFonts w:cs="Times New Roman"/>
          <w:szCs w:val="24"/>
        </w:rPr>
        <w:t>en</w:t>
      </w:r>
      <w:proofErr w:type="spellEnd"/>
      <w:r w:rsidRPr="00305894">
        <w:rPr>
          <w:rFonts w:cs="Times New Roman"/>
          <w:szCs w:val="24"/>
        </w:rPr>
        <w:t xml:space="preserve"> banc), the Ninth Circuit held that a county</w:t>
      </w:r>
    </w:p>
    <w:p w14:paraId="7804A0F3" w14:textId="77777777" w:rsidR="00305894" w:rsidRPr="00305894" w:rsidRDefault="00305894" w:rsidP="00305894">
      <w:pPr>
        <w:autoSpaceDE w:val="0"/>
        <w:autoSpaceDN w:val="0"/>
        <w:adjustRightInd w:val="0"/>
      </w:pPr>
      <w:r w:rsidRPr="00305894">
        <w:rPr>
          <w:rFonts w:cs="Times New Roman"/>
          <w:szCs w:val="24"/>
        </w:rPr>
        <w:t xml:space="preserve">social services agency’s complete failure to train its social workers on the procedures for obtaining a warrant and when a warrant is required before taking a child from a parent was just </w:t>
      </w:r>
      <w:r w:rsidRPr="00305894">
        <w:rPr>
          <w:rFonts w:cs="Times New Roman"/>
          <w:szCs w:val="24"/>
        </w:rPr>
        <w:lastRenderedPageBreak/>
        <w:t xml:space="preserve">such a “narrow circumstance” in which evidence of a pattern of similar violations was unnecessary.  </w:t>
      </w:r>
      <w:r w:rsidRPr="00305894">
        <w:rPr>
          <w:rFonts w:cs="Times New Roman"/>
          <w:i/>
          <w:iCs/>
          <w:szCs w:val="24"/>
        </w:rPr>
        <w:t xml:space="preserve">See id. </w:t>
      </w:r>
      <w:r w:rsidRPr="00305894">
        <w:rPr>
          <w:rFonts w:cs="Times New Roman"/>
          <w:szCs w:val="24"/>
        </w:rPr>
        <w:t xml:space="preserve">at 796-97.  </w:t>
      </w:r>
      <w:r w:rsidRPr="00305894">
        <w:t xml:space="preserve">In </w:t>
      </w:r>
      <w:r w:rsidRPr="00305894">
        <w:rPr>
          <w:i/>
          <w:iCs/>
        </w:rPr>
        <w:t>Sandoval v. County of San Diego</w:t>
      </w:r>
      <w:r w:rsidRPr="00305894">
        <w:t xml:space="preserve">, 985 F.3d 657, 682 (9th Cir. 2021), the Ninth Circuit applied an objective deliberate indifference standard to the county’s </w:t>
      </w:r>
    </w:p>
    <w:p w14:paraId="649F877B" w14:textId="77777777" w:rsidR="00305894" w:rsidRPr="00305894" w:rsidRDefault="00305894" w:rsidP="00305894">
      <w:pPr>
        <w:autoSpaceDE w:val="0"/>
        <w:autoSpaceDN w:val="0"/>
        <w:adjustRightInd w:val="0"/>
        <w:rPr>
          <w:rFonts w:cs="Times New Roman"/>
          <w:szCs w:val="24"/>
        </w:rPr>
      </w:pPr>
      <w:r w:rsidRPr="00305894">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305894">
        <w:rPr>
          <w:i/>
          <w:iCs/>
        </w:rPr>
        <w:t>Id</w:t>
      </w:r>
      <w:r w:rsidRPr="00305894">
        <w:t xml:space="preserve">. (footnote omitted) (quoting </w:t>
      </w:r>
      <w:r w:rsidRPr="00305894">
        <w:rPr>
          <w:i/>
          <w:iCs/>
        </w:rPr>
        <w:t>Castro</w:t>
      </w:r>
      <w:r w:rsidRPr="00305894">
        <w:t>, 833 F.3d at 1076).</w:t>
      </w:r>
    </w:p>
    <w:p w14:paraId="571D679A" w14:textId="77777777" w:rsidR="00305894" w:rsidRPr="00305894" w:rsidRDefault="00305894" w:rsidP="00305894">
      <w:pPr>
        <w:autoSpaceDE w:val="0"/>
        <w:autoSpaceDN w:val="0"/>
        <w:adjustRightInd w:val="0"/>
        <w:rPr>
          <w:rFonts w:cs="Times New Roman"/>
          <w:i/>
          <w:iCs/>
          <w:szCs w:val="24"/>
        </w:rPr>
      </w:pPr>
    </w:p>
    <w:p w14:paraId="1E1C6AB2"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4335E9C8" w14:textId="77777777" w:rsidR="00305894" w:rsidRPr="00305894" w:rsidRDefault="00305894" w:rsidP="00305894">
      <w:r w:rsidRPr="00305894">
        <w:br w:type="page"/>
      </w:r>
    </w:p>
    <w:p w14:paraId="1D481680" w14:textId="3D82B286" w:rsidR="006A4CD7" w:rsidRPr="006A4CD7" w:rsidRDefault="006A4CD7" w:rsidP="004A6A24">
      <w:pPr>
        <w:pStyle w:val="Heading2"/>
      </w:pPr>
      <w:bookmarkStart w:id="130" w:name="_Toc117512424"/>
      <w:r w:rsidRPr="006A4CD7">
        <w:lastRenderedPageBreak/>
        <w:t>9.9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r w:rsidR="007847B8">
        <w:t>peech</w:t>
      </w:r>
      <w:bookmarkEnd w:id="130"/>
    </w:p>
    <w:p w14:paraId="7193F434" w14:textId="77777777" w:rsidR="006A4CD7" w:rsidRPr="006A4CD7" w:rsidRDefault="006A4CD7" w:rsidP="000C5EAE"/>
    <w:p w14:paraId="5F7C0E06" w14:textId="77777777" w:rsidR="00492076" w:rsidRPr="00492076" w:rsidRDefault="006A4CD7" w:rsidP="00492076">
      <w:pPr>
        <w:autoSpaceDE w:val="0"/>
        <w:autoSpaceDN w:val="0"/>
        <w:adjustRightInd w:val="0"/>
        <w:rPr>
          <w:rFonts w:cs="Times New Roman"/>
          <w:szCs w:val="24"/>
        </w:rPr>
      </w:pPr>
      <w:r w:rsidRPr="006A4CD7">
        <w:rPr>
          <w:rFonts w:cs="Times New Roman"/>
          <w:b/>
          <w:bCs/>
          <w:szCs w:val="24"/>
        </w:rPr>
        <w:tab/>
      </w:r>
      <w:r w:rsidR="00492076" w:rsidRPr="00492076">
        <w:rPr>
          <w:rFonts w:cs="Times New Roman"/>
          <w:szCs w:val="24"/>
        </w:rPr>
        <w:t>As previously explained, the plaintiff has the burden of proving that the act[s] of the defendant [</w:t>
      </w:r>
      <w:r w:rsidR="00492076" w:rsidRPr="00492076">
        <w:rPr>
          <w:rFonts w:cs="Times New Roman"/>
          <w:i/>
          <w:iCs/>
          <w:szCs w:val="24"/>
          <w:u w:val="single"/>
        </w:rPr>
        <w:t>name</w:t>
      </w:r>
      <w:r w:rsidR="00492076" w:rsidRPr="00492076">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492076" w:rsidRPr="00492076">
        <w:rPr>
          <w:rFonts w:cs="Times New Roman"/>
          <w:i/>
          <w:iCs/>
          <w:szCs w:val="24"/>
          <w:u w:val="single"/>
        </w:rPr>
        <w:t>insert factual basis of the plaintiff’s claim</w:t>
      </w:r>
      <w:r w:rsidR="00492076" w:rsidRPr="00492076">
        <w:rPr>
          <w:rFonts w:cs="Times New Roman"/>
          <w:szCs w:val="24"/>
        </w:rPr>
        <w:t xml:space="preserve">].  </w:t>
      </w:r>
    </w:p>
    <w:p w14:paraId="3532F411" w14:textId="77777777" w:rsidR="00492076" w:rsidRPr="00492076" w:rsidRDefault="00492076" w:rsidP="00492076">
      <w:pPr>
        <w:autoSpaceDE w:val="0"/>
        <w:autoSpaceDN w:val="0"/>
        <w:adjustRightInd w:val="0"/>
        <w:rPr>
          <w:rFonts w:cs="Times New Roman"/>
          <w:szCs w:val="24"/>
        </w:rPr>
      </w:pPr>
    </w:p>
    <w:p w14:paraId="7EC9FBA0"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Under the First Amendment, a public employee has a qualified right to speak on matters of public concern.  I instruct you that the speech was on a matter of public concern.  In order to prove the defendant deprived the plaintiff of this First Amendment right, the plaintiff must prove the following additional elements by a preponderance of the evidence:</w:t>
      </w:r>
    </w:p>
    <w:p w14:paraId="25C725F5" w14:textId="77777777" w:rsidR="00492076" w:rsidRPr="00492076" w:rsidRDefault="00492076" w:rsidP="00492076">
      <w:pPr>
        <w:autoSpaceDE w:val="0"/>
        <w:autoSpaceDN w:val="0"/>
        <w:adjustRightInd w:val="0"/>
        <w:rPr>
          <w:rFonts w:cs="Times New Roman"/>
          <w:szCs w:val="24"/>
        </w:rPr>
      </w:pPr>
    </w:p>
    <w:p w14:paraId="6407F328"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1.</w:t>
      </w:r>
      <w:r w:rsidRPr="00492076">
        <w:rPr>
          <w:rFonts w:ascii="CG Times" w:hAnsi="CG Times" w:cs="CG Times"/>
          <w:szCs w:val="24"/>
        </w:rPr>
        <w:tab/>
      </w:r>
      <w:r w:rsidRPr="00492076">
        <w:rPr>
          <w:rFonts w:cs="Times New Roman"/>
          <w:szCs w:val="24"/>
        </w:rPr>
        <w:t>the plaintiff spoke as a private citizen and not as part of [his] [her] official duties as a public employee;</w:t>
      </w:r>
    </w:p>
    <w:p w14:paraId="2008267E" w14:textId="77777777" w:rsidR="00492076" w:rsidRPr="00492076" w:rsidRDefault="00492076" w:rsidP="00492076">
      <w:pPr>
        <w:autoSpaceDE w:val="0"/>
        <w:autoSpaceDN w:val="0"/>
        <w:adjustRightInd w:val="0"/>
        <w:rPr>
          <w:rFonts w:cs="Times New Roman"/>
          <w:szCs w:val="24"/>
        </w:rPr>
      </w:pPr>
    </w:p>
    <w:p w14:paraId="73B964E5"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2.</w:t>
      </w:r>
      <w:r w:rsidRPr="00492076">
        <w:rPr>
          <w:rFonts w:ascii="CG Times" w:hAnsi="CG Times" w:cs="CG Times"/>
          <w:szCs w:val="24"/>
        </w:rPr>
        <w:tab/>
      </w:r>
      <w:r w:rsidRPr="00492076">
        <w:rPr>
          <w:rFonts w:cs="Times New Roman"/>
          <w:szCs w:val="24"/>
        </w:rPr>
        <w:t>the defendant took an adverse employment action against the plaintiff; and</w:t>
      </w:r>
    </w:p>
    <w:p w14:paraId="2A609D14" w14:textId="77777777" w:rsidR="00492076" w:rsidRPr="00492076" w:rsidRDefault="00492076" w:rsidP="00492076">
      <w:pPr>
        <w:autoSpaceDE w:val="0"/>
        <w:autoSpaceDN w:val="0"/>
        <w:adjustRightInd w:val="0"/>
        <w:rPr>
          <w:rFonts w:cs="Times New Roman"/>
          <w:szCs w:val="24"/>
        </w:rPr>
      </w:pPr>
    </w:p>
    <w:p w14:paraId="5776D3B8" w14:textId="77777777" w:rsidR="00492076" w:rsidRPr="00492076" w:rsidRDefault="00492076" w:rsidP="00492076">
      <w:pPr>
        <w:tabs>
          <w:tab w:val="left" w:pos="720"/>
          <w:tab w:val="left" w:pos="1440"/>
        </w:tabs>
        <w:autoSpaceDE w:val="0"/>
        <w:autoSpaceDN w:val="0"/>
        <w:adjustRightInd w:val="0"/>
        <w:ind w:left="1440" w:hanging="1440"/>
        <w:rPr>
          <w:rFonts w:cs="Times New Roman"/>
          <w:szCs w:val="24"/>
        </w:rPr>
      </w:pPr>
      <w:r w:rsidRPr="00492076">
        <w:rPr>
          <w:rFonts w:cs="Times New Roman"/>
          <w:szCs w:val="24"/>
        </w:rPr>
        <w:tab/>
        <w:t>3.</w:t>
      </w:r>
      <w:r w:rsidRPr="00492076">
        <w:rPr>
          <w:rFonts w:ascii="CG Times" w:hAnsi="CG Times" w:cs="CG Times"/>
          <w:szCs w:val="24"/>
        </w:rPr>
        <w:tab/>
      </w:r>
      <w:r w:rsidRPr="00492076">
        <w:rPr>
          <w:rFonts w:cs="Times New Roman"/>
          <w:szCs w:val="24"/>
        </w:rPr>
        <w:t>the plaintiff’s speech was a substantial or motivating factor for the adverse employment action.</w:t>
      </w:r>
    </w:p>
    <w:p w14:paraId="04A51051" w14:textId="77777777" w:rsidR="00492076" w:rsidRPr="00492076" w:rsidRDefault="00492076" w:rsidP="00492076">
      <w:pPr>
        <w:autoSpaceDE w:val="0"/>
        <w:autoSpaceDN w:val="0"/>
        <w:adjustRightInd w:val="0"/>
        <w:rPr>
          <w:rFonts w:cs="Times New Roman"/>
          <w:szCs w:val="24"/>
        </w:rPr>
      </w:pPr>
    </w:p>
    <w:p w14:paraId="4B6F981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13299733" w14:textId="77777777" w:rsidR="00492076" w:rsidRPr="00492076" w:rsidRDefault="00492076" w:rsidP="00492076">
      <w:pPr>
        <w:autoSpaceDE w:val="0"/>
        <w:autoSpaceDN w:val="0"/>
        <w:adjustRightInd w:val="0"/>
        <w:rPr>
          <w:rFonts w:cs="Times New Roman"/>
          <w:szCs w:val="24"/>
        </w:rPr>
      </w:pPr>
    </w:p>
    <w:p w14:paraId="778A664A" w14:textId="77777777" w:rsidR="00CE3FD0" w:rsidRDefault="00492076" w:rsidP="00492076">
      <w:pPr>
        <w:autoSpaceDE w:val="0"/>
        <w:autoSpaceDN w:val="0"/>
        <w:adjustRightInd w:val="0"/>
        <w:rPr>
          <w:rFonts w:cs="Times New Roman"/>
          <w:szCs w:val="24"/>
        </w:rPr>
      </w:pPr>
      <w:r w:rsidRPr="00492076">
        <w:rPr>
          <w:rFonts w:cs="Times New Roman"/>
          <w:szCs w:val="24"/>
        </w:rPr>
        <w:tab/>
        <w:t>A substantial or motivating factor is a significant factor.</w:t>
      </w:r>
    </w:p>
    <w:p w14:paraId="26C5AAAD" w14:textId="77777777" w:rsidR="00CE3FD0" w:rsidRDefault="00CE3FD0" w:rsidP="00492076">
      <w:pPr>
        <w:autoSpaceDE w:val="0"/>
        <w:autoSpaceDN w:val="0"/>
        <w:adjustRightInd w:val="0"/>
        <w:rPr>
          <w:rFonts w:cs="Times New Roman"/>
          <w:szCs w:val="24"/>
        </w:rPr>
      </w:pPr>
    </w:p>
    <w:p w14:paraId="083170A3" w14:textId="77777777" w:rsidR="00CE3FD0" w:rsidRPr="00A84283" w:rsidRDefault="00CE3FD0" w:rsidP="00CE3FD0">
      <w:pPr>
        <w:autoSpaceDE w:val="0"/>
        <w:autoSpaceDN w:val="0"/>
        <w:adjustRightInd w:val="0"/>
        <w:ind w:firstLine="720"/>
        <w:rPr>
          <w:rFonts w:cs="Times New Roman"/>
          <w:szCs w:val="24"/>
        </w:rPr>
      </w:pPr>
      <w:r w:rsidRPr="00A84283">
        <w:rPr>
          <w:rFonts w:cs="Times New Roman"/>
          <w:szCs w:val="24"/>
        </w:rPr>
        <w:t>If the plaintiff establishes each of the foregoing elements, the burden shifts to the defendant to demonstrate that the defendant would have taken the action(s) in question, even in the absence of any motive to retaliate against the plaintiff.  If you find that the defendant is able to demonstrate this, you must find for the defendant.  If you find that the defendant is not able to</w:t>
      </w:r>
    </w:p>
    <w:p w14:paraId="6BBAE31F" w14:textId="77777777" w:rsidR="00CE3FD0" w:rsidRPr="00A84283" w:rsidRDefault="00CE3FD0" w:rsidP="00CE3FD0">
      <w:pPr>
        <w:autoSpaceDE w:val="0"/>
        <w:autoSpaceDN w:val="0"/>
        <w:adjustRightInd w:val="0"/>
        <w:rPr>
          <w:rFonts w:cs="Times New Roman"/>
          <w:szCs w:val="24"/>
        </w:rPr>
      </w:pPr>
      <w:r w:rsidRPr="00A84283">
        <w:rPr>
          <w:rFonts w:cs="Times New Roman"/>
          <w:szCs w:val="24"/>
        </w:rPr>
        <w:t>demonstrate this, you must find for the plaintiff.</w:t>
      </w:r>
    </w:p>
    <w:p w14:paraId="3D9A3CE5" w14:textId="138314E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 </w:t>
      </w:r>
    </w:p>
    <w:p w14:paraId="611EEDF6" w14:textId="77777777" w:rsidR="00492076" w:rsidRPr="00492076" w:rsidRDefault="00492076" w:rsidP="00492076">
      <w:pPr>
        <w:autoSpaceDE w:val="0"/>
        <w:autoSpaceDN w:val="0"/>
        <w:adjustRightInd w:val="0"/>
        <w:rPr>
          <w:rFonts w:cs="Times New Roman"/>
          <w:szCs w:val="24"/>
        </w:rPr>
      </w:pPr>
    </w:p>
    <w:p w14:paraId="7A9BEF39" w14:textId="77777777" w:rsidR="00492076" w:rsidRPr="00492076" w:rsidRDefault="00492076" w:rsidP="00492076">
      <w:pPr>
        <w:autoSpaceDE w:val="0"/>
        <w:autoSpaceDN w:val="0"/>
        <w:adjustRightInd w:val="0"/>
        <w:jc w:val="center"/>
        <w:rPr>
          <w:rFonts w:cs="Times New Roman"/>
          <w:b/>
          <w:bCs/>
          <w:szCs w:val="24"/>
        </w:rPr>
      </w:pPr>
      <w:r w:rsidRPr="00492076">
        <w:rPr>
          <w:rFonts w:cs="Times New Roman"/>
          <w:b/>
          <w:bCs/>
          <w:szCs w:val="24"/>
        </w:rPr>
        <w:t>Comment</w:t>
      </w:r>
    </w:p>
    <w:p w14:paraId="4B355D62" w14:textId="77777777" w:rsidR="00492076" w:rsidRPr="00492076" w:rsidRDefault="00492076" w:rsidP="00492076">
      <w:pPr>
        <w:autoSpaceDE w:val="0"/>
        <w:autoSpaceDN w:val="0"/>
        <w:adjustRightInd w:val="0"/>
        <w:jc w:val="center"/>
        <w:rPr>
          <w:rFonts w:cs="Times New Roman"/>
          <w:b/>
          <w:bCs/>
          <w:szCs w:val="24"/>
        </w:rPr>
      </w:pPr>
    </w:p>
    <w:p w14:paraId="594C6638" w14:textId="77777777" w:rsidR="00492076" w:rsidRPr="00492076" w:rsidRDefault="00492076" w:rsidP="00492076">
      <w:pPr>
        <w:autoSpaceDE w:val="0"/>
        <w:autoSpaceDN w:val="0"/>
        <w:adjustRightInd w:val="0"/>
        <w:rPr>
          <w:rFonts w:cs="Times New Roman"/>
          <w:szCs w:val="24"/>
        </w:rPr>
      </w:pPr>
      <w:r w:rsidRPr="00492076">
        <w:rPr>
          <w:rFonts w:cs="Times New Roman"/>
          <w:b/>
          <w:bCs/>
          <w:szCs w:val="24"/>
        </w:rPr>
        <w:tab/>
      </w:r>
      <w:r w:rsidRPr="00492076">
        <w:rPr>
          <w:rFonts w:cs="Times New Roman"/>
          <w:szCs w:val="24"/>
        </w:rPr>
        <w:t xml:space="preserve">Use this instruction only in conjunction with the applicable elements instruction, Instructions 9.3–9.8, and when the plaintiff is a public employee.  Use Instruction 9.11 (Particular Rights—First Amendment—“Citizen”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492076">
        <w:rPr>
          <w:rFonts w:cs="Times New Roman"/>
          <w:i/>
          <w:iCs/>
          <w:szCs w:val="24"/>
        </w:rPr>
        <w:t>See Clem v. Lomeli</w:t>
      </w:r>
      <w:r w:rsidRPr="00492076">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62FA6894" w14:textId="77777777" w:rsidR="00492076" w:rsidRPr="00492076" w:rsidRDefault="00492076" w:rsidP="00492076">
      <w:pPr>
        <w:autoSpaceDE w:val="0"/>
        <w:autoSpaceDN w:val="0"/>
        <w:adjustRightInd w:val="0"/>
        <w:rPr>
          <w:rFonts w:cs="Times New Roman"/>
          <w:szCs w:val="24"/>
        </w:rPr>
      </w:pPr>
    </w:p>
    <w:p w14:paraId="3B8AE7BB"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As to whether a public employee’s speech is protected under the First Amendment, the Supreme Court has “made clear that public employees do not surrender all their First </w:t>
      </w:r>
      <w:r w:rsidRPr="00492076">
        <w:rPr>
          <w:rFonts w:cs="Times New Roman"/>
          <w:szCs w:val="24"/>
        </w:rPr>
        <w:lastRenderedPageBreak/>
        <w:t xml:space="preserve">Amendment rights by reason of their employment.  Rather, the First Amendment protects a public employee’s right, in certain circumstances, to speak as a citizen addressing matters of public concern.”  </w:t>
      </w:r>
      <w:r w:rsidRPr="00492076">
        <w:rPr>
          <w:rFonts w:cs="Times New Roman"/>
          <w:i/>
          <w:iCs/>
          <w:szCs w:val="24"/>
        </w:rPr>
        <w:t>Garcetti v. Ceballos</w:t>
      </w:r>
      <w:r w:rsidRPr="00492076">
        <w:rPr>
          <w:rFonts w:cs="Times New Roman"/>
          <w:szCs w:val="24"/>
        </w:rPr>
        <w:t xml:space="preserve">, 547 U.S. 410, 417 (2006); </w:t>
      </w:r>
      <w:r w:rsidRPr="00492076">
        <w:rPr>
          <w:rFonts w:cs="Times New Roman"/>
          <w:i/>
          <w:iCs/>
          <w:szCs w:val="24"/>
        </w:rPr>
        <w:t>see also</w:t>
      </w:r>
      <w:r w:rsidRPr="00492076">
        <w:rPr>
          <w:rFonts w:cs="Times New Roman"/>
          <w:szCs w:val="24"/>
        </w:rPr>
        <w:t xml:space="preserve"> </w:t>
      </w:r>
      <w:r w:rsidRPr="00492076">
        <w:rPr>
          <w:rFonts w:cs="Times New Roman"/>
          <w:i/>
          <w:iCs/>
          <w:szCs w:val="24"/>
        </w:rPr>
        <w:t xml:space="preserve">Borough of Duryea v. </w:t>
      </w:r>
      <w:proofErr w:type="spellStart"/>
      <w:r w:rsidRPr="00492076">
        <w:rPr>
          <w:rFonts w:cs="Times New Roman"/>
          <w:i/>
          <w:iCs/>
          <w:szCs w:val="24"/>
        </w:rPr>
        <w:t>Guarnieri</w:t>
      </w:r>
      <w:proofErr w:type="spellEnd"/>
      <w:r w:rsidRPr="00492076">
        <w:rPr>
          <w:rFonts w:cs="Times New Roman"/>
          <w:szCs w:val="24"/>
        </w:rPr>
        <w:t xml:space="preserve">, 564 U.S. 379, 383-86 (2011) (applying </w:t>
      </w:r>
      <w:r w:rsidRPr="00492076">
        <w:rPr>
          <w:rFonts w:cs="Times New Roman"/>
          <w:i/>
          <w:iCs/>
          <w:szCs w:val="24"/>
        </w:rPr>
        <w:t>Garcetti</w:t>
      </w:r>
      <w:r w:rsidRPr="00492076">
        <w:rPr>
          <w:rFonts w:cs="Times New Roman"/>
          <w:szCs w:val="24"/>
        </w:rPr>
        <w:t xml:space="preserve"> public concern test to public employee’s First Amendment Petition Clause claims). </w:t>
      </w:r>
    </w:p>
    <w:p w14:paraId="5AE8D55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Gibson v. Office of Attorney Gen.</w:t>
      </w:r>
      <w:r w:rsidRPr="00492076">
        <w:rPr>
          <w:rFonts w:cs="Times New Roman"/>
          <w:szCs w:val="24"/>
        </w:rPr>
        <w:t>, 561 F.3d 920, 925 (9th Cir. 2009), the Ninth Circuit reiterated the “sequential five-step series of questions” to consider when evaluating a public employee’s First Amendment retaliation claim:</w:t>
      </w:r>
    </w:p>
    <w:p w14:paraId="314D2D5E" w14:textId="77777777" w:rsidR="00492076" w:rsidRPr="00492076" w:rsidRDefault="00492076" w:rsidP="00492076">
      <w:pPr>
        <w:autoSpaceDE w:val="0"/>
        <w:autoSpaceDN w:val="0"/>
        <w:adjustRightInd w:val="0"/>
        <w:rPr>
          <w:rFonts w:cs="Times New Roman"/>
          <w:szCs w:val="24"/>
        </w:rPr>
      </w:pPr>
    </w:p>
    <w:p w14:paraId="78D242EA" w14:textId="77777777" w:rsidR="00492076" w:rsidRPr="00492076" w:rsidRDefault="00492076" w:rsidP="00492076">
      <w:pPr>
        <w:autoSpaceDE w:val="0"/>
        <w:autoSpaceDN w:val="0"/>
        <w:adjustRightInd w:val="0"/>
        <w:ind w:left="720" w:right="720"/>
        <w:jc w:val="both"/>
        <w:rPr>
          <w:rFonts w:cs="Times New Roman"/>
          <w:szCs w:val="24"/>
        </w:rPr>
      </w:pPr>
      <w:r w:rsidRPr="00492076">
        <w:rPr>
          <w:rFonts w:cs="Times New Roman"/>
          <w:szCs w:val="24"/>
        </w:rPr>
        <w:t>(1) [W]</w:t>
      </w:r>
      <w:proofErr w:type="spellStart"/>
      <w:r w:rsidRPr="00492076">
        <w:rPr>
          <w:rFonts w:cs="Times New Roman"/>
          <w:szCs w:val="24"/>
        </w:rPr>
        <w:t>hether</w:t>
      </w:r>
      <w:proofErr w:type="spellEnd"/>
      <w:r w:rsidRPr="00492076">
        <w:rPr>
          <w:rFonts w:cs="Times New Roman"/>
          <w:szCs w:val="24"/>
        </w:rPr>
        <w:t xml:space="preserve">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355E0E0F" w14:textId="77777777" w:rsidR="00492076" w:rsidRPr="00492076" w:rsidRDefault="00492076" w:rsidP="00492076">
      <w:pPr>
        <w:autoSpaceDE w:val="0"/>
        <w:autoSpaceDN w:val="0"/>
        <w:adjustRightInd w:val="0"/>
        <w:rPr>
          <w:rFonts w:cs="Times New Roman"/>
          <w:i/>
          <w:iCs/>
          <w:szCs w:val="24"/>
        </w:rPr>
      </w:pPr>
      <w:r w:rsidRPr="00492076">
        <w:rPr>
          <w:rFonts w:cs="Times New Roman"/>
          <w:szCs w:val="24"/>
        </w:rPr>
        <w:t xml:space="preserve">  </w:t>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r w:rsidRPr="00492076">
        <w:rPr>
          <w:rFonts w:cs="Times New Roman"/>
          <w:i/>
          <w:iCs/>
          <w:szCs w:val="24"/>
        </w:rPr>
        <w:tab/>
      </w:r>
    </w:p>
    <w:p w14:paraId="744E2372"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 xml:space="preserve">Id. </w:t>
      </w:r>
      <w:r w:rsidRPr="00492076">
        <w:rPr>
          <w:rFonts w:cs="Times New Roman"/>
          <w:szCs w:val="24"/>
        </w:rPr>
        <w:t xml:space="preserve">(quoting </w:t>
      </w:r>
      <w:proofErr w:type="spellStart"/>
      <w:r w:rsidRPr="00492076">
        <w:rPr>
          <w:rFonts w:cs="Times New Roman"/>
          <w:i/>
          <w:iCs/>
          <w:szCs w:val="24"/>
        </w:rPr>
        <w:t>Eng</w:t>
      </w:r>
      <w:proofErr w:type="spellEnd"/>
      <w:r w:rsidRPr="00492076">
        <w:rPr>
          <w:rFonts w:cs="Times New Roman"/>
          <w:i/>
          <w:iCs/>
          <w:szCs w:val="24"/>
        </w:rPr>
        <w:t xml:space="preserve"> v. Cooley,</w:t>
      </w:r>
      <w:r w:rsidRPr="00492076">
        <w:rPr>
          <w:rFonts w:cs="Times New Roman"/>
          <w:szCs w:val="24"/>
        </w:rPr>
        <w:t xml:space="preserve"> 552 F.3d 1062, 1070 (9th Cir. 2009)). </w:t>
      </w:r>
    </w:p>
    <w:p w14:paraId="74B2CFFC" w14:textId="77777777" w:rsidR="00492076" w:rsidRPr="00492076" w:rsidRDefault="00492076" w:rsidP="00492076">
      <w:pPr>
        <w:autoSpaceDE w:val="0"/>
        <w:autoSpaceDN w:val="0"/>
        <w:adjustRightInd w:val="0"/>
        <w:rPr>
          <w:rFonts w:cs="Times New Roman"/>
          <w:szCs w:val="24"/>
        </w:rPr>
      </w:pPr>
    </w:p>
    <w:p w14:paraId="0AE1F54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Because this instruction only addresses the first three elements summarized in </w:t>
      </w:r>
      <w:proofErr w:type="spellStart"/>
      <w:r w:rsidRPr="00492076">
        <w:rPr>
          <w:rFonts w:cs="Times New Roman"/>
          <w:i/>
          <w:iCs/>
          <w:szCs w:val="24"/>
        </w:rPr>
        <w:t>Eng</w:t>
      </w:r>
      <w:proofErr w:type="spellEnd"/>
      <w:r w:rsidRPr="00492076">
        <w:rPr>
          <w:rFonts w:cs="Times New Roman"/>
          <w:szCs w:val="24"/>
        </w:rPr>
        <w:t xml:space="preserve"> and </w:t>
      </w:r>
      <w:r w:rsidRPr="00492076">
        <w:rPr>
          <w:rFonts w:cs="Times New Roman"/>
          <w:i/>
          <w:iCs/>
          <w:szCs w:val="24"/>
        </w:rPr>
        <w:t>Gibson</w:t>
      </w:r>
      <w:r w:rsidRPr="00492076">
        <w:rPr>
          <w:rFonts w:cs="Times New Roman"/>
          <w:szCs w:val="24"/>
        </w:rPr>
        <w:t>, the instruction should be modified if there are jury issues involving the fourth or fifth factors stated above.</w:t>
      </w:r>
    </w:p>
    <w:p w14:paraId="198A7816" w14:textId="77777777" w:rsidR="00492076" w:rsidRPr="00492076" w:rsidRDefault="00492076" w:rsidP="00492076">
      <w:pPr>
        <w:autoSpaceDE w:val="0"/>
        <w:autoSpaceDN w:val="0"/>
        <w:adjustRightInd w:val="0"/>
        <w:rPr>
          <w:rFonts w:cs="Times New Roman"/>
          <w:szCs w:val="24"/>
        </w:rPr>
      </w:pPr>
    </w:p>
    <w:p w14:paraId="702DA3AE" w14:textId="77777777" w:rsidR="00492076" w:rsidRPr="00492076" w:rsidRDefault="00492076" w:rsidP="00492076">
      <w:pPr>
        <w:autoSpaceDE w:val="0"/>
        <w:autoSpaceDN w:val="0"/>
        <w:adjustRightInd w:val="0"/>
        <w:ind w:firstLine="720"/>
        <w:rPr>
          <w:rFonts w:ascii="TimesNewRomanPSMT" w:hAnsi="TimesNewRomanPSMT" w:cs="TimesNewRomanPSMT"/>
          <w:szCs w:val="24"/>
        </w:rPr>
      </w:pPr>
      <w:r w:rsidRPr="00492076">
        <w:rPr>
          <w:rFonts w:ascii="TimesNewRomanPSMT" w:hAnsi="TimesNewRomanPSMT" w:cs="TimesNewRomanPSMT"/>
          <w:szCs w:val="24"/>
        </w:rPr>
        <w:t xml:space="preserve">“Although the [Supreme] Court first applied this framework to government employees, it extended its application to retaliation cases brought by government contractors because ‘the similarities between government employees and government contractors with respect to this issue are obvious.’”  </w:t>
      </w:r>
      <w:r w:rsidRPr="00492076">
        <w:rPr>
          <w:rFonts w:ascii="TimesNewRomanPS-ItalicMT" w:hAnsi="TimesNewRomanPS-ItalicMT" w:cs="TimesNewRomanPS-ItalicMT"/>
          <w:i/>
          <w:iCs/>
          <w:szCs w:val="24"/>
        </w:rPr>
        <w:t>Riley’s American Heritage Farms v. Elsasser</w:t>
      </w:r>
      <w:r w:rsidRPr="00492076">
        <w:rPr>
          <w:rFonts w:ascii="TimesNewRomanPSMT" w:hAnsi="TimesNewRomanPSMT" w:cs="TimesNewRomanPSMT"/>
          <w:szCs w:val="24"/>
        </w:rPr>
        <w:t xml:space="preserve">, 32 F.4th 707, 720 (9th Cir. 2022) (quoting </w:t>
      </w:r>
      <w:r w:rsidRPr="00492076">
        <w:rPr>
          <w:rFonts w:ascii="TimesNewRomanPS-ItalicMT" w:hAnsi="TimesNewRomanPS-ItalicMT" w:cs="TimesNewRomanPS-ItalicMT"/>
          <w:i/>
          <w:iCs/>
          <w:szCs w:val="24"/>
        </w:rPr>
        <w:t xml:space="preserve">Board of County </w:t>
      </w:r>
      <w:proofErr w:type="spellStart"/>
      <w:r w:rsidRPr="00492076">
        <w:rPr>
          <w:rFonts w:ascii="TimesNewRomanPS-ItalicMT" w:hAnsi="TimesNewRomanPS-ItalicMT" w:cs="TimesNewRomanPS-ItalicMT"/>
          <w:i/>
          <w:iCs/>
          <w:szCs w:val="24"/>
        </w:rPr>
        <w:t>Com’rs</w:t>
      </w:r>
      <w:proofErr w:type="spellEnd"/>
      <w:r w:rsidRPr="00492076">
        <w:rPr>
          <w:rFonts w:ascii="TimesNewRomanPS-ItalicMT" w:hAnsi="TimesNewRomanPS-ItalicMT" w:cs="TimesNewRomanPS-ItalicMT"/>
          <w:i/>
          <w:iCs/>
          <w:szCs w:val="24"/>
        </w:rPr>
        <w:t>, Wabaunsee County, Kan. v. Umbehr</w:t>
      </w:r>
      <w:r w:rsidRPr="00492076">
        <w:rPr>
          <w:rFonts w:ascii="TimesNewRomanPSMT" w:hAnsi="TimesNewRomanPSMT" w:cs="TimesNewRomanPSMT"/>
          <w:szCs w:val="24"/>
        </w:rPr>
        <w:t xml:space="preserve">, 518 U.S. 668, 674 (1996)).  Moreover, the Ninth Circuit has extended this framework “to a range of situations where ‘the relationship between the parties is analogous to that between an employer and employee,’” including cases involving “a business vendor operating under a contract with the government for weatherization services,” “a domestic violence counselor employed by a private company that performed counseling services for a municipal court,” and “a volunteer probation officer.”  </w:t>
      </w:r>
      <w:r w:rsidRPr="00492076">
        <w:rPr>
          <w:rFonts w:ascii="TimesNewRomanPS-ItalicMT" w:hAnsi="TimesNewRomanPS-ItalicMT" w:cs="TimesNewRomanPS-ItalicMT"/>
          <w:i/>
          <w:iCs/>
          <w:szCs w:val="24"/>
        </w:rPr>
        <w:t>Heritage Farms</w:t>
      </w:r>
      <w:r w:rsidRPr="00492076">
        <w:rPr>
          <w:rFonts w:ascii="TimesNewRomanPSMT" w:hAnsi="TimesNewRomanPSMT" w:cs="TimesNewRomanPSMT"/>
          <w:szCs w:val="24"/>
        </w:rPr>
        <w:t xml:space="preserve">, 32 F.4th at 720-21.  </w:t>
      </w:r>
      <w:r w:rsidRPr="00492076">
        <w:rPr>
          <w:rFonts w:cs="Times New Roman"/>
          <w:szCs w:val="24"/>
        </w:rPr>
        <w:t xml:space="preserve">The Ninth Circuit has also extended this framework to a case in which a school district relied on a private company to provide educational services for public school students. </w:t>
      </w:r>
      <w:r w:rsidRPr="00492076">
        <w:rPr>
          <w:rFonts w:cs="Times New Roman"/>
          <w:i/>
          <w:iCs/>
          <w:szCs w:val="24"/>
        </w:rPr>
        <w:t xml:space="preserve">Id. </w:t>
      </w:r>
      <w:r w:rsidRPr="00492076">
        <w:rPr>
          <w:rFonts w:cs="Times New Roman"/>
          <w:szCs w:val="24"/>
        </w:rPr>
        <w:t>at 722. The Ninth Circuit concluded that the school district had an interest in ensuring that the services performed by a historical reenactment venue “</w:t>
      </w:r>
      <w:proofErr w:type="spellStart"/>
      <w:r w:rsidRPr="00492076">
        <w:rPr>
          <w:rFonts w:cs="Times New Roman"/>
          <w:szCs w:val="24"/>
        </w:rPr>
        <w:t>ensur</w:t>
      </w:r>
      <w:proofErr w:type="spellEnd"/>
      <w:r w:rsidRPr="00492076">
        <w:rPr>
          <w:rFonts w:cs="Times New Roman"/>
          <w:szCs w:val="24"/>
        </w:rPr>
        <w:t xml:space="preserve">[ed] the students’ safety and maintain[ed] the school district’s intended curricular design for the trips.”  </w:t>
      </w:r>
      <w:r w:rsidRPr="00492076">
        <w:rPr>
          <w:rFonts w:cs="Times New Roman"/>
          <w:i/>
          <w:iCs/>
          <w:szCs w:val="24"/>
        </w:rPr>
        <w:t>Id.</w:t>
      </w:r>
    </w:p>
    <w:p w14:paraId="21ED3330" w14:textId="77777777" w:rsidR="00492076" w:rsidRPr="00492076" w:rsidRDefault="00492076" w:rsidP="00492076">
      <w:pPr>
        <w:autoSpaceDE w:val="0"/>
        <w:autoSpaceDN w:val="0"/>
        <w:adjustRightInd w:val="0"/>
        <w:rPr>
          <w:rFonts w:cs="Times New Roman"/>
          <w:szCs w:val="24"/>
        </w:rPr>
      </w:pPr>
    </w:p>
    <w:p w14:paraId="23D17E59"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The “public concern inquiry is purely a question of law,” </w:t>
      </w:r>
      <w:r w:rsidRPr="00492076">
        <w:rPr>
          <w:rFonts w:cs="Times New Roman"/>
          <w:i/>
          <w:iCs/>
          <w:szCs w:val="24"/>
        </w:rPr>
        <w:t>Gibson</w:t>
      </w:r>
      <w:r w:rsidRPr="00492076">
        <w:rPr>
          <w:rFonts w:cs="Times New Roman"/>
          <w:szCs w:val="24"/>
        </w:rPr>
        <w:t>, 561 F.3d at 925 (citing</w:t>
      </w:r>
    </w:p>
    <w:p w14:paraId="36E8E1DE" w14:textId="77777777" w:rsidR="00492076" w:rsidRPr="00492076" w:rsidRDefault="00492076" w:rsidP="00492076">
      <w:pPr>
        <w:autoSpaceDE w:val="0"/>
        <w:autoSpaceDN w:val="0"/>
        <w:adjustRightInd w:val="0"/>
        <w:rPr>
          <w:rFonts w:cs="Times New Roman"/>
          <w:szCs w:val="24"/>
        </w:rPr>
      </w:pPr>
      <w:proofErr w:type="spellStart"/>
      <w:r w:rsidRPr="00492076">
        <w:rPr>
          <w:rFonts w:cs="Times New Roman"/>
          <w:i/>
          <w:iCs/>
          <w:szCs w:val="24"/>
        </w:rPr>
        <w:t>Eng</w:t>
      </w:r>
      <w:proofErr w:type="spellEnd"/>
      <w:r w:rsidRPr="00492076">
        <w:rPr>
          <w:rFonts w:cs="Times New Roman"/>
          <w:szCs w:val="24"/>
        </w:rPr>
        <w:t>, 552 F.3d at 1070), that depends on the “content, form, and context of a given statement, as</w:t>
      </w:r>
    </w:p>
    <w:p w14:paraId="1F2DCAB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revealed by the whole record.”  </w:t>
      </w:r>
      <w:r w:rsidRPr="00492076">
        <w:rPr>
          <w:rFonts w:cs="Times New Roman"/>
          <w:i/>
          <w:iCs/>
          <w:szCs w:val="24"/>
        </w:rPr>
        <w:t>Ulrich v. City &amp; County of San Francisco</w:t>
      </w:r>
      <w:r w:rsidRPr="00492076">
        <w:rPr>
          <w:rFonts w:cs="Times New Roman"/>
          <w:szCs w:val="24"/>
        </w:rPr>
        <w:t>, 308 F.3d 968, 976-77 (9th Cir. 2002).</w:t>
      </w:r>
    </w:p>
    <w:p w14:paraId="3AC6390D" w14:textId="77777777" w:rsidR="00492076" w:rsidRPr="00492076" w:rsidRDefault="00492076" w:rsidP="00492076">
      <w:pPr>
        <w:autoSpaceDE w:val="0"/>
        <w:autoSpaceDN w:val="0"/>
        <w:adjustRightInd w:val="0"/>
        <w:rPr>
          <w:rFonts w:cs="Times New Roman"/>
          <w:szCs w:val="24"/>
        </w:rPr>
      </w:pPr>
    </w:p>
    <w:p w14:paraId="61878382"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Garcetti</w:t>
      </w:r>
      <w:r w:rsidRPr="00492076">
        <w:rPr>
          <w:rFonts w:cs="Times New Roman"/>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w:t>
      </w:r>
      <w:r w:rsidRPr="00492076">
        <w:rPr>
          <w:rFonts w:cs="Times New Roman"/>
          <w:szCs w:val="24"/>
        </w:rPr>
        <w:lastRenderedPageBreak/>
        <w:t xml:space="preserve">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492076">
        <w:rPr>
          <w:rFonts w:cs="Times New Roman"/>
          <w:i/>
          <w:iCs/>
          <w:szCs w:val="24"/>
        </w:rPr>
        <w:t>Id</w:t>
      </w:r>
      <w:r w:rsidRPr="00492076">
        <w:rPr>
          <w:rFonts w:cs="Times New Roman"/>
          <w:szCs w:val="24"/>
        </w:rPr>
        <w:t xml:space="preserve">. at 424-25.  Second, the Court recognized that </w:t>
      </w:r>
    </w:p>
    <w:p w14:paraId="26CCFFA0" w14:textId="77777777" w:rsidR="00492076" w:rsidRPr="00492076" w:rsidRDefault="00492076" w:rsidP="00492076">
      <w:pPr>
        <w:autoSpaceDE w:val="0"/>
        <w:autoSpaceDN w:val="0"/>
        <w:adjustRightInd w:val="0"/>
        <w:rPr>
          <w:rFonts w:cs="Times New Roman"/>
          <w:szCs w:val="24"/>
        </w:rPr>
      </w:pPr>
    </w:p>
    <w:p w14:paraId="21775819" w14:textId="77777777" w:rsidR="00492076" w:rsidRPr="00492076" w:rsidRDefault="00492076" w:rsidP="00492076">
      <w:pPr>
        <w:autoSpaceDE w:val="0"/>
        <w:autoSpaceDN w:val="0"/>
        <w:adjustRightInd w:val="0"/>
        <w:ind w:left="720" w:right="720"/>
        <w:jc w:val="both"/>
        <w:rPr>
          <w:rFonts w:cs="Times New Roman"/>
          <w:szCs w:val="24"/>
        </w:rPr>
      </w:pPr>
      <w:r w:rsidRPr="00492076">
        <w:rPr>
          <w:rFonts w:cs="Times New Roman"/>
          <w:szCs w:val="24"/>
        </w:rPr>
        <w:t>[t]here is some argument that expression related to academic scholarship or classroom instruction implicates additional constitutional interests that are not fully accounted for by this Court’s customary employee-speech jurisprudence … [F]or that reason [we] do not[] decide whether the analysis we conduct today would apply in the same manner to a case involving speech related to scholarship or teaching.</w:t>
      </w:r>
    </w:p>
    <w:p w14:paraId="7A7B68AE" w14:textId="77777777" w:rsidR="00492076" w:rsidRPr="00492076" w:rsidRDefault="00492076" w:rsidP="00492076">
      <w:pPr>
        <w:autoSpaceDE w:val="0"/>
        <w:autoSpaceDN w:val="0"/>
        <w:adjustRightInd w:val="0"/>
        <w:ind w:left="720" w:right="720"/>
        <w:rPr>
          <w:rFonts w:cs="Times New Roman"/>
          <w:szCs w:val="24"/>
        </w:rPr>
      </w:pPr>
    </w:p>
    <w:p w14:paraId="6B6BE4DA"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 </w:t>
      </w:r>
      <w:r w:rsidRPr="00492076">
        <w:rPr>
          <w:rFonts w:cs="Times New Roman"/>
          <w:i/>
          <w:iCs/>
          <w:szCs w:val="24"/>
        </w:rPr>
        <w:t>Id</w:t>
      </w:r>
      <w:r w:rsidRPr="00492076">
        <w:rPr>
          <w:rFonts w:cs="Times New Roman"/>
          <w:szCs w:val="24"/>
        </w:rPr>
        <w:t>. at 425.</w:t>
      </w:r>
    </w:p>
    <w:p w14:paraId="253772F6" w14:textId="77777777" w:rsidR="00492076" w:rsidRPr="00492076" w:rsidRDefault="00492076" w:rsidP="00492076">
      <w:pPr>
        <w:autoSpaceDE w:val="0"/>
        <w:autoSpaceDN w:val="0"/>
        <w:adjustRightInd w:val="0"/>
        <w:rPr>
          <w:rFonts w:cs="Times New Roman"/>
          <w:szCs w:val="24"/>
        </w:rPr>
      </w:pPr>
    </w:p>
    <w:p w14:paraId="5B42134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In </w:t>
      </w:r>
      <w:r w:rsidRPr="00492076">
        <w:rPr>
          <w:rFonts w:cs="Times New Roman"/>
          <w:i/>
          <w:iCs/>
          <w:szCs w:val="24"/>
        </w:rPr>
        <w:t>Demers v. Austin</w:t>
      </w:r>
      <w:r w:rsidRPr="00492076">
        <w:rPr>
          <w:rFonts w:cs="Times New Roman"/>
          <w:szCs w:val="24"/>
        </w:rPr>
        <w:t>, 746 F.3d 402, 406 (9th Cir. 2014), however, the Ninth Circuit answered the latter question and held that “</w:t>
      </w:r>
      <w:r w:rsidRPr="00492076">
        <w:rPr>
          <w:rFonts w:cs="Times New Roman"/>
          <w:i/>
          <w:iCs/>
          <w:szCs w:val="24"/>
        </w:rPr>
        <w:t>Garcetti</w:t>
      </w:r>
      <w:r w:rsidRPr="00492076">
        <w:rPr>
          <w:rFonts w:cs="Times New Roman"/>
          <w:szCs w:val="24"/>
        </w:rPr>
        <w:t xml:space="preserve"> does not apply to ‘speech related to scholarship or teaching.’”  Rather, the Ninth Circuit held that such speech is governed by </w:t>
      </w:r>
      <w:r w:rsidRPr="00492076">
        <w:rPr>
          <w:rFonts w:cs="Times New Roman"/>
          <w:i/>
          <w:iCs/>
          <w:szCs w:val="24"/>
        </w:rPr>
        <w:t>Pickering v. Board of Education</w:t>
      </w:r>
      <w:r w:rsidRPr="00492076">
        <w:rPr>
          <w:rFonts w:cs="Times New Roman"/>
          <w:szCs w:val="24"/>
        </w:rPr>
        <w:t xml:space="preserve">, 391 U.S. 563 (1968) (considering speech by public school teacher critical of school board).  </w:t>
      </w:r>
      <w:r w:rsidRPr="00492076">
        <w:rPr>
          <w:rFonts w:cs="Times New Roman"/>
          <w:i/>
          <w:iCs/>
          <w:szCs w:val="24"/>
        </w:rPr>
        <w:t>Id</w:t>
      </w:r>
      <w:r w:rsidRPr="00492076">
        <w:rPr>
          <w:rFonts w:cs="Times New Roman"/>
          <w:szCs w:val="24"/>
        </w:rPr>
        <w:t xml:space="preserve">.  The </w:t>
      </w:r>
      <w:r w:rsidRPr="00492076">
        <w:rPr>
          <w:rFonts w:cs="Times New Roman"/>
          <w:i/>
          <w:iCs/>
          <w:szCs w:val="24"/>
        </w:rPr>
        <w:t>Demers</w:t>
      </w:r>
      <w:r w:rsidRPr="00492076">
        <w:rPr>
          <w:rFonts w:cs="Times New Roman"/>
          <w:szCs w:val="24"/>
        </w:rPr>
        <w:t xml:space="preserve"> court went on to conclude that a state university professor’s plan for changes in his department addressed a matter of public concern under </w:t>
      </w:r>
      <w:r w:rsidRPr="00492076">
        <w:rPr>
          <w:rFonts w:cs="Times New Roman"/>
          <w:i/>
          <w:iCs/>
          <w:szCs w:val="24"/>
        </w:rPr>
        <w:t>Pickering</w:t>
      </w:r>
      <w:r w:rsidRPr="00492076">
        <w:rPr>
          <w:rFonts w:cs="Times New Roman"/>
          <w:szCs w:val="24"/>
        </w:rPr>
        <w:t xml:space="preserve">.  </w:t>
      </w:r>
      <w:r w:rsidRPr="00492076">
        <w:rPr>
          <w:rFonts w:cs="Times New Roman"/>
          <w:i/>
          <w:iCs/>
          <w:szCs w:val="24"/>
        </w:rPr>
        <w:t>Id</w:t>
      </w:r>
      <w:r w:rsidRPr="00492076">
        <w:rPr>
          <w:rFonts w:cs="Times New Roman"/>
          <w:szCs w:val="24"/>
        </w:rPr>
        <w:t xml:space="preserve">. at 414-17.  In </w:t>
      </w:r>
      <w:r w:rsidRPr="00492076">
        <w:rPr>
          <w:rFonts w:cs="Times New Roman"/>
          <w:i/>
          <w:iCs/>
          <w:szCs w:val="24"/>
        </w:rPr>
        <w:t>Kennedy v. Bremerton School Dist.</w:t>
      </w:r>
      <w:r w:rsidRPr="00492076">
        <w:rPr>
          <w:rFonts w:cs="Times New Roman"/>
          <w:szCs w:val="24"/>
        </w:rPr>
        <w:t>, 991 F.3d 1004, 1016 (9th Cir. 2021), the Ninth Circuit held that football coach spoke as a public employee when employer directed speech after games and therefore First Amendment rights were limited.</w:t>
      </w:r>
    </w:p>
    <w:p w14:paraId="10EA17FC" w14:textId="77777777" w:rsidR="00492076" w:rsidRPr="00492076" w:rsidRDefault="00492076" w:rsidP="00492076">
      <w:pPr>
        <w:autoSpaceDE w:val="0"/>
        <w:autoSpaceDN w:val="0"/>
        <w:adjustRightInd w:val="0"/>
        <w:rPr>
          <w:rFonts w:cs="Times New Roman"/>
          <w:szCs w:val="24"/>
        </w:rPr>
      </w:pPr>
    </w:p>
    <w:p w14:paraId="7FA6D0D2"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The definition of “adverse employment action” in this instruction is substantially the same as that in Instruction 10.10 (Civil Rights—Title VII—“Adverse Employment Action” in Retaliation Cases).  </w:t>
      </w:r>
      <w:r w:rsidRPr="00492076">
        <w:rPr>
          <w:rFonts w:cs="Times New Roman"/>
          <w:i/>
          <w:iCs/>
          <w:szCs w:val="24"/>
        </w:rPr>
        <w:t>See</w:t>
      </w:r>
      <w:r w:rsidRPr="00492076">
        <w:rPr>
          <w:rFonts w:cs="Times New Roman"/>
          <w:szCs w:val="24"/>
        </w:rPr>
        <w:t xml:space="preserve"> the Comment to that instruction for supporting authorities.</w:t>
      </w:r>
    </w:p>
    <w:p w14:paraId="3DA603EC" w14:textId="77777777" w:rsidR="00492076" w:rsidRPr="00492076" w:rsidRDefault="00492076" w:rsidP="00492076">
      <w:pPr>
        <w:autoSpaceDE w:val="0"/>
        <w:autoSpaceDN w:val="0"/>
        <w:adjustRightInd w:val="0"/>
        <w:rPr>
          <w:rFonts w:cs="Times New Roman"/>
          <w:szCs w:val="24"/>
        </w:rPr>
      </w:pPr>
    </w:p>
    <w:p w14:paraId="24F1437C"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With respect to causation, “[</w:t>
      </w:r>
      <w:proofErr w:type="spellStart"/>
      <w:r w:rsidRPr="00492076">
        <w:rPr>
          <w:rFonts w:cs="Times New Roman"/>
          <w:szCs w:val="24"/>
        </w:rPr>
        <w:t>i</w:t>
      </w:r>
      <w:proofErr w:type="spellEnd"/>
      <w:r w:rsidRPr="00492076">
        <w:rPr>
          <w:rFonts w:cs="Times New Roman"/>
          <w:szCs w:val="24"/>
        </w:rPr>
        <w:t>]t is clear . . . that the causation is understood to be but-for</w:t>
      </w:r>
    </w:p>
    <w:p w14:paraId="56B6C237"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causation, without which the adverse action would not have been taken.”  </w:t>
      </w:r>
      <w:r w:rsidRPr="00492076">
        <w:rPr>
          <w:rFonts w:cs="Times New Roman"/>
          <w:i/>
          <w:iCs/>
          <w:szCs w:val="24"/>
        </w:rPr>
        <w:t>Hartman v. Moore</w:t>
      </w:r>
      <w:r w:rsidRPr="00492076">
        <w:rPr>
          <w:rFonts w:cs="Times New Roman"/>
          <w:szCs w:val="24"/>
        </w:rPr>
        <w:t xml:space="preserve">, 547 U.S. 250, 260 (2006). Thus, “upon a prima facie showing of retaliatory harm, the burden shifts to the defendant official to demonstrate that even without the impetus to retaliate he would have taken the action complained of (such as firing the employee).”  </w:t>
      </w:r>
      <w:r w:rsidRPr="00492076">
        <w:rPr>
          <w:rFonts w:cs="Times New Roman"/>
          <w:i/>
          <w:iCs/>
          <w:szCs w:val="24"/>
        </w:rPr>
        <w:t>Id</w:t>
      </w:r>
      <w:r w:rsidRPr="00492076">
        <w:rPr>
          <w:rFonts w:cs="Times New Roman"/>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492076">
        <w:rPr>
          <w:rFonts w:cs="Times New Roman"/>
          <w:i/>
          <w:iCs/>
          <w:szCs w:val="24"/>
        </w:rPr>
        <w:t>Lakeside-Scott v. Multnomah</w:t>
      </w:r>
      <w:r w:rsidRPr="00492076">
        <w:rPr>
          <w:rFonts w:cs="Times New Roman"/>
          <w:szCs w:val="24"/>
        </w:rPr>
        <w:t xml:space="preserve"> </w:t>
      </w:r>
      <w:r w:rsidRPr="00492076">
        <w:rPr>
          <w:rFonts w:cs="Times New Roman"/>
          <w:i/>
          <w:iCs/>
          <w:szCs w:val="24"/>
        </w:rPr>
        <w:t>County</w:t>
      </w:r>
      <w:r w:rsidRPr="00492076">
        <w:rPr>
          <w:rFonts w:cs="Times New Roman"/>
          <w:szCs w:val="24"/>
        </w:rPr>
        <w:t>, 556 F.3d 797, 799 (9th Cir. 2009).  Regarding motive, the defendant’s actions must have been</w:t>
      </w:r>
    </w:p>
    <w:p w14:paraId="3C458D79" w14:textId="77777777" w:rsidR="00492076" w:rsidRPr="00492076" w:rsidRDefault="00492076" w:rsidP="00492076">
      <w:pPr>
        <w:autoSpaceDE w:val="0"/>
        <w:autoSpaceDN w:val="0"/>
        <w:adjustRightInd w:val="0"/>
        <w:rPr>
          <w:rFonts w:cs="Times New Roman"/>
          <w:i/>
          <w:iCs/>
          <w:szCs w:val="24"/>
        </w:rPr>
      </w:pPr>
      <w:r w:rsidRPr="00492076">
        <w:rPr>
          <w:rFonts w:cs="Times New Roman"/>
          <w:szCs w:val="24"/>
        </w:rPr>
        <w:t xml:space="preserve">substantially motivated by a desire to deter or chill the employee’s speech.  </w:t>
      </w:r>
      <w:proofErr w:type="spellStart"/>
      <w:r w:rsidRPr="00492076">
        <w:rPr>
          <w:rFonts w:cs="Times New Roman"/>
          <w:i/>
          <w:iCs/>
          <w:szCs w:val="24"/>
        </w:rPr>
        <w:t>Awabdy</w:t>
      </w:r>
      <w:proofErr w:type="spellEnd"/>
      <w:r w:rsidRPr="00492076">
        <w:rPr>
          <w:rFonts w:cs="Times New Roman"/>
          <w:i/>
          <w:iCs/>
          <w:szCs w:val="24"/>
        </w:rPr>
        <w:t xml:space="preserve"> v. City of</w:t>
      </w:r>
    </w:p>
    <w:p w14:paraId="53513E76" w14:textId="77777777" w:rsidR="00492076" w:rsidRPr="00492076" w:rsidRDefault="00492076" w:rsidP="00492076">
      <w:pPr>
        <w:autoSpaceDE w:val="0"/>
        <w:autoSpaceDN w:val="0"/>
        <w:adjustRightInd w:val="0"/>
        <w:rPr>
          <w:rFonts w:cs="Times New Roman"/>
          <w:szCs w:val="24"/>
        </w:rPr>
      </w:pPr>
      <w:r w:rsidRPr="00492076">
        <w:rPr>
          <w:rFonts w:cs="Times New Roman"/>
          <w:i/>
          <w:iCs/>
          <w:szCs w:val="24"/>
        </w:rPr>
        <w:t>Adelanto</w:t>
      </w:r>
      <w:r w:rsidRPr="00492076">
        <w:rPr>
          <w:rFonts w:cs="Times New Roman"/>
          <w:szCs w:val="24"/>
        </w:rPr>
        <w:t xml:space="preserve">, 368 F.3d 1062, 1071 (9th Cir. 2004); </w:t>
      </w:r>
      <w:proofErr w:type="spellStart"/>
      <w:r w:rsidRPr="00492076">
        <w:rPr>
          <w:rFonts w:cs="Times New Roman"/>
          <w:i/>
          <w:iCs/>
          <w:szCs w:val="24"/>
        </w:rPr>
        <w:t>Sloman</w:t>
      </w:r>
      <w:proofErr w:type="spellEnd"/>
      <w:r w:rsidRPr="00492076">
        <w:rPr>
          <w:rFonts w:cs="Times New Roman"/>
          <w:i/>
          <w:iCs/>
          <w:szCs w:val="24"/>
        </w:rPr>
        <w:t xml:space="preserve"> v. Tadlock</w:t>
      </w:r>
      <w:r w:rsidRPr="00492076">
        <w:rPr>
          <w:rFonts w:cs="Times New Roman"/>
          <w:szCs w:val="24"/>
        </w:rPr>
        <w:t>, 21 F.3d 1462, 1465, 1469 n.10 (9th Cir. 1994).</w:t>
      </w:r>
    </w:p>
    <w:p w14:paraId="6ED61718" w14:textId="77777777" w:rsidR="00492076" w:rsidRPr="00492076" w:rsidRDefault="00492076" w:rsidP="00492076">
      <w:pPr>
        <w:autoSpaceDE w:val="0"/>
        <w:autoSpaceDN w:val="0"/>
        <w:adjustRightInd w:val="0"/>
        <w:rPr>
          <w:rFonts w:cs="Times New Roman"/>
          <w:szCs w:val="24"/>
        </w:rPr>
      </w:pPr>
    </w:p>
    <w:p w14:paraId="2640F8F1"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Defining “substantial or motivating factor” as a “significant factor” does not misstate the law.  </w:t>
      </w:r>
      <w:proofErr w:type="spellStart"/>
      <w:r w:rsidRPr="00492076">
        <w:rPr>
          <w:rFonts w:cs="Times New Roman"/>
          <w:i/>
          <w:iCs/>
          <w:szCs w:val="24"/>
        </w:rPr>
        <w:t>Ostad</w:t>
      </w:r>
      <w:proofErr w:type="spellEnd"/>
      <w:r w:rsidRPr="00492076">
        <w:rPr>
          <w:rFonts w:cs="Times New Roman"/>
          <w:i/>
          <w:iCs/>
          <w:szCs w:val="24"/>
        </w:rPr>
        <w:t xml:space="preserve"> v. Or. Health </w:t>
      </w:r>
      <w:proofErr w:type="spellStart"/>
      <w:r w:rsidRPr="00492076">
        <w:rPr>
          <w:rFonts w:cs="Times New Roman"/>
          <w:i/>
          <w:iCs/>
          <w:szCs w:val="24"/>
        </w:rPr>
        <w:t>Scis</w:t>
      </w:r>
      <w:proofErr w:type="spellEnd"/>
      <w:r w:rsidRPr="00492076">
        <w:rPr>
          <w:rFonts w:cs="Times New Roman"/>
          <w:i/>
          <w:iCs/>
          <w:szCs w:val="24"/>
        </w:rPr>
        <w:t>. Univ</w:t>
      </w:r>
      <w:r w:rsidRPr="00492076">
        <w:rPr>
          <w:rFonts w:cs="Times New Roman"/>
          <w:szCs w:val="24"/>
        </w:rPr>
        <w:t>., 327 F.3d 876, 884-85 (9th Cir. 2003).</w:t>
      </w:r>
    </w:p>
    <w:p w14:paraId="259B0DE5"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This instruction should be modified when an employee was allegedly subjected to an</w:t>
      </w:r>
    </w:p>
    <w:p w14:paraId="4870C39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adverse employment action based on an employer’s erroneous belief that the employee engaged</w:t>
      </w:r>
    </w:p>
    <w:p w14:paraId="290C3094"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in protected speech.  In such cases, it is the employer’s motive for taking the adverse action that</w:t>
      </w:r>
    </w:p>
    <w:p w14:paraId="53B0647F"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 xml:space="preserve">triggers the employee’s right to bring an action.  </w:t>
      </w:r>
      <w:r w:rsidRPr="00492076">
        <w:rPr>
          <w:rFonts w:cs="Times New Roman"/>
          <w:i/>
          <w:iCs/>
          <w:szCs w:val="24"/>
        </w:rPr>
        <w:t>See Heffernan v. City of Paterson</w:t>
      </w:r>
      <w:r w:rsidRPr="00492076">
        <w:rPr>
          <w:rFonts w:cs="Times New Roman"/>
          <w:szCs w:val="24"/>
        </w:rPr>
        <w:t>, 136 S.</w:t>
      </w:r>
    </w:p>
    <w:p w14:paraId="310C47F6"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Ct. 1412 (2016) (holding that police officer who was demoted could pursue claim against</w:t>
      </w:r>
    </w:p>
    <w:p w14:paraId="3F316A74"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employer even though employer acted erroneously on belief that employee had participated in</w:t>
      </w:r>
    </w:p>
    <w:p w14:paraId="65CDC5EC"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political activity).</w:t>
      </w:r>
    </w:p>
    <w:p w14:paraId="222ECA26" w14:textId="77777777" w:rsidR="00492076" w:rsidRPr="00492076" w:rsidRDefault="00492076" w:rsidP="00492076">
      <w:pPr>
        <w:autoSpaceDE w:val="0"/>
        <w:autoSpaceDN w:val="0"/>
        <w:adjustRightInd w:val="0"/>
        <w:rPr>
          <w:rFonts w:cs="Times New Roman"/>
          <w:szCs w:val="24"/>
        </w:rPr>
      </w:pPr>
    </w:p>
    <w:p w14:paraId="780DDE5B"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492076">
        <w:rPr>
          <w:rFonts w:cs="Times New Roman"/>
          <w:i/>
          <w:iCs/>
          <w:szCs w:val="24"/>
        </w:rPr>
        <w:t>See Barone v. City of Springfield</w:t>
      </w:r>
      <w:r w:rsidRPr="00492076">
        <w:rPr>
          <w:rFonts w:cs="Times New Roman"/>
          <w:szCs w:val="24"/>
        </w:rPr>
        <w:t xml:space="preserve">, 902 F.3d 1091, 1101-06 (9th Cir. 2018).  </w:t>
      </w:r>
    </w:p>
    <w:p w14:paraId="47183EFF" w14:textId="77777777" w:rsidR="00492076" w:rsidRPr="00492076" w:rsidRDefault="00492076" w:rsidP="00492076">
      <w:pPr>
        <w:autoSpaceDE w:val="0"/>
        <w:autoSpaceDN w:val="0"/>
        <w:adjustRightInd w:val="0"/>
        <w:rPr>
          <w:rFonts w:cs="Times New Roman"/>
          <w:szCs w:val="24"/>
        </w:rPr>
      </w:pPr>
    </w:p>
    <w:p w14:paraId="083592E2" w14:textId="77777777" w:rsidR="00492076" w:rsidRPr="00492076" w:rsidRDefault="00492076" w:rsidP="00492076">
      <w:pPr>
        <w:autoSpaceDE w:val="0"/>
        <w:autoSpaceDN w:val="0"/>
        <w:adjustRightInd w:val="0"/>
        <w:ind w:firstLine="720"/>
        <w:rPr>
          <w:rFonts w:cs="Times New Roman"/>
          <w:szCs w:val="24"/>
        </w:rPr>
      </w:pPr>
      <w:r w:rsidRPr="00492076">
        <w:rPr>
          <w:rFonts w:ascii="TimesNewRomanPSMT" w:hAnsi="TimesNewRomanPSMT" w:cs="TimesNewRomanPSMT"/>
          <w:szCs w:val="24"/>
        </w:rPr>
        <w:t xml:space="preserve">This instruction does not apply to restrictions on the speech of elected officials because “an elected official’s speech is protected regardless [of] whether the official is speaking ‘as a citizen upon a matter of public concern.’”  </w:t>
      </w:r>
      <w:r w:rsidRPr="00492076">
        <w:rPr>
          <w:rFonts w:ascii="TimesNewRomanPS-ItalicMT" w:hAnsi="TimesNewRomanPS-ItalicMT" w:cs="TimesNewRomanPS-ItalicMT"/>
          <w:i/>
          <w:iCs/>
          <w:szCs w:val="24"/>
        </w:rPr>
        <w:t xml:space="preserve">See </w:t>
      </w:r>
      <w:proofErr w:type="spellStart"/>
      <w:r w:rsidRPr="00492076">
        <w:rPr>
          <w:rFonts w:ascii="TimesNewRomanPS-ItalicMT" w:hAnsi="TimesNewRomanPS-ItalicMT" w:cs="TimesNewRomanPS-ItalicMT"/>
          <w:i/>
          <w:iCs/>
          <w:szCs w:val="24"/>
        </w:rPr>
        <w:t>Boquist</w:t>
      </w:r>
      <w:proofErr w:type="spellEnd"/>
      <w:r w:rsidRPr="00492076">
        <w:rPr>
          <w:rFonts w:ascii="TimesNewRomanPS-ItalicMT" w:hAnsi="TimesNewRomanPS-ItalicMT" w:cs="TimesNewRomanPS-ItalicMT"/>
          <w:i/>
          <w:iCs/>
          <w:szCs w:val="24"/>
        </w:rPr>
        <w:t xml:space="preserve"> v. Courtney</w:t>
      </w:r>
      <w:r w:rsidRPr="00492076">
        <w:rPr>
          <w:rFonts w:ascii="TimesNewRomanPSMT" w:hAnsi="TimesNewRomanPSMT" w:cs="TimesNewRomanPSMT"/>
          <w:szCs w:val="24"/>
        </w:rPr>
        <w:t xml:space="preserve">, 32 F.4th 764, 780 (9th Cir. 2022) (quoting </w:t>
      </w:r>
      <w:r w:rsidRPr="00492076">
        <w:rPr>
          <w:rFonts w:ascii="TimesNewRomanPS-ItalicMT" w:hAnsi="TimesNewRomanPS-ItalicMT" w:cs="TimesNewRomanPS-ItalicMT"/>
          <w:i/>
          <w:iCs/>
          <w:szCs w:val="24"/>
        </w:rPr>
        <w:t>Garcetti</w:t>
      </w:r>
      <w:r w:rsidRPr="00492076">
        <w:rPr>
          <w:rFonts w:ascii="TimesNewRomanPSMT" w:hAnsi="TimesNewRomanPSMT" w:cs="TimesNewRomanPSMT"/>
          <w:szCs w:val="24"/>
        </w:rPr>
        <w:t xml:space="preserve">, 547 U.S. at 418).  </w:t>
      </w:r>
    </w:p>
    <w:p w14:paraId="0A509E34" w14:textId="77777777" w:rsidR="00492076" w:rsidRPr="00492076" w:rsidRDefault="00492076" w:rsidP="00492076">
      <w:pPr>
        <w:autoSpaceDE w:val="0"/>
        <w:autoSpaceDN w:val="0"/>
        <w:adjustRightInd w:val="0"/>
        <w:rPr>
          <w:rFonts w:cs="Times New Roman"/>
          <w:szCs w:val="24"/>
        </w:rPr>
      </w:pPr>
    </w:p>
    <w:p w14:paraId="51D1E9E9" w14:textId="77777777" w:rsidR="00492076" w:rsidRPr="00492076" w:rsidRDefault="00492076" w:rsidP="00492076">
      <w:pPr>
        <w:autoSpaceDE w:val="0"/>
        <w:autoSpaceDN w:val="0"/>
        <w:adjustRightInd w:val="0"/>
        <w:rPr>
          <w:rFonts w:cs="Times New Roman"/>
          <w:szCs w:val="24"/>
        </w:rPr>
      </w:pPr>
      <w:r w:rsidRPr="00492076">
        <w:rPr>
          <w:rFonts w:cs="Times New Roman"/>
          <w:szCs w:val="24"/>
        </w:rPr>
        <w:tab/>
        <w:t>After a plaintiff establishes the first three steps, he or she has made out a prima facie case, and at step four the burden shifts to the government “to show that ‘under the balancing test established by</w:t>
      </w:r>
      <w:r w:rsidRPr="00492076">
        <w:rPr>
          <w:rFonts w:cs="Times New Roman"/>
          <w:i/>
          <w:iCs/>
          <w:szCs w:val="24"/>
        </w:rPr>
        <w:t xml:space="preserve"> Pickering</w:t>
      </w:r>
      <w:r w:rsidRPr="00492076">
        <w:rPr>
          <w:rFonts w:cs="Times New Roman"/>
          <w:szCs w:val="24"/>
        </w:rPr>
        <w:t xml:space="preserve">, [the government’s] legitimate administrative interests outweigh the employee’s First Amendment rights.’”  </w:t>
      </w:r>
      <w:r w:rsidRPr="00492076">
        <w:rPr>
          <w:rFonts w:cs="Times New Roman"/>
          <w:i/>
          <w:iCs/>
          <w:szCs w:val="24"/>
        </w:rPr>
        <w:t>Moser v. Las Vegas Metro. Police. Dept.</w:t>
      </w:r>
      <w:r w:rsidRPr="00492076">
        <w:rPr>
          <w:rFonts w:cs="Times New Roman"/>
          <w:szCs w:val="24"/>
        </w:rPr>
        <w:t xml:space="preserve">, 984 F.3d 900, 906 (9th Cir. 2021) (quoting </w:t>
      </w:r>
      <w:proofErr w:type="spellStart"/>
      <w:r w:rsidRPr="00492076">
        <w:rPr>
          <w:rFonts w:cs="Times New Roman"/>
          <w:i/>
          <w:iCs/>
          <w:szCs w:val="24"/>
        </w:rPr>
        <w:t>Eng</w:t>
      </w:r>
      <w:proofErr w:type="spellEnd"/>
      <w:r w:rsidRPr="00492076">
        <w:rPr>
          <w:rFonts w:cs="Times New Roman"/>
          <w:szCs w:val="24"/>
        </w:rPr>
        <w:t xml:space="preserve">, 552 F.3d at 1071) (holding the government failed to satisfy its step four burden because it did not produce any evidence indicating the speech at issue caused or would cause disruption).  “[T]he </w:t>
      </w:r>
      <w:r w:rsidRPr="00492076">
        <w:rPr>
          <w:rFonts w:cs="Times New Roman"/>
          <w:i/>
          <w:iCs/>
          <w:szCs w:val="24"/>
        </w:rPr>
        <w:t>Pickering</w:t>
      </w:r>
      <w:r w:rsidRPr="00492076">
        <w:rPr>
          <w:rFonts w:cs="Times New Roman"/>
          <w:szCs w:val="24"/>
        </w:rPr>
        <w:t xml:space="preserve"> balancing test is a legal question, but its resolution often entails underlying factual disputes that need to be resolved by a fact-finder.”  </w:t>
      </w:r>
      <w:r w:rsidRPr="00492076">
        <w:rPr>
          <w:rFonts w:cs="Times New Roman"/>
          <w:i/>
          <w:iCs/>
          <w:szCs w:val="24"/>
        </w:rPr>
        <w:t>Id</w:t>
      </w:r>
      <w:r w:rsidRPr="00492076">
        <w:rPr>
          <w:rFonts w:cs="Times New Roman"/>
          <w:szCs w:val="24"/>
        </w:rPr>
        <w:t xml:space="preserve">. at 911 (quoting </w:t>
      </w:r>
      <w:proofErr w:type="spellStart"/>
      <w:r w:rsidRPr="00492076">
        <w:rPr>
          <w:rFonts w:cs="Times New Roman"/>
          <w:i/>
          <w:iCs/>
          <w:szCs w:val="24"/>
        </w:rPr>
        <w:t>Eng</w:t>
      </w:r>
      <w:proofErr w:type="spellEnd"/>
      <w:r w:rsidRPr="00492076">
        <w:rPr>
          <w:rFonts w:cs="Times New Roman"/>
          <w:szCs w:val="24"/>
        </w:rPr>
        <w:t xml:space="preserve">, 552 F.3d at 1071).  For example, the weight of the employee’s First Amendment interest is a question of law, but it is in part determined by the objective meaning of the employee’s speech, which is a question of fact.  </w:t>
      </w:r>
      <w:r w:rsidRPr="00492076">
        <w:rPr>
          <w:rFonts w:cs="Times New Roman"/>
          <w:i/>
          <w:iCs/>
          <w:szCs w:val="24"/>
        </w:rPr>
        <w:t>Id</w:t>
      </w:r>
      <w:r w:rsidRPr="00492076">
        <w:rPr>
          <w:rFonts w:cs="Times New Roman"/>
          <w:szCs w:val="24"/>
        </w:rPr>
        <w:t>. at 906–08.</w:t>
      </w:r>
    </w:p>
    <w:p w14:paraId="7D07723F" w14:textId="77777777" w:rsidR="00492076" w:rsidRPr="00492076" w:rsidRDefault="00492076" w:rsidP="00492076">
      <w:pPr>
        <w:autoSpaceDE w:val="0"/>
        <w:autoSpaceDN w:val="0"/>
        <w:adjustRightInd w:val="0"/>
        <w:rPr>
          <w:rFonts w:cs="Times New Roman"/>
          <w:szCs w:val="24"/>
        </w:rPr>
      </w:pPr>
    </w:p>
    <w:p w14:paraId="21B6DC97" w14:textId="77777777" w:rsidR="00492076" w:rsidRPr="00492076" w:rsidRDefault="00492076" w:rsidP="00492076">
      <w:pPr>
        <w:autoSpaceDE w:val="0"/>
        <w:autoSpaceDN w:val="0"/>
        <w:adjustRightInd w:val="0"/>
        <w:rPr>
          <w:rFonts w:cs="Times New Roman"/>
          <w:szCs w:val="24"/>
        </w:rPr>
      </w:pPr>
    </w:p>
    <w:p w14:paraId="7F395083" w14:textId="5AA0C861" w:rsidR="00492076" w:rsidRPr="00492076" w:rsidRDefault="00492076" w:rsidP="00492076">
      <w:pPr>
        <w:spacing w:after="160" w:line="259" w:lineRule="auto"/>
        <w:jc w:val="right"/>
        <w:rPr>
          <w:rFonts w:asciiTheme="minorHAnsi" w:hAnsiTheme="minorHAnsi"/>
          <w:sz w:val="22"/>
        </w:rPr>
      </w:pPr>
      <w:r w:rsidRPr="00492076">
        <w:rPr>
          <w:rFonts w:cs="Times New Roman"/>
          <w:i/>
          <w:iCs/>
          <w:szCs w:val="24"/>
        </w:rPr>
        <w:t xml:space="preserve">Revised </w:t>
      </w:r>
      <w:r w:rsidR="00D26A0E">
        <w:rPr>
          <w:rFonts w:cs="Times New Roman"/>
          <w:i/>
          <w:iCs/>
          <w:szCs w:val="24"/>
        </w:rPr>
        <w:t>Sept.</w:t>
      </w:r>
      <w:r w:rsidRPr="00492076">
        <w:rPr>
          <w:rFonts w:cs="Times New Roman"/>
          <w:i/>
          <w:iCs/>
          <w:szCs w:val="24"/>
        </w:rPr>
        <w:t xml:space="preserve"> 2022</w:t>
      </w:r>
    </w:p>
    <w:p w14:paraId="7B782B3C" w14:textId="54D2B29E" w:rsidR="00FB329D" w:rsidRDefault="00FB329D" w:rsidP="00492076">
      <w:pPr>
        <w:autoSpaceDE w:val="0"/>
        <w:autoSpaceDN w:val="0"/>
        <w:adjustRightInd w:val="0"/>
      </w:pP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3C2AD0A7" w14:textId="6690ACDF" w:rsidR="006A4CD7" w:rsidRPr="006A4CD7" w:rsidRDefault="006A4CD7" w:rsidP="002E1434">
      <w:pPr>
        <w:pStyle w:val="Heading2"/>
      </w:pPr>
      <w:r w:rsidRPr="006A4CD7">
        <w:br w:type="page"/>
      </w:r>
      <w:bookmarkStart w:id="131" w:name="_Toc117512425"/>
      <w:r w:rsidRPr="006A4CD7">
        <w:lastRenderedPageBreak/>
        <w:t>9.10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r w:rsidR="007847B8">
        <w:t>peaking</w:t>
      </w:r>
      <w:r w:rsidRPr="006A4CD7">
        <w:t xml:space="preserve"> </w:t>
      </w:r>
      <w:r w:rsidR="007847B8">
        <w:t>as</w:t>
      </w:r>
      <w:r w:rsidRPr="006A4CD7">
        <w:t xml:space="preserve"> </w:t>
      </w:r>
      <w:r w:rsidR="007847B8">
        <w:t>a</w:t>
      </w:r>
      <w:r w:rsidRPr="006A4CD7">
        <w:t xml:space="preserve"> P</w:t>
      </w:r>
      <w:r w:rsidR="007847B8">
        <w:t>rivate</w:t>
      </w:r>
      <w:r w:rsidRPr="006A4CD7">
        <w:t xml:space="preserve"> C</w:t>
      </w:r>
      <w:r w:rsidR="007847B8">
        <w:t>itizen</w:t>
      </w:r>
      <w:bookmarkEnd w:id="131"/>
    </w:p>
    <w:p w14:paraId="51936CD6" w14:textId="77777777" w:rsidR="006A4CD7" w:rsidRPr="006A4CD7" w:rsidRDefault="006A4CD7" w:rsidP="0060759C">
      <w:pPr>
        <w:autoSpaceDE w:val="0"/>
        <w:autoSpaceDN w:val="0"/>
        <w:adjustRightInd w:val="0"/>
        <w:rPr>
          <w:rFonts w:cs="Times New Roman"/>
          <w:b/>
          <w:bCs/>
          <w:szCs w:val="24"/>
        </w:rPr>
      </w:pPr>
    </w:p>
    <w:p w14:paraId="1F45B2CE" w14:textId="4DA91D8A" w:rsidR="00250B52" w:rsidRPr="00250B52" w:rsidRDefault="006A4CD7" w:rsidP="00250B52">
      <w:pPr>
        <w:autoSpaceDE w:val="0"/>
        <w:autoSpaceDN w:val="0"/>
        <w:adjustRightInd w:val="0"/>
        <w:rPr>
          <w:rFonts w:cs="Times New Roman"/>
          <w:szCs w:val="24"/>
        </w:rPr>
      </w:pPr>
      <w:r w:rsidRPr="006A4CD7">
        <w:rPr>
          <w:rFonts w:cs="Times New Roman"/>
          <w:szCs w:val="24"/>
        </w:rPr>
        <w:tab/>
      </w:r>
      <w:r w:rsidR="004A6A24" w:rsidRPr="006A4CD7">
        <w:rPr>
          <w:rFonts w:cs="Times New Roman"/>
          <w:szCs w:val="24"/>
        </w:rPr>
        <w:t xml:space="preserve">A </w:t>
      </w:r>
      <w:r w:rsidR="00250B52" w:rsidRPr="00250B52">
        <w:rPr>
          <w:rFonts w:cs="Times New Roman"/>
          <w:szCs w:val="24"/>
        </w:rPr>
        <w:t>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4FE93AF6" w14:textId="77777777" w:rsidR="00250B52" w:rsidRPr="00250B52" w:rsidRDefault="00250B52" w:rsidP="00250B52">
      <w:pPr>
        <w:autoSpaceDE w:val="0"/>
        <w:autoSpaceDN w:val="0"/>
        <w:adjustRightInd w:val="0"/>
        <w:rPr>
          <w:rFonts w:cs="Times New Roman"/>
          <w:szCs w:val="24"/>
        </w:rPr>
      </w:pPr>
    </w:p>
    <w:p w14:paraId="4187DD1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143885A8" w14:textId="77777777" w:rsidR="00250B52" w:rsidRPr="00250B52" w:rsidRDefault="00250B52" w:rsidP="00250B52">
      <w:pPr>
        <w:autoSpaceDE w:val="0"/>
        <w:autoSpaceDN w:val="0"/>
        <w:adjustRightInd w:val="0"/>
        <w:rPr>
          <w:rFonts w:cs="Times New Roman"/>
          <w:szCs w:val="24"/>
        </w:rPr>
      </w:pPr>
    </w:p>
    <w:p w14:paraId="576C4583"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(1)</w:t>
      </w:r>
      <w:r w:rsidRPr="00250B52">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6FB3975E" w14:textId="77777777" w:rsidR="00250B52" w:rsidRPr="00250B52" w:rsidRDefault="00250B52" w:rsidP="00250B52">
      <w:pPr>
        <w:autoSpaceDE w:val="0"/>
        <w:autoSpaceDN w:val="0"/>
        <w:adjustRightInd w:val="0"/>
        <w:rPr>
          <w:rFonts w:cs="Times New Roman"/>
          <w:szCs w:val="24"/>
        </w:rPr>
      </w:pPr>
    </w:p>
    <w:p w14:paraId="57C2D6C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(2)</w:t>
      </w:r>
      <w:r w:rsidRPr="00250B52">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8B56947" w14:textId="77777777" w:rsidR="00250B52" w:rsidRPr="00250B52" w:rsidRDefault="00250B52" w:rsidP="00250B52">
      <w:pPr>
        <w:autoSpaceDE w:val="0"/>
        <w:autoSpaceDN w:val="0"/>
        <w:adjustRightInd w:val="0"/>
        <w:rPr>
          <w:rFonts w:cs="Times New Roman"/>
          <w:szCs w:val="24"/>
        </w:rPr>
      </w:pPr>
    </w:p>
    <w:p w14:paraId="1294A75B"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(3)</w:t>
      </w:r>
      <w:r w:rsidRPr="00250B52">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6BE50A60" w14:textId="77777777" w:rsidR="00250B52" w:rsidRPr="00250B52" w:rsidRDefault="00250B52" w:rsidP="00250B52">
      <w:pPr>
        <w:autoSpaceDE w:val="0"/>
        <w:autoSpaceDN w:val="0"/>
        <w:adjustRightInd w:val="0"/>
        <w:rPr>
          <w:rFonts w:cs="Times New Roman"/>
          <w:szCs w:val="24"/>
        </w:rPr>
      </w:pPr>
    </w:p>
    <w:p w14:paraId="4CCBE72E"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(4)</w:t>
      </w:r>
      <w:r w:rsidRPr="00250B52">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570B58A" w14:textId="77777777" w:rsidR="00250B52" w:rsidRPr="00250B52" w:rsidRDefault="00250B52" w:rsidP="00250B52">
      <w:pPr>
        <w:autoSpaceDE w:val="0"/>
        <w:autoSpaceDN w:val="0"/>
        <w:adjustRightInd w:val="0"/>
        <w:rPr>
          <w:rFonts w:cs="Times New Roman"/>
          <w:szCs w:val="24"/>
        </w:rPr>
      </w:pPr>
    </w:p>
    <w:p w14:paraId="0FF14335" w14:textId="77777777" w:rsidR="00250B52" w:rsidRPr="00250B52" w:rsidRDefault="00250B52" w:rsidP="00250B52">
      <w:pPr>
        <w:autoSpaceDE w:val="0"/>
        <w:autoSpaceDN w:val="0"/>
        <w:adjustRightInd w:val="0"/>
        <w:jc w:val="center"/>
        <w:rPr>
          <w:rFonts w:cs="Times New Roman"/>
          <w:szCs w:val="24"/>
        </w:rPr>
      </w:pPr>
      <w:r w:rsidRPr="00250B52">
        <w:rPr>
          <w:rFonts w:cs="Times New Roman"/>
          <w:b/>
          <w:bCs/>
          <w:szCs w:val="24"/>
        </w:rPr>
        <w:t>Comment</w:t>
      </w:r>
    </w:p>
    <w:p w14:paraId="35ABF417" w14:textId="77777777" w:rsidR="00250B52" w:rsidRPr="00250B52" w:rsidRDefault="00250B52" w:rsidP="00250B52">
      <w:pPr>
        <w:autoSpaceDE w:val="0"/>
        <w:autoSpaceDN w:val="0"/>
        <w:adjustRightInd w:val="0"/>
        <w:rPr>
          <w:rFonts w:cs="Times New Roman"/>
          <w:i/>
          <w:iCs/>
          <w:szCs w:val="24"/>
        </w:rPr>
      </w:pPr>
    </w:p>
    <w:p w14:paraId="20BFD3CD" w14:textId="77777777" w:rsidR="00250B52" w:rsidRPr="00250B52" w:rsidRDefault="00250B52" w:rsidP="00250B52">
      <w:pPr>
        <w:autoSpaceDE w:val="0"/>
        <w:autoSpaceDN w:val="0"/>
        <w:adjustRightInd w:val="0"/>
        <w:rPr>
          <w:rFonts w:cs="Times New Roman"/>
          <w:szCs w:val="24"/>
        </w:rPr>
      </w:pPr>
      <w:r w:rsidRPr="00250B52">
        <w:rPr>
          <w:rFonts w:cs="Times New Roman"/>
          <w:i/>
          <w:iCs/>
          <w:szCs w:val="24"/>
        </w:rPr>
        <w:tab/>
        <w:t>See Dahlia v. Rodriguez</w:t>
      </w:r>
      <w:r w:rsidRPr="00250B52">
        <w:rPr>
          <w:rFonts w:cs="Times New Roman"/>
          <w:szCs w:val="24"/>
        </w:rPr>
        <w:t>, 735 F.3d 1060, 1074-76 (9th Cir. 2013) (</w:t>
      </w:r>
      <w:proofErr w:type="spellStart"/>
      <w:r w:rsidRPr="00250B52">
        <w:rPr>
          <w:rFonts w:cs="Times New Roman"/>
          <w:szCs w:val="24"/>
        </w:rPr>
        <w:t>en</w:t>
      </w:r>
      <w:proofErr w:type="spellEnd"/>
      <w:r w:rsidRPr="00250B52">
        <w:rPr>
          <w:rFonts w:cs="Times New Roman"/>
          <w:szCs w:val="24"/>
        </w:rPr>
        <w:t xml:space="preserve"> banc) (discussing factors for when public employee speaks as private citizen).</w:t>
      </w:r>
    </w:p>
    <w:p w14:paraId="7A2D10D9" w14:textId="77777777" w:rsidR="00250B52" w:rsidRPr="00250B52" w:rsidRDefault="00250B52" w:rsidP="00250B52">
      <w:pPr>
        <w:autoSpaceDE w:val="0"/>
        <w:autoSpaceDN w:val="0"/>
        <w:adjustRightInd w:val="0"/>
        <w:rPr>
          <w:rFonts w:cs="Times New Roman"/>
          <w:szCs w:val="24"/>
        </w:rPr>
      </w:pPr>
    </w:p>
    <w:p w14:paraId="2DEC4992"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 xml:space="preserve">In </w:t>
      </w:r>
      <w:r w:rsidRPr="00250B52">
        <w:rPr>
          <w:rFonts w:cs="Times New Roman"/>
          <w:i/>
          <w:iCs/>
          <w:szCs w:val="24"/>
        </w:rPr>
        <w:t>Kennedy v. Bremerton Sch. Dist.</w:t>
      </w:r>
      <w:r w:rsidRPr="00250B52">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District’s perspective on appropriate behavior through the example set by his own conduct.”  </w:t>
      </w:r>
      <w:r w:rsidRPr="00250B52">
        <w:rPr>
          <w:rFonts w:cs="Times New Roman"/>
          <w:i/>
          <w:iCs/>
          <w:szCs w:val="24"/>
        </w:rPr>
        <w:t>Id</w:t>
      </w:r>
      <w:r w:rsidRPr="00250B52">
        <w:rPr>
          <w:rFonts w:cs="Times New Roman"/>
          <w:szCs w:val="24"/>
        </w:rPr>
        <w:t xml:space="preserve">. at 827; </w:t>
      </w:r>
      <w:r w:rsidRPr="00250B52">
        <w:rPr>
          <w:rFonts w:cs="Times New Roman"/>
          <w:i/>
          <w:iCs/>
          <w:szCs w:val="24"/>
        </w:rPr>
        <w:t>see also Kennedy v. Bremerton Sch. Dist.</w:t>
      </w:r>
      <w:r w:rsidRPr="00250B52">
        <w:rPr>
          <w:rFonts w:cs="Times New Roman"/>
          <w:szCs w:val="24"/>
        </w:rPr>
        <w:t>, 991 F.3d 1004, 1015 (9th Cir. 2021) (reaffirming holding).</w:t>
      </w:r>
    </w:p>
    <w:p w14:paraId="5CCF3FE0" w14:textId="77777777" w:rsidR="00250B52" w:rsidRPr="00250B52" w:rsidRDefault="00250B52" w:rsidP="00250B52">
      <w:pPr>
        <w:autoSpaceDE w:val="0"/>
        <w:autoSpaceDN w:val="0"/>
        <w:adjustRightInd w:val="0"/>
        <w:rPr>
          <w:rFonts w:cs="Times New Roman"/>
          <w:szCs w:val="24"/>
        </w:rPr>
      </w:pPr>
    </w:p>
    <w:p w14:paraId="11B8921C" w14:textId="77777777" w:rsidR="00711209" w:rsidRDefault="00250B52" w:rsidP="00250B52">
      <w:pPr>
        <w:autoSpaceDE w:val="0"/>
        <w:autoSpaceDN w:val="0"/>
        <w:adjustRightInd w:val="0"/>
        <w:rPr>
          <w:rFonts w:cs="Times New Roman"/>
          <w:szCs w:val="24"/>
        </w:rPr>
      </w:pPr>
      <w:r w:rsidRPr="00250B52">
        <w:rPr>
          <w:rFonts w:cs="Times New Roman"/>
          <w:szCs w:val="24"/>
        </w:rPr>
        <w:tab/>
      </w:r>
      <w:r w:rsidRPr="00250B52">
        <w:rPr>
          <w:rFonts w:cs="Times New Roman"/>
          <w:i/>
          <w:iCs/>
          <w:szCs w:val="24"/>
        </w:rPr>
        <w:t xml:space="preserve">See also </w:t>
      </w:r>
      <w:proofErr w:type="spellStart"/>
      <w:r w:rsidRPr="00250B52">
        <w:rPr>
          <w:rFonts w:cs="Times New Roman"/>
          <w:i/>
          <w:iCs/>
          <w:szCs w:val="24"/>
        </w:rPr>
        <w:t>Moonin</w:t>
      </w:r>
      <w:proofErr w:type="spellEnd"/>
      <w:r w:rsidRPr="00250B52">
        <w:rPr>
          <w:rFonts w:cs="Times New Roman"/>
          <w:i/>
          <w:iCs/>
          <w:szCs w:val="24"/>
        </w:rPr>
        <w:t xml:space="preserve"> v. Tice</w:t>
      </w:r>
      <w:r w:rsidRPr="00250B52">
        <w:rPr>
          <w:rFonts w:cs="Times New Roman"/>
          <w:szCs w:val="24"/>
        </w:rPr>
        <w:t xml:space="preserve">, 868 F.3d 853 (9th Cir. 2017) (holding prior restraint prohibiting highway patrol officers from speaking about controversial canine drug interdiction program with </w:t>
      </w:r>
    </w:p>
    <w:p w14:paraId="15D26C6A" w14:textId="22E3A188" w:rsidR="00250B52" w:rsidRPr="00250B52" w:rsidRDefault="00250B52" w:rsidP="00250B52">
      <w:pPr>
        <w:autoSpaceDE w:val="0"/>
        <w:autoSpaceDN w:val="0"/>
        <w:adjustRightInd w:val="0"/>
        <w:rPr>
          <w:rFonts w:cs="Times New Roman"/>
          <w:szCs w:val="24"/>
        </w:rPr>
      </w:pPr>
      <w:r w:rsidRPr="00250B52">
        <w:rPr>
          <w:rFonts w:cs="Times New Roman"/>
          <w:szCs w:val="24"/>
        </w:rPr>
        <w:lastRenderedPageBreak/>
        <w:t xml:space="preserve">anyone outside of law enforcement violates First Amendment); </w:t>
      </w:r>
      <w:r w:rsidRPr="00250B52">
        <w:rPr>
          <w:rFonts w:cs="Times New Roman"/>
          <w:i/>
          <w:iCs/>
          <w:szCs w:val="24"/>
        </w:rPr>
        <w:t>Barone v. City of Springfield</w:t>
      </w:r>
      <w:r w:rsidRPr="00250B52">
        <w:rPr>
          <w:rFonts w:cs="Times New Roman"/>
          <w:szCs w:val="24"/>
        </w:rPr>
        <w:t xml:space="preserve">, 902 F.3d 1091, 1101-06 (9th Cir. 2018) (holding that prior restraint prohibiting police officer from speaking or writing “anything of a disparaging or negative manner related to the Department/Organization/City of Springfield or its Employees” violated First Amendment); </w:t>
      </w:r>
      <w:r w:rsidRPr="00250B52">
        <w:rPr>
          <w:rFonts w:cs="Times New Roman"/>
          <w:i/>
          <w:iCs/>
          <w:szCs w:val="24"/>
        </w:rPr>
        <w:t>Ohlson v. Brady</w:t>
      </w:r>
      <w:r w:rsidRPr="00250B52">
        <w:rPr>
          <w:rFonts w:cs="Times New Roman"/>
          <w:szCs w:val="24"/>
        </w:rPr>
        <w:t>, 9 F.4th 1156 (9th Cir. 2021) (concluding that forensic scientist who testified in court as part of his job duties spoke as employee rather than private citizen entitled to First Amendment protection).</w:t>
      </w:r>
    </w:p>
    <w:p w14:paraId="4495D189" w14:textId="77777777" w:rsidR="00250B52" w:rsidRPr="00250B52" w:rsidRDefault="00250B52" w:rsidP="00250B52">
      <w:pPr>
        <w:autoSpaceDE w:val="0"/>
        <w:autoSpaceDN w:val="0"/>
        <w:adjustRightInd w:val="0"/>
        <w:rPr>
          <w:rFonts w:cs="Times New Roman"/>
          <w:szCs w:val="24"/>
        </w:rPr>
      </w:pPr>
    </w:p>
    <w:p w14:paraId="429442FF" w14:textId="77777777" w:rsidR="00250B52" w:rsidRPr="00250B52" w:rsidRDefault="00250B52" w:rsidP="00250B52">
      <w:pPr>
        <w:autoSpaceDE w:val="0"/>
        <w:autoSpaceDN w:val="0"/>
        <w:adjustRightInd w:val="0"/>
        <w:rPr>
          <w:rFonts w:cs="Times New Roman"/>
          <w:szCs w:val="24"/>
        </w:rPr>
      </w:pPr>
    </w:p>
    <w:p w14:paraId="4CDAFC64" w14:textId="77777777" w:rsidR="00250B52" w:rsidRPr="00250B52" w:rsidRDefault="00250B52" w:rsidP="00250B52">
      <w:pPr>
        <w:autoSpaceDE w:val="0"/>
        <w:autoSpaceDN w:val="0"/>
        <w:adjustRightInd w:val="0"/>
        <w:jc w:val="right"/>
        <w:rPr>
          <w:rFonts w:cs="Times New Roman"/>
          <w:szCs w:val="24"/>
        </w:rPr>
      </w:pPr>
      <w:r w:rsidRPr="00250B52">
        <w:rPr>
          <w:rFonts w:cs="Times New Roman"/>
          <w:i/>
          <w:iCs/>
          <w:szCs w:val="24"/>
        </w:rPr>
        <w:t>Revised Sept. 2021</w:t>
      </w: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02FAA3B7" w14:textId="472A3526" w:rsidR="006A4CD7" w:rsidRPr="006A4CD7" w:rsidRDefault="006A4CD7" w:rsidP="000C5EAE">
      <w:pPr>
        <w:pStyle w:val="Heading2"/>
      </w:pPr>
      <w:r w:rsidRPr="006A4CD7">
        <w:br w:type="page"/>
      </w:r>
      <w:bookmarkStart w:id="132" w:name="_Toc117512426"/>
      <w:r w:rsidRPr="006A4CD7">
        <w:lastRenderedPageBreak/>
        <w:t>9.11 P</w:t>
      </w:r>
      <w:r w:rsidR="007847B8">
        <w:t>articular</w:t>
      </w:r>
      <w:r w:rsidRPr="006A4CD7">
        <w:t xml:space="preserve"> R</w:t>
      </w:r>
      <w:r w:rsidR="007847B8">
        <w:t>ights</w:t>
      </w:r>
      <w:r w:rsidRPr="006A4CD7">
        <w:t>—F</w:t>
      </w:r>
      <w:r w:rsidR="007847B8">
        <w:t>irst</w:t>
      </w:r>
      <w:r w:rsidRPr="006A4CD7">
        <w:t xml:space="preserve"> A</w:t>
      </w:r>
      <w:r w:rsidR="007847B8">
        <w:t>mendment</w:t>
      </w:r>
      <w:r w:rsidR="009E6EA1" w:rsidRPr="006A4CD7">
        <w:t>— “</w:t>
      </w:r>
      <w:r w:rsidRPr="006A4CD7">
        <w:t>C</w:t>
      </w:r>
      <w:r w:rsidR="007847B8">
        <w:t>itizen</w:t>
      </w:r>
      <w:r w:rsidRPr="006A4CD7">
        <w:t>” P</w:t>
      </w:r>
      <w:r w:rsidR="007847B8">
        <w:t>laintiff</w:t>
      </w:r>
      <w:bookmarkEnd w:id="132"/>
    </w:p>
    <w:p w14:paraId="646759BA" w14:textId="77777777" w:rsidR="006A4CD7" w:rsidRPr="006A4CD7" w:rsidRDefault="006A4CD7" w:rsidP="0060759C">
      <w:pPr>
        <w:autoSpaceDE w:val="0"/>
        <w:autoSpaceDN w:val="0"/>
        <w:adjustRightInd w:val="0"/>
        <w:rPr>
          <w:rFonts w:cs="Times New Roman"/>
          <w:szCs w:val="24"/>
        </w:rPr>
      </w:pPr>
    </w:p>
    <w:p w14:paraId="32350A04" w14:textId="77777777" w:rsidR="00137962" w:rsidRPr="00137962" w:rsidRDefault="006A4CD7" w:rsidP="00137962">
      <w:pPr>
        <w:autoSpaceDE w:val="0"/>
        <w:autoSpaceDN w:val="0"/>
        <w:adjustRightInd w:val="0"/>
        <w:rPr>
          <w:rFonts w:cs="Times New Roman"/>
          <w:szCs w:val="24"/>
        </w:rPr>
      </w:pPr>
      <w:r w:rsidRPr="006A4CD7">
        <w:rPr>
          <w:rFonts w:cs="Times New Roman"/>
          <w:b/>
          <w:bCs/>
          <w:szCs w:val="24"/>
        </w:rPr>
        <w:tab/>
      </w:r>
      <w:r w:rsidR="00137962" w:rsidRPr="00137962">
        <w:rPr>
          <w:rFonts w:cs="Times New Roman"/>
          <w:szCs w:val="24"/>
        </w:rPr>
        <w:t>As previously explained, the plaintiff has the burden of proving that the act[s] of the defendant [</w:t>
      </w:r>
      <w:r w:rsidR="00137962" w:rsidRPr="00137962">
        <w:rPr>
          <w:rFonts w:cs="Times New Roman"/>
          <w:i/>
          <w:iCs/>
          <w:szCs w:val="24"/>
          <w:u w:val="single"/>
        </w:rPr>
        <w:t>name</w:t>
      </w:r>
      <w:r w:rsidR="00137962" w:rsidRPr="00137962">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137962" w:rsidRPr="00137962">
        <w:rPr>
          <w:rFonts w:cs="Times New Roman"/>
          <w:i/>
          <w:iCs/>
          <w:szCs w:val="24"/>
          <w:u w:val="single"/>
        </w:rPr>
        <w:t>insert factual basis of the plaintiff’s claim</w:t>
      </w:r>
      <w:r w:rsidR="00137962" w:rsidRPr="00137962">
        <w:rPr>
          <w:rFonts w:cs="Times New Roman"/>
          <w:szCs w:val="24"/>
        </w:rPr>
        <w:t>].</w:t>
      </w:r>
    </w:p>
    <w:p w14:paraId="37CE1A63" w14:textId="77777777" w:rsidR="00137962" w:rsidRPr="00137962" w:rsidRDefault="00137962" w:rsidP="00137962">
      <w:pPr>
        <w:autoSpaceDE w:val="0"/>
        <w:autoSpaceDN w:val="0"/>
        <w:adjustRightInd w:val="0"/>
        <w:rPr>
          <w:rFonts w:cs="Times New Roman"/>
          <w:szCs w:val="24"/>
        </w:rPr>
      </w:pPr>
    </w:p>
    <w:p w14:paraId="78D7271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First Amendment, a citizen has the right [to free expression] [to petition the government] [to access the courts] [</w:t>
      </w:r>
      <w:r w:rsidRPr="00137962">
        <w:rPr>
          <w:rFonts w:cs="Times New Roman"/>
          <w:i/>
          <w:iCs/>
          <w:szCs w:val="24"/>
          <w:u w:val="single"/>
        </w:rPr>
        <w:t>other applicable right</w:t>
      </w:r>
      <w:r w:rsidRPr="00137962">
        <w:rPr>
          <w:rFonts w:cs="Times New Roman"/>
          <w:szCs w:val="24"/>
        </w:rPr>
        <w:t>].  To establish the defendant deprived the plaintiff of this First Amendment right, the plaintiff must prove the following additional elements by a preponderance of the evidence:</w:t>
      </w:r>
    </w:p>
    <w:p w14:paraId="7104C453" w14:textId="77777777" w:rsidR="00137962" w:rsidRPr="00137962" w:rsidRDefault="00137962" w:rsidP="00137962"/>
    <w:p w14:paraId="5EEC8BED"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1.</w:t>
      </w:r>
      <w:r w:rsidRPr="00137962">
        <w:rPr>
          <w:rFonts w:cs="Times New Roman"/>
          <w:szCs w:val="24"/>
        </w:rPr>
        <w:tab/>
        <w:t>the plaintiff was engaged in a constitutionally protected activity;</w:t>
      </w:r>
    </w:p>
    <w:p w14:paraId="33C0F2F7" w14:textId="77777777" w:rsidR="00137962" w:rsidRPr="00137962" w:rsidRDefault="00137962" w:rsidP="00137962">
      <w:pPr>
        <w:autoSpaceDE w:val="0"/>
        <w:autoSpaceDN w:val="0"/>
        <w:adjustRightInd w:val="0"/>
        <w:ind w:left="1440" w:hanging="720"/>
        <w:rPr>
          <w:rFonts w:cs="Times New Roman"/>
          <w:szCs w:val="24"/>
        </w:rPr>
      </w:pPr>
    </w:p>
    <w:p w14:paraId="0C35CED7"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2.</w:t>
      </w:r>
      <w:r w:rsidRPr="00137962">
        <w:rPr>
          <w:rFonts w:cs="Times New Roman"/>
          <w:szCs w:val="24"/>
        </w:rPr>
        <w:tab/>
        <w:t xml:space="preserve">the defendant’s actions against the plaintiff would chill a person of ordinary firmness from continuing to engage in the protected activity; and </w:t>
      </w:r>
    </w:p>
    <w:p w14:paraId="074CD12C" w14:textId="77777777" w:rsidR="00137962" w:rsidRPr="00137962" w:rsidRDefault="00137962" w:rsidP="00137962">
      <w:pPr>
        <w:autoSpaceDE w:val="0"/>
        <w:autoSpaceDN w:val="0"/>
        <w:adjustRightInd w:val="0"/>
        <w:ind w:left="1440" w:hanging="720"/>
        <w:rPr>
          <w:rFonts w:cs="Times New Roman"/>
          <w:szCs w:val="24"/>
        </w:rPr>
      </w:pPr>
    </w:p>
    <w:p w14:paraId="290127E7" w14:textId="77777777" w:rsidR="00137962" w:rsidRPr="00137962" w:rsidRDefault="00137962" w:rsidP="00137962">
      <w:pPr>
        <w:autoSpaceDE w:val="0"/>
        <w:autoSpaceDN w:val="0"/>
        <w:adjustRightInd w:val="0"/>
        <w:ind w:left="1440" w:hanging="720"/>
        <w:rPr>
          <w:rFonts w:cs="Times New Roman"/>
          <w:szCs w:val="24"/>
        </w:rPr>
      </w:pPr>
      <w:r w:rsidRPr="00137962">
        <w:rPr>
          <w:rFonts w:cs="Times New Roman"/>
          <w:szCs w:val="24"/>
        </w:rPr>
        <w:t>3.</w:t>
      </w:r>
      <w:r w:rsidRPr="00137962">
        <w:rPr>
          <w:rFonts w:cs="Times New Roman"/>
          <w:szCs w:val="24"/>
        </w:rPr>
        <w:tab/>
        <w:t>the plaintiff’s protected activity was a substantial or motivating factor in the defendant’s conduct.</w:t>
      </w:r>
    </w:p>
    <w:p w14:paraId="2C64951F" w14:textId="77777777" w:rsidR="00137962" w:rsidRPr="00137962" w:rsidRDefault="00137962" w:rsidP="00137962">
      <w:pPr>
        <w:autoSpaceDE w:val="0"/>
        <w:autoSpaceDN w:val="0"/>
        <w:adjustRightInd w:val="0"/>
        <w:rPr>
          <w:rFonts w:cs="Times New Roman"/>
          <w:szCs w:val="24"/>
        </w:rPr>
      </w:pPr>
    </w:p>
    <w:p w14:paraId="29B995B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 instruct you that the plaintiff’s [speech in this case about [</w:t>
      </w:r>
      <w:r w:rsidRPr="00137962">
        <w:rPr>
          <w:rFonts w:cs="Times New Roman"/>
          <w:i/>
          <w:iCs/>
          <w:szCs w:val="24"/>
          <w:u w:val="single"/>
        </w:rPr>
        <w:t>specify</w:t>
      </w:r>
      <w:r w:rsidRPr="00137962">
        <w:rPr>
          <w:rFonts w:cs="Times New Roman"/>
          <w:szCs w:val="24"/>
        </w:rPr>
        <w:t>]] [</w:t>
      </w:r>
      <w:r w:rsidRPr="00137962">
        <w:rPr>
          <w:rFonts w:cs="Times New Roman"/>
          <w:i/>
          <w:iCs/>
          <w:szCs w:val="24"/>
          <w:u w:val="single"/>
        </w:rPr>
        <w:t>specify conduct</w:t>
      </w:r>
      <w:r w:rsidRPr="00137962">
        <w:rPr>
          <w:rFonts w:cs="Times New Roman"/>
          <w:szCs w:val="24"/>
        </w:rPr>
        <w:t>] was protected under the First Amendment and, therefore, the first element requires no proof.]</w:t>
      </w:r>
    </w:p>
    <w:p w14:paraId="4FB04918" w14:textId="77777777" w:rsidR="00137962" w:rsidRPr="00137962" w:rsidRDefault="00137962" w:rsidP="00137962">
      <w:pPr>
        <w:autoSpaceDE w:val="0"/>
        <w:autoSpaceDN w:val="0"/>
        <w:adjustRightInd w:val="0"/>
        <w:rPr>
          <w:rFonts w:cs="Times New Roman"/>
          <w:szCs w:val="24"/>
        </w:rPr>
      </w:pPr>
    </w:p>
    <w:p w14:paraId="38F0F47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A substantial or motivating factor is a significant factor, though not necessarily the only factor.</w:t>
      </w:r>
    </w:p>
    <w:p w14:paraId="0EE01FED" w14:textId="70D53EF4" w:rsidR="00137962" w:rsidRDefault="00137962" w:rsidP="00137962">
      <w:pPr>
        <w:autoSpaceDE w:val="0"/>
        <w:autoSpaceDN w:val="0"/>
        <w:adjustRightInd w:val="0"/>
        <w:rPr>
          <w:rFonts w:cs="Times New Roman"/>
          <w:szCs w:val="24"/>
        </w:rPr>
      </w:pPr>
    </w:p>
    <w:p w14:paraId="1C49F641" w14:textId="77777777" w:rsidR="00507387" w:rsidRPr="00CC36E9" w:rsidRDefault="00507387" w:rsidP="00507387">
      <w:pPr>
        <w:autoSpaceDE w:val="0"/>
        <w:autoSpaceDN w:val="0"/>
        <w:adjustRightInd w:val="0"/>
        <w:ind w:firstLine="720"/>
        <w:rPr>
          <w:rFonts w:cs="Times New Roman"/>
          <w:szCs w:val="24"/>
        </w:rPr>
      </w:pPr>
      <w:r w:rsidRPr="00CC36E9">
        <w:rPr>
          <w:rFonts w:cs="Times New Roman"/>
          <w:szCs w:val="24"/>
        </w:rPr>
        <w:t>If the plaintiff establishes each of the foregoing elements, the burden shifts to the</w:t>
      </w:r>
    </w:p>
    <w:p w14:paraId="5C78E3FE" w14:textId="77777777" w:rsidR="00507387" w:rsidRPr="00CC36E9" w:rsidRDefault="00507387" w:rsidP="00507387">
      <w:pPr>
        <w:autoSpaceDE w:val="0"/>
        <w:autoSpaceDN w:val="0"/>
        <w:adjustRightInd w:val="0"/>
        <w:rPr>
          <w:rFonts w:cs="Times New Roman"/>
          <w:szCs w:val="24"/>
        </w:rPr>
      </w:pPr>
      <w:r w:rsidRPr="00CC36E9">
        <w:rPr>
          <w:rFonts w:cs="Times New Roman"/>
          <w:szCs w:val="24"/>
        </w:rPr>
        <w:t>defendant to demonstrate that the defendant would have taken the action(s) in question, even in the absence of any motive to retaliate against the plaintiff.  If you find that the defendant is able to demonstrate this, you must find for the defendant.  If you find that the defendant is not able to</w:t>
      </w:r>
    </w:p>
    <w:p w14:paraId="24CF72F3" w14:textId="77777777" w:rsidR="00507387" w:rsidRPr="00EA3166" w:rsidRDefault="00507387" w:rsidP="00507387">
      <w:pPr>
        <w:autoSpaceDE w:val="0"/>
        <w:autoSpaceDN w:val="0"/>
        <w:adjustRightInd w:val="0"/>
        <w:rPr>
          <w:rFonts w:cs="Times New Roman"/>
          <w:szCs w:val="24"/>
        </w:rPr>
      </w:pPr>
      <w:r w:rsidRPr="00CC36E9">
        <w:rPr>
          <w:rFonts w:cs="Times New Roman"/>
          <w:szCs w:val="24"/>
        </w:rPr>
        <w:t>demonstrate this, you must find for the plaintiff.</w:t>
      </w:r>
    </w:p>
    <w:p w14:paraId="3FDCFFB1" w14:textId="77777777" w:rsidR="00507387" w:rsidRPr="00137962" w:rsidRDefault="00507387" w:rsidP="00137962">
      <w:pPr>
        <w:autoSpaceDE w:val="0"/>
        <w:autoSpaceDN w:val="0"/>
        <w:adjustRightInd w:val="0"/>
        <w:rPr>
          <w:rFonts w:cs="Times New Roman"/>
          <w:szCs w:val="24"/>
        </w:rPr>
      </w:pPr>
    </w:p>
    <w:p w14:paraId="473589A2"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6BEDF114" w14:textId="77777777" w:rsidR="00137962" w:rsidRPr="00137962" w:rsidRDefault="00137962" w:rsidP="00137962">
      <w:pPr>
        <w:autoSpaceDE w:val="0"/>
        <w:autoSpaceDN w:val="0"/>
        <w:adjustRightInd w:val="0"/>
        <w:rPr>
          <w:rFonts w:cs="Times New Roman"/>
          <w:szCs w:val="24"/>
        </w:rPr>
      </w:pPr>
    </w:p>
    <w:p w14:paraId="2246755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Use this instruction only in conjunction with the applicable elements instructions, Instructions 9.3–9.8, and when the plaintiff is a private citizen.  Use Instruction 9.9 (Particular Rights—First Amendment—Public Employees—Speech</w:t>
      </w:r>
      <w:r w:rsidRPr="00137962">
        <w:rPr>
          <w:rFonts w:cs="Times New Roman"/>
          <w:b/>
          <w:bCs/>
          <w:szCs w:val="24"/>
        </w:rPr>
        <w:t xml:space="preserve">) </w:t>
      </w:r>
      <w:r w:rsidRPr="00137962">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137962">
        <w:rPr>
          <w:rFonts w:cs="Times New Roman"/>
          <w:i/>
          <w:iCs/>
          <w:szCs w:val="24"/>
        </w:rPr>
        <w:t>See Clem v. Lomeli</w:t>
      </w:r>
      <w:r w:rsidRPr="00137962">
        <w:rPr>
          <w:rFonts w:cs="Times New Roman"/>
          <w:szCs w:val="24"/>
        </w:rPr>
        <w:t>, 566 F.3d 1177, 1181-82 (9th Cir. 2009).</w:t>
      </w:r>
    </w:p>
    <w:p w14:paraId="040F7162" w14:textId="77777777" w:rsidR="00137962" w:rsidRPr="00137962" w:rsidRDefault="00137962" w:rsidP="00137962">
      <w:pPr>
        <w:autoSpaceDE w:val="0"/>
        <w:autoSpaceDN w:val="0"/>
        <w:adjustRightInd w:val="0"/>
        <w:rPr>
          <w:rFonts w:cs="Times New Roman"/>
          <w:szCs w:val="24"/>
        </w:rPr>
      </w:pPr>
    </w:p>
    <w:p w14:paraId="5F7D5E9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proofErr w:type="spellStart"/>
      <w:r w:rsidRPr="00137962">
        <w:rPr>
          <w:rFonts w:cs="Times New Roman"/>
          <w:i/>
          <w:iCs/>
          <w:szCs w:val="24"/>
        </w:rPr>
        <w:t>Sloman</w:t>
      </w:r>
      <w:proofErr w:type="spellEnd"/>
      <w:r w:rsidRPr="00137962">
        <w:rPr>
          <w:rFonts w:cs="Times New Roman"/>
          <w:i/>
          <w:iCs/>
          <w:szCs w:val="24"/>
        </w:rPr>
        <w:t xml:space="preserve"> v. Tadlock, </w:t>
      </w:r>
      <w:r w:rsidRPr="00137962">
        <w:rPr>
          <w:rFonts w:cs="Times New Roman"/>
          <w:szCs w:val="24"/>
        </w:rPr>
        <w:t xml:space="preserve">21 F.3d 1462, 1469-70 (9th Cir. 1994).  “Although officials may constitutionally impose time, place, and manner restrictions on political expression carried out on sidewalks and </w:t>
      </w:r>
      <w:r w:rsidRPr="00137962">
        <w:rPr>
          <w:rFonts w:cs="Times New Roman"/>
          <w:szCs w:val="24"/>
        </w:rPr>
        <w:lastRenderedPageBreak/>
        <w:t xml:space="preserve">median strips, they may not ‘discriminate in the regulation of expression on the basis of content of that expression.’  State action designed to retaliate against, and chill political expression strikes at the very heart of the First Amendment.”  </w:t>
      </w:r>
      <w:r w:rsidRPr="00137962">
        <w:rPr>
          <w:rFonts w:cs="Times New Roman"/>
          <w:i/>
          <w:iCs/>
          <w:szCs w:val="24"/>
        </w:rPr>
        <w:t>Id</w:t>
      </w:r>
      <w:r w:rsidRPr="00137962">
        <w:rPr>
          <w:rFonts w:cs="Times New Roman"/>
          <w:szCs w:val="24"/>
        </w:rPr>
        <w:t xml:space="preserve">. (citations omitted).  </w:t>
      </w:r>
    </w:p>
    <w:p w14:paraId="67A3BF11" w14:textId="77777777" w:rsidR="00137962" w:rsidRPr="00137962" w:rsidRDefault="00137962" w:rsidP="00137962">
      <w:pPr>
        <w:autoSpaceDE w:val="0"/>
        <w:autoSpaceDN w:val="0"/>
        <w:adjustRightInd w:val="0"/>
        <w:rPr>
          <w:rFonts w:cs="Times New Roman"/>
          <w:szCs w:val="24"/>
        </w:rPr>
      </w:pPr>
    </w:p>
    <w:p w14:paraId="0FE5F00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However, “members of the public do not have a constitutional right to force the </w:t>
      </w:r>
    </w:p>
    <w:p w14:paraId="03370CC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government to listen to their views...[a]</w:t>
      </w:r>
      <w:proofErr w:type="spellStart"/>
      <w:r w:rsidRPr="00137962">
        <w:rPr>
          <w:rFonts w:cs="Times New Roman"/>
          <w:szCs w:val="24"/>
        </w:rPr>
        <w:t>nd</w:t>
      </w:r>
      <w:proofErr w:type="spellEnd"/>
      <w:r w:rsidRPr="00137962">
        <w:rPr>
          <w:rFonts w:cs="Times New Roman"/>
          <w:szCs w:val="24"/>
        </w:rPr>
        <w:t xml:space="preserve"> the First Amendment does not compel the government to respond to speech directed toward it (citations omitted).” </w:t>
      </w:r>
      <w:r w:rsidRPr="00137962">
        <w:rPr>
          <w:rFonts w:cs="Times New Roman"/>
          <w:i/>
          <w:iCs/>
          <w:szCs w:val="24"/>
        </w:rPr>
        <w:t>L.F. v. Lake Washington School District #414</w:t>
      </w:r>
      <w:r w:rsidRPr="00137962">
        <w:rPr>
          <w:rFonts w:cs="Times New Roman"/>
          <w:szCs w:val="24"/>
        </w:rPr>
        <w:t xml:space="preserve">, 947 F.3d 621, 626 (9th Cir. 2020). </w:t>
      </w:r>
    </w:p>
    <w:p w14:paraId="71F0D60C" w14:textId="77777777" w:rsidR="00137962" w:rsidRPr="00137962" w:rsidRDefault="00137962" w:rsidP="00137962">
      <w:pPr>
        <w:autoSpaceDE w:val="0"/>
        <w:autoSpaceDN w:val="0"/>
        <w:adjustRightInd w:val="0"/>
        <w:rPr>
          <w:rFonts w:cs="Times New Roman"/>
          <w:szCs w:val="24"/>
        </w:rPr>
      </w:pPr>
    </w:p>
    <w:p w14:paraId="3F50825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137962">
        <w:rPr>
          <w:rFonts w:cs="Times New Roman"/>
          <w:i/>
          <w:iCs/>
          <w:szCs w:val="24"/>
        </w:rPr>
        <w:t>Id.</w:t>
      </w:r>
      <w:r w:rsidRPr="00137962">
        <w:rPr>
          <w:rFonts w:cs="Times New Roman"/>
          <w:szCs w:val="24"/>
        </w:rPr>
        <w:t xml:space="preserve"> (quoting </w:t>
      </w:r>
      <w:r w:rsidRPr="00137962">
        <w:rPr>
          <w:rFonts w:cs="Times New Roman"/>
          <w:i/>
          <w:iCs/>
          <w:szCs w:val="24"/>
        </w:rPr>
        <w:t xml:space="preserve">Mendocino </w:t>
      </w:r>
      <w:proofErr w:type="spellStart"/>
      <w:r w:rsidRPr="00137962">
        <w:rPr>
          <w:rFonts w:cs="Times New Roman"/>
          <w:i/>
          <w:iCs/>
          <w:szCs w:val="24"/>
        </w:rPr>
        <w:t>Env’l</w:t>
      </w:r>
      <w:proofErr w:type="spellEnd"/>
      <w:r w:rsidRPr="00137962">
        <w:rPr>
          <w:rFonts w:cs="Times New Roman"/>
          <w:i/>
          <w:iCs/>
          <w:szCs w:val="24"/>
        </w:rPr>
        <w:t xml:space="preserve"> Ctr. v. Mendocino County</w:t>
      </w:r>
      <w:r w:rsidRPr="00137962">
        <w:rPr>
          <w:rFonts w:cs="Times New Roman"/>
          <w:szCs w:val="24"/>
        </w:rPr>
        <w:t>,</w:t>
      </w:r>
      <w:r w:rsidRPr="00137962">
        <w:rPr>
          <w:rFonts w:cs="Times New Roman"/>
          <w:i/>
          <w:iCs/>
          <w:szCs w:val="24"/>
        </w:rPr>
        <w:t xml:space="preserve"> </w:t>
      </w:r>
      <w:r w:rsidRPr="00137962">
        <w:rPr>
          <w:rFonts w:cs="Times New Roman"/>
          <w:szCs w:val="24"/>
        </w:rPr>
        <w:t xml:space="preserve">14 F.3d 457, 459-60 (9th Cir. 1994).  Defining “substantial or motivating factor” as a “significant factor” does not misstate the law.  </w:t>
      </w:r>
      <w:proofErr w:type="spellStart"/>
      <w:r w:rsidRPr="00137962">
        <w:rPr>
          <w:rFonts w:cs="Times New Roman"/>
          <w:i/>
          <w:iCs/>
          <w:szCs w:val="24"/>
        </w:rPr>
        <w:t>Ostad</w:t>
      </w:r>
      <w:proofErr w:type="spellEnd"/>
      <w:r w:rsidRPr="00137962">
        <w:rPr>
          <w:rFonts w:cs="Times New Roman"/>
          <w:i/>
          <w:iCs/>
          <w:szCs w:val="24"/>
        </w:rPr>
        <w:t xml:space="preserve"> v. Or. Health </w:t>
      </w:r>
      <w:proofErr w:type="spellStart"/>
      <w:r w:rsidRPr="00137962">
        <w:rPr>
          <w:rFonts w:cs="Times New Roman"/>
          <w:i/>
          <w:iCs/>
          <w:szCs w:val="24"/>
        </w:rPr>
        <w:t>Scis</w:t>
      </w:r>
      <w:proofErr w:type="spellEnd"/>
      <w:r w:rsidRPr="00137962">
        <w:rPr>
          <w:rFonts w:cs="Times New Roman"/>
          <w:i/>
          <w:iCs/>
          <w:szCs w:val="24"/>
        </w:rPr>
        <w:t>. Univ.</w:t>
      </w:r>
      <w:r w:rsidRPr="00137962">
        <w:rPr>
          <w:rFonts w:cs="Times New Roman"/>
          <w:szCs w:val="24"/>
        </w:rPr>
        <w:t xml:space="preserve">, 327 F.3d 876, 884-85 (9th Cir. 2003); </w:t>
      </w:r>
      <w:r w:rsidRPr="00137962">
        <w:rPr>
          <w:rFonts w:cs="Times New Roman"/>
          <w:i/>
          <w:iCs/>
          <w:szCs w:val="24"/>
        </w:rPr>
        <w:t>see also Capp v. City of San Diego</w:t>
      </w:r>
      <w:r w:rsidRPr="00137962">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137962">
        <w:rPr>
          <w:rFonts w:cs="Times New Roman"/>
          <w:b/>
          <w:bCs/>
          <w:szCs w:val="24"/>
        </w:rPr>
        <w:t xml:space="preserve"> </w:t>
      </w:r>
      <w:r w:rsidRPr="00137962">
        <w:rPr>
          <w:rFonts w:cs="Times New Roman"/>
          <w:szCs w:val="24"/>
        </w:rPr>
        <w:t xml:space="preserve">that “his speech was actually inhibited or suppressed.”  </w:t>
      </w:r>
      <w:r w:rsidRPr="00137962">
        <w:rPr>
          <w:rFonts w:cs="Times New Roman"/>
          <w:i/>
          <w:iCs/>
          <w:szCs w:val="24"/>
        </w:rPr>
        <w:t xml:space="preserve">Mendocino </w:t>
      </w:r>
      <w:proofErr w:type="spellStart"/>
      <w:r w:rsidRPr="00137962">
        <w:rPr>
          <w:rFonts w:cs="Times New Roman"/>
          <w:i/>
          <w:iCs/>
          <w:szCs w:val="24"/>
        </w:rPr>
        <w:t>Env’l</w:t>
      </w:r>
      <w:proofErr w:type="spellEnd"/>
      <w:r w:rsidRPr="00137962">
        <w:rPr>
          <w:rFonts w:cs="Times New Roman"/>
          <w:i/>
          <w:iCs/>
          <w:szCs w:val="24"/>
        </w:rPr>
        <w:t xml:space="preserve"> Ctr.</w:t>
      </w:r>
      <w:r w:rsidRPr="00137962">
        <w:rPr>
          <w:rFonts w:cs="Times New Roman"/>
          <w:szCs w:val="24"/>
        </w:rPr>
        <w:t>,</w:t>
      </w:r>
      <w:r w:rsidRPr="00137962">
        <w:rPr>
          <w:rFonts w:cs="Times New Roman"/>
          <w:i/>
          <w:iCs/>
          <w:szCs w:val="24"/>
        </w:rPr>
        <w:t xml:space="preserve"> </w:t>
      </w:r>
      <w:r w:rsidRPr="00137962">
        <w:rPr>
          <w:rFonts w:cs="Times New Roman"/>
          <w:szCs w:val="24"/>
        </w:rPr>
        <w:t>192 F.3d at 1288;</w:t>
      </w:r>
      <w:r w:rsidRPr="00137962">
        <w:rPr>
          <w:rFonts w:cs="Times New Roman"/>
          <w:i/>
          <w:iCs/>
          <w:szCs w:val="24"/>
        </w:rPr>
        <w:t xml:space="preserve"> see also</w:t>
      </w:r>
      <w:r w:rsidRPr="00137962">
        <w:rPr>
          <w:rFonts w:cs="Times New Roman"/>
          <w:szCs w:val="24"/>
        </w:rPr>
        <w:t xml:space="preserve"> </w:t>
      </w:r>
      <w:r w:rsidRPr="00137962">
        <w:rPr>
          <w:rFonts w:cs="Times New Roman"/>
          <w:i/>
          <w:iCs/>
          <w:szCs w:val="24"/>
        </w:rPr>
        <w:t xml:space="preserve">Ariz. Students’ </w:t>
      </w:r>
      <w:proofErr w:type="spellStart"/>
      <w:r w:rsidRPr="00137962">
        <w:rPr>
          <w:rFonts w:cs="Times New Roman"/>
          <w:i/>
          <w:iCs/>
          <w:szCs w:val="24"/>
        </w:rPr>
        <w:t>Ass’n</w:t>
      </w:r>
      <w:proofErr w:type="spellEnd"/>
      <w:r w:rsidRPr="00137962">
        <w:rPr>
          <w:rFonts w:cs="Times New Roman"/>
          <w:i/>
          <w:iCs/>
          <w:szCs w:val="24"/>
        </w:rPr>
        <w:t xml:space="preserve"> v. Ariz. Bd. of Regents</w:t>
      </w:r>
      <w:r w:rsidRPr="00137962">
        <w:rPr>
          <w:rFonts w:cs="Times New Roman"/>
          <w:szCs w:val="24"/>
        </w:rPr>
        <w:t>, 824 F.3d 858, 867 (9th Cir. 2016) (“A plaintiff may bring a Section 1983 claim alleging that public officials, acting in their official capacity, took action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actually suppressed or inhibited.” (citations omitted)).</w:t>
      </w:r>
    </w:p>
    <w:p w14:paraId="0EA46D37" w14:textId="77777777" w:rsidR="00137962" w:rsidRPr="00137962" w:rsidRDefault="00137962" w:rsidP="00137962">
      <w:pPr>
        <w:autoSpaceDE w:val="0"/>
        <w:autoSpaceDN w:val="0"/>
        <w:adjustRightInd w:val="0"/>
        <w:rPr>
          <w:rFonts w:cs="Times New Roman"/>
          <w:szCs w:val="24"/>
        </w:rPr>
      </w:pPr>
    </w:p>
    <w:p w14:paraId="54FEA04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r w:rsidRPr="00137962">
        <w:rPr>
          <w:rFonts w:cs="Times New Roman"/>
          <w:i/>
          <w:iCs/>
          <w:szCs w:val="24"/>
        </w:rPr>
        <w:t>But see Sharp v. County of Orange</w:t>
      </w:r>
      <w:r w:rsidRPr="00137962">
        <w:rPr>
          <w:rFonts w:cs="Times New Roman"/>
          <w:szCs w:val="24"/>
        </w:rPr>
        <w:t xml:space="preserve">, 871 F.3d 901, 919 (9th Cir. 2017) (applying but-for causation standard in summary judgment context); </w:t>
      </w:r>
      <w:r w:rsidRPr="00137962">
        <w:rPr>
          <w:rFonts w:cs="Times New Roman"/>
          <w:i/>
          <w:iCs/>
          <w:szCs w:val="24"/>
        </w:rPr>
        <w:t>see also Skoog v. County of Clackamas</w:t>
      </w:r>
      <w:r w:rsidRPr="00137962">
        <w:rPr>
          <w:rFonts w:cs="Times New Roman"/>
          <w:szCs w:val="24"/>
        </w:rPr>
        <w:t>, 469 F.3d 1221, 1231-32 (9th Cir. 2006).</w:t>
      </w:r>
    </w:p>
    <w:p w14:paraId="4756F68B" w14:textId="77777777" w:rsidR="00137962" w:rsidRPr="00137962" w:rsidRDefault="00137962" w:rsidP="00137962">
      <w:pPr>
        <w:autoSpaceDE w:val="0"/>
        <w:autoSpaceDN w:val="0"/>
        <w:adjustRightInd w:val="0"/>
        <w:rPr>
          <w:rFonts w:cs="Times New Roman"/>
          <w:i/>
          <w:iCs/>
          <w:szCs w:val="24"/>
        </w:rPr>
      </w:pPr>
    </w:p>
    <w:p w14:paraId="6E3D01EB"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ab/>
      </w:r>
      <w:r w:rsidRPr="00137962">
        <w:rPr>
          <w:rFonts w:cs="Times New Roman"/>
          <w:szCs w:val="24"/>
        </w:rPr>
        <w:t xml:space="preserve">In determining whether the First Amendment protects student speech in a public school, it is error to use the “public concern” standard applicable to actions brought by governmental employees.  </w:t>
      </w:r>
      <w:r w:rsidRPr="00137962">
        <w:rPr>
          <w:rFonts w:cs="Times New Roman"/>
          <w:i/>
          <w:iCs/>
          <w:szCs w:val="24"/>
        </w:rPr>
        <w:t>Pinard v. Clatskanie Sch. Dist. 6J,</w:t>
      </w:r>
      <w:r w:rsidRPr="00137962">
        <w:rPr>
          <w:rFonts w:cs="Times New Roman"/>
          <w:szCs w:val="24"/>
        </w:rPr>
        <w:t xml:space="preserve"> 467 F.3d 755, 759 (9th Cir. 2006).  Instead, the proper standard to apply to student speech is set forth in </w:t>
      </w:r>
      <w:r w:rsidRPr="00137962">
        <w:rPr>
          <w:rFonts w:cs="Times New Roman"/>
          <w:i/>
          <w:iCs/>
          <w:szCs w:val="24"/>
        </w:rPr>
        <w:t>Tinker v. Des Moines Independent Community School District</w:t>
      </w:r>
      <w:r w:rsidRPr="00137962">
        <w:rPr>
          <w:rFonts w:cs="Times New Roman"/>
          <w:szCs w:val="24"/>
        </w:rPr>
        <w:t>, 393 U.S. 503, 514 (1969)</w:t>
      </w:r>
      <w:r w:rsidRPr="00137962">
        <w:rPr>
          <w:rFonts w:cs="Times New Roman"/>
          <w:i/>
          <w:iCs/>
          <w:szCs w:val="24"/>
        </w:rPr>
        <w:t>.  Pinard</w:t>
      </w:r>
      <w:r w:rsidRPr="00137962">
        <w:rPr>
          <w:rFonts w:cs="Times New Roman"/>
          <w:szCs w:val="24"/>
        </w:rPr>
        <w:t xml:space="preserve">, 467 F.3d at 759; </w:t>
      </w:r>
      <w:r w:rsidRPr="00137962">
        <w:rPr>
          <w:rFonts w:cs="Times New Roman"/>
          <w:i/>
          <w:iCs/>
          <w:szCs w:val="24"/>
        </w:rPr>
        <w:t xml:space="preserve">see also Ariz. Students’ </w:t>
      </w:r>
      <w:proofErr w:type="spellStart"/>
      <w:r w:rsidRPr="00137962">
        <w:rPr>
          <w:rFonts w:cs="Times New Roman"/>
          <w:i/>
          <w:iCs/>
          <w:szCs w:val="24"/>
        </w:rPr>
        <w:t>Ass’n</w:t>
      </w:r>
      <w:proofErr w:type="spellEnd"/>
      <w:r w:rsidRPr="00137962">
        <w:rPr>
          <w:rFonts w:cs="Times New Roman"/>
          <w:szCs w:val="24"/>
        </w:rPr>
        <w:t xml:space="preserve">, 824 F.3d at 867; </w:t>
      </w:r>
      <w:r w:rsidRPr="00137962">
        <w:rPr>
          <w:rFonts w:cs="Times New Roman"/>
          <w:i/>
          <w:iCs/>
          <w:szCs w:val="24"/>
        </w:rPr>
        <w:t>O’Brien v. Welty</w:t>
      </w:r>
      <w:r w:rsidRPr="00137962">
        <w:rPr>
          <w:rFonts w:cs="Times New Roman"/>
          <w:szCs w:val="24"/>
        </w:rPr>
        <w:t xml:space="preserve">, 818 F.3d 920, 932 (9th Cir. 2016); </w:t>
      </w:r>
      <w:proofErr w:type="spellStart"/>
      <w:r w:rsidRPr="00137962">
        <w:rPr>
          <w:rFonts w:cs="Times New Roman"/>
          <w:i/>
          <w:iCs/>
          <w:szCs w:val="24"/>
        </w:rPr>
        <w:t>Corales</w:t>
      </w:r>
      <w:proofErr w:type="spellEnd"/>
      <w:r w:rsidRPr="00137962">
        <w:rPr>
          <w:rFonts w:cs="Times New Roman"/>
          <w:i/>
          <w:iCs/>
          <w:szCs w:val="24"/>
        </w:rPr>
        <w:t xml:space="preserve"> v. Bennett</w:t>
      </w:r>
      <w:r w:rsidRPr="00137962">
        <w:rPr>
          <w:rFonts w:cs="Times New Roman"/>
          <w:szCs w:val="24"/>
        </w:rPr>
        <w:t>, 567 F.3d 554, 562-68 (9th Cir. 2009).</w:t>
      </w:r>
    </w:p>
    <w:p w14:paraId="357F82E4" w14:textId="77777777" w:rsidR="00137962" w:rsidRPr="00137962" w:rsidRDefault="00137962" w:rsidP="00137962">
      <w:pPr>
        <w:autoSpaceDE w:val="0"/>
        <w:autoSpaceDN w:val="0"/>
        <w:adjustRightInd w:val="0"/>
        <w:rPr>
          <w:rFonts w:cs="Times New Roman"/>
          <w:szCs w:val="24"/>
        </w:rPr>
      </w:pPr>
    </w:p>
    <w:p w14:paraId="77CD3BAB"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“A speech restriction cannot satisfy the time, place, manner test if the restriction does not contain clear standards.”</w:t>
      </w:r>
      <w:r w:rsidRPr="00137962">
        <w:rPr>
          <w:rFonts w:cs="Times New Roman"/>
          <w:i/>
          <w:iCs/>
          <w:szCs w:val="24"/>
        </w:rPr>
        <w:t xml:space="preserve">  OSU Student All. v. Ray</w:t>
      </w:r>
      <w:r w:rsidRPr="00137962">
        <w:rPr>
          <w:rFonts w:cs="Times New Roman"/>
          <w:szCs w:val="24"/>
        </w:rPr>
        <w:t xml:space="preserve">, 699 F.3d 1053, 1066 (9th Cir. 2012); </w:t>
      </w:r>
      <w:r w:rsidRPr="00137962">
        <w:rPr>
          <w:rFonts w:cs="Times New Roman"/>
          <w:i/>
          <w:iCs/>
          <w:szCs w:val="24"/>
        </w:rPr>
        <w:t>see also City of Lakewood v. Plain Dealer Pub. Co.</w:t>
      </w:r>
      <w:r w:rsidRPr="00137962">
        <w:rPr>
          <w:rFonts w:cs="Times New Roman"/>
          <w:szCs w:val="24"/>
        </w:rPr>
        <w:t xml:space="preserve">, 486 U.S. 750, 758 (1988) (“The absence of express standards makes it difficult to distinguish, ‘as applied,’ between a licensor’s legitimate denial of </w:t>
      </w:r>
      <w:r w:rsidRPr="00137962">
        <w:rPr>
          <w:rFonts w:cs="Times New Roman"/>
          <w:szCs w:val="24"/>
        </w:rPr>
        <w:lastRenderedPageBreak/>
        <w:t>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1776FCF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protected under the First Amendment when, based on the totality of the circumstances, the</w:t>
      </w:r>
    </w:p>
    <w:p w14:paraId="4AD374A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speech bears a sufficient nexus to the school.  </w:t>
      </w:r>
      <w:r w:rsidRPr="00137962">
        <w:rPr>
          <w:rFonts w:cs="Times New Roman"/>
          <w:i/>
          <w:iCs/>
          <w:szCs w:val="24"/>
        </w:rPr>
        <w:t>McNeil v. Sherwood Sch. Dist. 88J</w:t>
      </w:r>
      <w:r w:rsidRPr="00137962">
        <w:rPr>
          <w:rFonts w:cs="Times New Roman"/>
          <w:szCs w:val="24"/>
        </w:rPr>
        <w:t>, 918 F.3d 700,</w:t>
      </w:r>
    </w:p>
    <w:p w14:paraId="2D2F449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707 (9th Cir. 2019).  Relevant considerations into whether speech bears a sufficient nexus to the</w:t>
      </w:r>
    </w:p>
    <w:p w14:paraId="0966725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school include: (1) the degree and likelihood of harm to the school caused or augured by the</w:t>
      </w:r>
    </w:p>
    <w:p w14:paraId="3A3CB97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speech, (2) whether it was reasonably foreseeable that the speech would reach and impact the</w:t>
      </w:r>
    </w:p>
    <w:p w14:paraId="46A3BF8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school, and (3) the relation between the content and context of the speech and the school.”  </w:t>
      </w:r>
      <w:r w:rsidRPr="00137962">
        <w:rPr>
          <w:rFonts w:cs="Times New Roman"/>
          <w:i/>
          <w:iCs/>
          <w:szCs w:val="24"/>
        </w:rPr>
        <w:t>Id</w:t>
      </w:r>
      <w:r w:rsidRPr="00137962">
        <w:rPr>
          <w:rFonts w:cs="Times New Roman"/>
          <w:szCs w:val="24"/>
        </w:rPr>
        <w:t>.</w:t>
      </w:r>
    </w:p>
    <w:p w14:paraId="12F69753" w14:textId="77777777" w:rsidR="00137962" w:rsidRPr="00137962" w:rsidRDefault="00137962" w:rsidP="00137962">
      <w:pPr>
        <w:autoSpaceDE w:val="0"/>
        <w:autoSpaceDN w:val="0"/>
        <w:adjustRightInd w:val="0"/>
        <w:rPr>
          <w:rFonts w:cs="Times New Roman"/>
          <w:i/>
          <w:iCs/>
          <w:szCs w:val="24"/>
        </w:rPr>
      </w:pPr>
      <w:r w:rsidRPr="00137962">
        <w:rPr>
          <w:rFonts w:cs="Times New Roman"/>
          <w:i/>
          <w:iCs/>
          <w:szCs w:val="24"/>
        </w:rPr>
        <w:t>see also C.R. v. Eugene Sch. Dist. 4J</w:t>
      </w:r>
      <w:r w:rsidRPr="00137962">
        <w:rPr>
          <w:rFonts w:cs="Times New Roman"/>
          <w:szCs w:val="24"/>
        </w:rPr>
        <w:t xml:space="preserve">, 835 F.3d 1142, 1150-52 (9th Cir. 2016); </w:t>
      </w:r>
      <w:proofErr w:type="spellStart"/>
      <w:r w:rsidRPr="00137962">
        <w:rPr>
          <w:rFonts w:cs="Times New Roman"/>
          <w:i/>
          <w:iCs/>
          <w:szCs w:val="24"/>
        </w:rPr>
        <w:t>Wynar</w:t>
      </w:r>
      <w:proofErr w:type="spellEnd"/>
      <w:r w:rsidRPr="00137962">
        <w:rPr>
          <w:rFonts w:cs="Times New Roman"/>
          <w:i/>
          <w:iCs/>
          <w:szCs w:val="24"/>
        </w:rPr>
        <w:t xml:space="preserve"> v. Douglas</w:t>
      </w:r>
    </w:p>
    <w:p w14:paraId="19180E5E" w14:textId="77777777" w:rsidR="00137962" w:rsidRPr="00137962" w:rsidRDefault="00137962" w:rsidP="00137962">
      <w:pPr>
        <w:autoSpaceDE w:val="0"/>
        <w:autoSpaceDN w:val="0"/>
        <w:adjustRightInd w:val="0"/>
        <w:rPr>
          <w:rFonts w:cs="Times New Roman"/>
          <w:szCs w:val="24"/>
        </w:rPr>
      </w:pPr>
      <w:proofErr w:type="spellStart"/>
      <w:r w:rsidRPr="00137962">
        <w:rPr>
          <w:rFonts w:cs="Times New Roman"/>
          <w:i/>
          <w:iCs/>
          <w:szCs w:val="24"/>
        </w:rPr>
        <w:t>Cnty</w:t>
      </w:r>
      <w:proofErr w:type="spellEnd"/>
      <w:r w:rsidRPr="00137962">
        <w:rPr>
          <w:rFonts w:cs="Times New Roman"/>
          <w:i/>
          <w:iCs/>
          <w:szCs w:val="24"/>
        </w:rPr>
        <w:t>. Sch. Dist.</w:t>
      </w:r>
      <w:r w:rsidRPr="00137962">
        <w:rPr>
          <w:rFonts w:cs="Times New Roman"/>
          <w:szCs w:val="24"/>
        </w:rPr>
        <w:t xml:space="preserve">, 728 F. 3d. 1062, 1069 (9th Cir. 2013). </w:t>
      </w:r>
    </w:p>
    <w:p w14:paraId="4AEBDD00" w14:textId="77777777" w:rsidR="00137962" w:rsidRPr="00137962" w:rsidRDefault="00137962" w:rsidP="00137962">
      <w:pPr>
        <w:autoSpaceDE w:val="0"/>
        <w:autoSpaceDN w:val="0"/>
        <w:adjustRightInd w:val="0"/>
        <w:rPr>
          <w:rFonts w:cs="Times New Roman"/>
          <w:szCs w:val="24"/>
        </w:rPr>
      </w:pPr>
    </w:p>
    <w:p w14:paraId="558A3352" w14:textId="77777777" w:rsidR="00137962" w:rsidRPr="00137962" w:rsidRDefault="00137962" w:rsidP="00137962">
      <w:pPr>
        <w:autoSpaceDE w:val="0"/>
        <w:autoSpaceDN w:val="0"/>
        <w:adjustRightInd w:val="0"/>
        <w:ind w:left="720" w:right="720"/>
        <w:jc w:val="both"/>
        <w:rPr>
          <w:rFonts w:cs="Times New Roman"/>
          <w:szCs w:val="24"/>
        </w:rPr>
      </w:pPr>
      <w:r w:rsidRPr="00137962">
        <w:rPr>
          <w:rFonts w:cs="Times New Roman"/>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adverse to give rise to a First Amendment retaliation claim. </w:t>
      </w:r>
    </w:p>
    <w:p w14:paraId="31DFC754" w14:textId="77777777" w:rsidR="00137962" w:rsidRPr="00137962" w:rsidRDefault="00137962" w:rsidP="00137962">
      <w:pPr>
        <w:autoSpaceDE w:val="0"/>
        <w:autoSpaceDN w:val="0"/>
        <w:adjustRightInd w:val="0"/>
        <w:rPr>
          <w:rFonts w:cs="Times New Roman"/>
          <w:szCs w:val="24"/>
        </w:rPr>
      </w:pPr>
    </w:p>
    <w:p w14:paraId="70EEA2A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Mulligan v. Nichols</w:t>
      </w:r>
      <w:r w:rsidRPr="00137962">
        <w:rPr>
          <w:rFonts w:cs="Times New Roman"/>
          <w:szCs w:val="24"/>
        </w:rPr>
        <w:t>, 835 F.3d 983, 989 (9th Cir. 2016) (citations omitted).</w:t>
      </w:r>
    </w:p>
    <w:p w14:paraId="0DE1CE69" w14:textId="77777777" w:rsidR="00137962" w:rsidRPr="00137962" w:rsidRDefault="00137962" w:rsidP="00137962">
      <w:pPr>
        <w:autoSpaceDE w:val="0"/>
        <w:autoSpaceDN w:val="0"/>
        <w:adjustRightInd w:val="0"/>
        <w:rPr>
          <w:rFonts w:cs="Times New Roman"/>
          <w:szCs w:val="24"/>
        </w:rPr>
      </w:pPr>
    </w:p>
    <w:p w14:paraId="2AB8566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For a discussion of the boundaries between First Amendment protected expression and unprotected business activity by a street performer,</w:t>
      </w:r>
      <w:r w:rsidRPr="00137962">
        <w:rPr>
          <w:rFonts w:cs="Times New Roman"/>
          <w:i/>
          <w:iCs/>
          <w:szCs w:val="24"/>
        </w:rPr>
        <w:t xml:space="preserve"> see </w:t>
      </w:r>
      <w:proofErr w:type="spellStart"/>
      <w:r w:rsidRPr="00137962">
        <w:rPr>
          <w:rFonts w:cs="Times New Roman"/>
          <w:i/>
          <w:iCs/>
          <w:szCs w:val="24"/>
        </w:rPr>
        <w:t>Santopietro</w:t>
      </w:r>
      <w:proofErr w:type="spellEnd"/>
      <w:r w:rsidRPr="00137962">
        <w:rPr>
          <w:rFonts w:cs="Times New Roman"/>
          <w:i/>
          <w:iCs/>
          <w:szCs w:val="24"/>
        </w:rPr>
        <w:t xml:space="preserve"> v. Howell</w:t>
      </w:r>
      <w:r w:rsidRPr="00137962">
        <w:rPr>
          <w:rFonts w:cs="Times New Roman"/>
          <w:szCs w:val="24"/>
        </w:rPr>
        <w:t>, 857 F.3d 980 (9th Cir. 2017).</w:t>
      </w:r>
    </w:p>
    <w:p w14:paraId="7CD79976" w14:textId="77777777" w:rsidR="00137962" w:rsidRPr="00137962" w:rsidRDefault="00137962" w:rsidP="00137962">
      <w:pPr>
        <w:autoSpaceDE w:val="0"/>
        <w:autoSpaceDN w:val="0"/>
        <w:adjustRightInd w:val="0"/>
        <w:rPr>
          <w:rFonts w:cs="Times New Roman"/>
          <w:szCs w:val="24"/>
        </w:rPr>
      </w:pPr>
    </w:p>
    <w:p w14:paraId="76274138" w14:textId="6B8401E0" w:rsidR="00137962" w:rsidRPr="00137962" w:rsidRDefault="00137962" w:rsidP="00137962">
      <w:pPr>
        <w:jc w:val="both"/>
        <w:rPr>
          <w:rFonts w:cs="Times New Roman"/>
          <w:szCs w:val="24"/>
        </w:rPr>
      </w:pPr>
      <w:r w:rsidRPr="00137962">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137962">
        <w:rPr>
          <w:rFonts w:cs="Times New Roman"/>
          <w:i/>
          <w:iCs/>
          <w:szCs w:val="24"/>
        </w:rPr>
        <w:t>Rhodes v. Robinson</w:t>
      </w:r>
      <w:r w:rsidRPr="00137962">
        <w:rPr>
          <w:rFonts w:cs="Times New Roman"/>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proofErr w:type="spellStart"/>
      <w:r w:rsidRPr="00137962">
        <w:rPr>
          <w:rFonts w:cs="Times New Roman"/>
          <w:i/>
          <w:iCs/>
          <w:szCs w:val="24"/>
        </w:rPr>
        <w:t>Entler</w:t>
      </w:r>
      <w:proofErr w:type="spellEnd"/>
      <w:r w:rsidRPr="00137962">
        <w:rPr>
          <w:rFonts w:cs="Times New Roman"/>
          <w:i/>
          <w:iCs/>
          <w:szCs w:val="24"/>
        </w:rPr>
        <w:t xml:space="preserve"> v. Gregoire</w:t>
      </w:r>
      <w:r w:rsidRPr="00137962">
        <w:rPr>
          <w:rFonts w:cs="Times New Roman"/>
          <w:szCs w:val="24"/>
        </w:rPr>
        <w:t xml:space="preserve">, 872 F.3d 1031 (9th Cir. 2017). “Prisoners have a First Amendment right to receive information while incarcerated,” but this right must be balanced against a prison’s need for effective administration and reform.  </w:t>
      </w:r>
      <w:r w:rsidRPr="00137962">
        <w:rPr>
          <w:rFonts w:cs="Times New Roman"/>
          <w:i/>
          <w:iCs/>
          <w:szCs w:val="24"/>
        </w:rPr>
        <w:t>Jones v. Slade</w:t>
      </w:r>
      <w:r w:rsidRPr="00137962">
        <w:rPr>
          <w:rFonts w:cs="Times New Roman"/>
          <w:szCs w:val="24"/>
        </w:rPr>
        <w:t xml:space="preserve">, 23 F.4th 1124, 1134 (9th Cir. 2022).  Prison regulations that affect information or mailings available to inmates are reviewed pursuant to the four-factor deferential standard set forth in </w:t>
      </w:r>
      <w:r w:rsidRPr="00137962">
        <w:rPr>
          <w:rFonts w:cs="Times New Roman"/>
          <w:i/>
          <w:iCs/>
          <w:szCs w:val="24"/>
        </w:rPr>
        <w:t xml:space="preserve">Turner v. </w:t>
      </w:r>
      <w:proofErr w:type="spellStart"/>
      <w:r w:rsidRPr="00137962">
        <w:rPr>
          <w:rFonts w:cs="Times New Roman"/>
          <w:i/>
          <w:iCs/>
          <w:szCs w:val="24"/>
        </w:rPr>
        <w:t>Safley</w:t>
      </w:r>
      <w:proofErr w:type="spellEnd"/>
      <w:r w:rsidRPr="00137962">
        <w:rPr>
          <w:rFonts w:cs="Times New Roman"/>
          <w:szCs w:val="24"/>
        </w:rPr>
        <w:t xml:space="preserve">, 482 U.S. 78 (1987).  </w:t>
      </w:r>
      <w:r w:rsidRPr="00137962">
        <w:rPr>
          <w:rFonts w:cs="Times New Roman"/>
          <w:i/>
          <w:iCs/>
          <w:szCs w:val="24"/>
        </w:rPr>
        <w:t>Id.</w:t>
      </w:r>
      <w:r w:rsidRPr="00137962">
        <w:rPr>
          <w:rFonts w:cs="Times New Roman"/>
          <w:szCs w:val="24"/>
        </w:rPr>
        <w:t xml:space="preserve">, 23 F.4th at 1134-35 (applying </w:t>
      </w:r>
      <w:r w:rsidRPr="00137962">
        <w:rPr>
          <w:rFonts w:cs="Times New Roman"/>
          <w:i/>
          <w:iCs/>
          <w:szCs w:val="24"/>
        </w:rPr>
        <w:t xml:space="preserve">Turner </w:t>
      </w:r>
      <w:r w:rsidRPr="00137962">
        <w:rPr>
          <w:rFonts w:cs="Times New Roman"/>
          <w:szCs w:val="24"/>
        </w:rPr>
        <w:t>standard to music CDs confiscated as contraband per prison regulations).</w:t>
      </w:r>
      <w:r w:rsidR="00507387">
        <w:rPr>
          <w:rFonts w:cs="Times New Roman"/>
          <w:szCs w:val="24"/>
        </w:rPr>
        <w:t xml:space="preserve"> </w:t>
      </w:r>
      <w:r w:rsidR="00507387" w:rsidRPr="00C221BD">
        <w:rPr>
          <w:rFonts w:cs="Times New Roman"/>
          <w:i/>
          <w:iCs/>
          <w:szCs w:val="24"/>
        </w:rPr>
        <w:t>see also Prison Legal News v. Ryan</w:t>
      </w:r>
      <w:r w:rsidR="00507387" w:rsidRPr="00C221BD">
        <w:rPr>
          <w:rFonts w:cs="Times New Roman"/>
          <w:szCs w:val="24"/>
        </w:rPr>
        <w:t xml:space="preserve">, </w:t>
      </w:r>
      <w:r w:rsidR="00507387">
        <w:rPr>
          <w:rFonts w:cs="Times New Roman"/>
          <w:szCs w:val="24"/>
        </w:rPr>
        <w:t>39 F.4</w:t>
      </w:r>
      <w:r w:rsidR="00507387" w:rsidRPr="00E8070E">
        <w:rPr>
          <w:rFonts w:cs="Times New Roman"/>
          <w:szCs w:val="24"/>
        </w:rPr>
        <w:t>th</w:t>
      </w:r>
      <w:r w:rsidR="00507387">
        <w:rPr>
          <w:rFonts w:cs="Times New Roman"/>
          <w:szCs w:val="24"/>
        </w:rPr>
        <w:t xml:space="preserve"> 1121 </w:t>
      </w:r>
      <w:r w:rsidR="00507387" w:rsidRPr="00C221BD">
        <w:rPr>
          <w:rFonts w:cs="Times New Roman"/>
          <w:szCs w:val="24"/>
        </w:rPr>
        <w:t>(9th</w:t>
      </w:r>
      <w:r w:rsidR="00507387">
        <w:rPr>
          <w:rFonts w:cs="Times New Roman"/>
          <w:szCs w:val="24"/>
        </w:rPr>
        <w:t xml:space="preserve"> </w:t>
      </w:r>
      <w:r w:rsidR="00507387" w:rsidRPr="00C221BD">
        <w:rPr>
          <w:rFonts w:cs="Times New Roman"/>
          <w:szCs w:val="24"/>
        </w:rPr>
        <w:t xml:space="preserve">Cir. 2022) (applying </w:t>
      </w:r>
      <w:r w:rsidR="00507387" w:rsidRPr="00C221BD">
        <w:rPr>
          <w:rFonts w:cs="Times New Roman"/>
          <w:i/>
          <w:iCs/>
          <w:szCs w:val="24"/>
        </w:rPr>
        <w:t>Turner</w:t>
      </w:r>
      <w:r w:rsidR="00507387" w:rsidRPr="00C221BD">
        <w:rPr>
          <w:rFonts w:cs="Times New Roman"/>
          <w:szCs w:val="24"/>
        </w:rPr>
        <w:t xml:space="preserve"> standard to</w:t>
      </w:r>
      <w:r w:rsidR="00507387">
        <w:rPr>
          <w:rFonts w:cs="Times New Roman"/>
          <w:szCs w:val="24"/>
        </w:rPr>
        <w:t xml:space="preserve"> prison rule prohibiting inmates from receiving mail </w:t>
      </w:r>
      <w:r w:rsidR="00507387" w:rsidRPr="00C221BD">
        <w:rPr>
          <w:rFonts w:cs="Times New Roman"/>
          <w:szCs w:val="24"/>
        </w:rPr>
        <w:t>containing sexually explicit material</w:t>
      </w:r>
      <w:r w:rsidR="00507387">
        <w:rPr>
          <w:rFonts w:cs="Times New Roman"/>
          <w:szCs w:val="24"/>
        </w:rPr>
        <w:t>).</w:t>
      </w:r>
    </w:p>
    <w:p w14:paraId="5AFDFD33" w14:textId="77777777" w:rsidR="00137962" w:rsidRPr="00137962" w:rsidRDefault="00137962" w:rsidP="00137962">
      <w:pPr>
        <w:jc w:val="both"/>
        <w:rPr>
          <w:rFonts w:cs="Times New Roman"/>
          <w:szCs w:val="24"/>
        </w:rPr>
      </w:pPr>
    </w:p>
    <w:p w14:paraId="5CE7711B" w14:textId="77777777" w:rsidR="00137962" w:rsidRPr="00137962" w:rsidRDefault="00137962" w:rsidP="00137962">
      <w:pPr>
        <w:ind w:firstLine="720"/>
        <w:jc w:val="both"/>
        <w:rPr>
          <w:rFonts w:cs="Times New Roman"/>
          <w:szCs w:val="24"/>
        </w:rPr>
      </w:pPr>
      <w:r w:rsidRPr="00137962">
        <w:rPr>
          <w:rFonts w:cs="Times New Roman"/>
          <w:szCs w:val="24"/>
        </w:rPr>
        <w:t>Within the context of First Amendment retaliatory arrest claims, plaintiffs “must</w:t>
      </w:r>
    </w:p>
    <w:p w14:paraId="35EB0202" w14:textId="77777777" w:rsidR="00137962" w:rsidRPr="00137962" w:rsidRDefault="00137962" w:rsidP="00137962">
      <w:pPr>
        <w:jc w:val="both"/>
        <w:rPr>
          <w:rFonts w:cs="Times New Roman"/>
          <w:szCs w:val="24"/>
        </w:rPr>
      </w:pPr>
      <w:r w:rsidRPr="00137962">
        <w:rPr>
          <w:rFonts w:cs="Times New Roman"/>
          <w:szCs w:val="24"/>
        </w:rPr>
        <w:t>generally ‘plead and prove the absence of probable cause,’ because the presence of probable</w:t>
      </w:r>
    </w:p>
    <w:p w14:paraId="13B8E178" w14:textId="77777777" w:rsidR="00137962" w:rsidRPr="00137962" w:rsidRDefault="00137962" w:rsidP="00137962">
      <w:pPr>
        <w:jc w:val="both"/>
        <w:rPr>
          <w:rFonts w:cs="Times New Roman"/>
          <w:szCs w:val="24"/>
        </w:rPr>
      </w:pPr>
      <w:r w:rsidRPr="00137962">
        <w:rPr>
          <w:rFonts w:cs="Times New Roman"/>
          <w:szCs w:val="24"/>
        </w:rPr>
        <w:t>cause generally ‘speaks to the objective reasonableness of an arrest’ and suggests that the</w:t>
      </w:r>
    </w:p>
    <w:p w14:paraId="36AE6ACC" w14:textId="77777777" w:rsidR="00137962" w:rsidRPr="00137962" w:rsidRDefault="00137962" w:rsidP="00137962">
      <w:pPr>
        <w:jc w:val="both"/>
        <w:rPr>
          <w:rFonts w:cs="Times New Roman"/>
          <w:szCs w:val="24"/>
        </w:rPr>
      </w:pPr>
      <w:r w:rsidRPr="00137962">
        <w:rPr>
          <w:rFonts w:cs="Times New Roman"/>
          <w:szCs w:val="24"/>
        </w:rPr>
        <w:lastRenderedPageBreak/>
        <w:t xml:space="preserve">‘officer’s animus’ is not what caused the arrest.”  </w:t>
      </w:r>
      <w:r w:rsidRPr="00137962">
        <w:rPr>
          <w:rFonts w:cs="Times New Roman"/>
          <w:i/>
          <w:iCs/>
          <w:szCs w:val="24"/>
        </w:rPr>
        <w:t>Ballentine v. Tucker</w:t>
      </w:r>
      <w:r w:rsidRPr="00137962">
        <w:rPr>
          <w:rFonts w:cs="Times New Roman"/>
          <w:szCs w:val="24"/>
        </w:rPr>
        <w:t>, 28 F.4th 54, 62 (9th Cir.</w:t>
      </w:r>
    </w:p>
    <w:p w14:paraId="5C43E268" w14:textId="77777777" w:rsidR="00137962" w:rsidRPr="00137962" w:rsidRDefault="00137962" w:rsidP="00137962">
      <w:pPr>
        <w:jc w:val="both"/>
        <w:rPr>
          <w:rFonts w:cs="Times New Roman"/>
          <w:szCs w:val="24"/>
        </w:rPr>
      </w:pPr>
      <w:r w:rsidRPr="00137962">
        <w:rPr>
          <w:rFonts w:cs="Times New Roman"/>
          <w:szCs w:val="24"/>
        </w:rPr>
        <w:t xml:space="preserve">2022) (quoting </w:t>
      </w:r>
      <w:r w:rsidRPr="00137962">
        <w:rPr>
          <w:rFonts w:cs="Times New Roman"/>
          <w:i/>
          <w:iCs/>
          <w:szCs w:val="24"/>
        </w:rPr>
        <w:t>Nieves v. Bartlett</w:t>
      </w:r>
      <w:r w:rsidRPr="00137962">
        <w:rPr>
          <w:rFonts w:cs="Times New Roman"/>
          <w:szCs w:val="24"/>
        </w:rPr>
        <w:t>, 139 S. Ct. 1715, 1723-24 (2019)).  However, the Supreme</w:t>
      </w:r>
    </w:p>
    <w:p w14:paraId="3351A8DE" w14:textId="77777777" w:rsidR="00137962" w:rsidRPr="00137962" w:rsidRDefault="00137962" w:rsidP="00137962">
      <w:pPr>
        <w:jc w:val="both"/>
        <w:rPr>
          <w:rFonts w:cs="Times New Roman"/>
          <w:szCs w:val="24"/>
        </w:rPr>
      </w:pPr>
      <w:r w:rsidRPr="00137962">
        <w:rPr>
          <w:rFonts w:cs="Times New Roman"/>
          <w:szCs w:val="24"/>
        </w:rPr>
        <w:t>Court has “carved out a ‘narrow’ exception for cases where ‘officers have probable cause to</w:t>
      </w:r>
    </w:p>
    <w:p w14:paraId="5EC81481" w14:textId="77777777" w:rsidR="00137962" w:rsidRPr="00137962" w:rsidRDefault="00137962" w:rsidP="00137962">
      <w:pPr>
        <w:jc w:val="both"/>
        <w:rPr>
          <w:rFonts w:cs="Times New Roman"/>
          <w:szCs w:val="24"/>
        </w:rPr>
      </w:pPr>
      <w:r w:rsidRPr="00137962">
        <w:rPr>
          <w:rFonts w:cs="Times New Roman"/>
          <w:szCs w:val="24"/>
        </w:rPr>
        <w:t xml:space="preserve">make arrests, but typically exercise their discretion not to do so,’” </w:t>
      </w:r>
      <w:r w:rsidRPr="00137962">
        <w:rPr>
          <w:rFonts w:cs="Times New Roman"/>
          <w:i/>
          <w:iCs/>
          <w:szCs w:val="24"/>
        </w:rPr>
        <w:t>Ballentine</w:t>
      </w:r>
      <w:r w:rsidRPr="00137962">
        <w:rPr>
          <w:rFonts w:cs="Times New Roman"/>
          <w:szCs w:val="24"/>
        </w:rPr>
        <w:t>, 28 F.4th at 62</w:t>
      </w:r>
    </w:p>
    <w:p w14:paraId="3CC77A1F" w14:textId="77777777" w:rsidR="00137962" w:rsidRPr="00137962" w:rsidRDefault="00137962" w:rsidP="00137962">
      <w:pPr>
        <w:jc w:val="both"/>
        <w:rPr>
          <w:rFonts w:cs="Times New Roman"/>
          <w:szCs w:val="24"/>
        </w:rPr>
      </w:pPr>
      <w:r w:rsidRPr="00137962">
        <w:rPr>
          <w:rFonts w:cs="Times New Roman"/>
          <w:szCs w:val="24"/>
        </w:rPr>
        <w:t xml:space="preserve">(quoting </w:t>
      </w:r>
      <w:r w:rsidRPr="00137962">
        <w:rPr>
          <w:rFonts w:cs="Times New Roman"/>
          <w:i/>
          <w:iCs/>
          <w:szCs w:val="24"/>
        </w:rPr>
        <w:t>Nieves</w:t>
      </w:r>
      <w:r w:rsidRPr="00137962">
        <w:rPr>
          <w:rFonts w:cs="Times New Roman"/>
          <w:szCs w:val="24"/>
        </w:rPr>
        <w:t xml:space="preserve">, 139 S. Ct. at 1727).  In such cases, which involve offenses like jaywalking and defacing public property with chalk, “the </w:t>
      </w:r>
      <w:r w:rsidRPr="00137962">
        <w:rPr>
          <w:rFonts w:cs="Times New Roman"/>
          <w:i/>
          <w:iCs/>
          <w:szCs w:val="24"/>
        </w:rPr>
        <w:t xml:space="preserve">Nieves </w:t>
      </w:r>
      <w:r w:rsidRPr="00137962">
        <w:rPr>
          <w:rFonts w:cs="Times New Roman"/>
          <w:szCs w:val="24"/>
        </w:rPr>
        <w:t>exception only applies ‘when a plaintiff</w:t>
      </w:r>
    </w:p>
    <w:p w14:paraId="4BA4C842" w14:textId="77777777" w:rsidR="00137962" w:rsidRPr="00137962" w:rsidRDefault="00137962" w:rsidP="00137962">
      <w:pPr>
        <w:jc w:val="both"/>
        <w:rPr>
          <w:rFonts w:cs="Times New Roman"/>
          <w:szCs w:val="24"/>
        </w:rPr>
      </w:pPr>
      <w:r w:rsidRPr="00137962">
        <w:rPr>
          <w:rFonts w:cs="Times New Roman"/>
          <w:szCs w:val="24"/>
        </w:rPr>
        <w:t>presents objective evidence that he was arrested when otherwise similarly situated individuals</w:t>
      </w:r>
    </w:p>
    <w:p w14:paraId="0BA37362" w14:textId="77777777" w:rsidR="00137962" w:rsidRPr="00137962" w:rsidRDefault="00137962" w:rsidP="00137962">
      <w:pPr>
        <w:jc w:val="both"/>
        <w:rPr>
          <w:rFonts w:cs="Times New Roman"/>
          <w:i/>
          <w:iCs/>
          <w:szCs w:val="24"/>
        </w:rPr>
      </w:pPr>
      <w:r w:rsidRPr="00137962">
        <w:rPr>
          <w:rFonts w:cs="Times New Roman"/>
          <w:szCs w:val="24"/>
        </w:rPr>
        <w:t xml:space="preserve">not engaged in the same sort of protected speech had not been.’”  </w:t>
      </w:r>
      <w:r w:rsidRPr="00137962">
        <w:rPr>
          <w:rFonts w:cs="Times New Roman"/>
          <w:i/>
          <w:iCs/>
          <w:szCs w:val="24"/>
        </w:rPr>
        <w:t>Id.</w:t>
      </w:r>
    </w:p>
    <w:p w14:paraId="188E1D31" w14:textId="77777777" w:rsidR="00137962" w:rsidRPr="00137962" w:rsidRDefault="00137962" w:rsidP="00137962">
      <w:pPr>
        <w:jc w:val="both"/>
        <w:rPr>
          <w:rFonts w:cs="Times New Roman"/>
          <w:szCs w:val="24"/>
        </w:rPr>
      </w:pPr>
    </w:p>
    <w:p w14:paraId="1F02A92F" w14:textId="77777777" w:rsidR="00137962" w:rsidRPr="00137962" w:rsidRDefault="00137962" w:rsidP="00137962">
      <w:pPr>
        <w:ind w:firstLine="720"/>
        <w:jc w:val="both"/>
        <w:rPr>
          <w:rFonts w:cs="Times New Roman"/>
          <w:szCs w:val="24"/>
        </w:rPr>
      </w:pPr>
      <w:r w:rsidRPr="00137962">
        <w:rPr>
          <w:rFonts w:cs="Times New Roman"/>
          <w:szCs w:val="24"/>
        </w:rPr>
        <w:t>If a plaintiff bringing a retaliatory arrest claim establishes that protected conduct was a</w:t>
      </w:r>
    </w:p>
    <w:p w14:paraId="44213562" w14:textId="77777777" w:rsidR="00137962" w:rsidRPr="00137962" w:rsidRDefault="00137962" w:rsidP="00137962">
      <w:pPr>
        <w:jc w:val="both"/>
        <w:rPr>
          <w:rFonts w:cs="Times New Roman"/>
          <w:szCs w:val="24"/>
        </w:rPr>
      </w:pPr>
      <w:r w:rsidRPr="00137962">
        <w:rPr>
          <w:rFonts w:cs="Times New Roman"/>
          <w:szCs w:val="24"/>
        </w:rPr>
        <w:t>substantial or motivating factor behind the plaintiff’s arrest, then “the defendant can prevail only</w:t>
      </w:r>
    </w:p>
    <w:p w14:paraId="4909CB1D" w14:textId="77777777" w:rsidR="00137962" w:rsidRPr="00137962" w:rsidRDefault="00137962" w:rsidP="00137962">
      <w:pPr>
        <w:jc w:val="both"/>
        <w:rPr>
          <w:rFonts w:cs="Times New Roman"/>
          <w:szCs w:val="24"/>
        </w:rPr>
      </w:pPr>
      <w:r w:rsidRPr="00137962">
        <w:rPr>
          <w:rFonts w:cs="Times New Roman"/>
          <w:szCs w:val="24"/>
        </w:rPr>
        <w:t xml:space="preserve">by a showing that the [arrest] would have been initiated without respect to retaliation.”  </w:t>
      </w:r>
      <w:r w:rsidRPr="00137962">
        <w:rPr>
          <w:rFonts w:cs="Times New Roman"/>
          <w:i/>
          <w:iCs/>
          <w:szCs w:val="24"/>
        </w:rPr>
        <w:t>Ballentine</w:t>
      </w:r>
      <w:r w:rsidRPr="00137962">
        <w:rPr>
          <w:rFonts w:cs="Times New Roman"/>
          <w:szCs w:val="24"/>
        </w:rPr>
        <w:t xml:space="preserve">, 28 F.4th at 63 (quoting </w:t>
      </w:r>
      <w:r w:rsidRPr="00137962">
        <w:rPr>
          <w:rFonts w:cs="Times New Roman"/>
          <w:i/>
          <w:iCs/>
          <w:szCs w:val="24"/>
        </w:rPr>
        <w:t>Nieves</w:t>
      </w:r>
      <w:r w:rsidRPr="00137962">
        <w:rPr>
          <w:rFonts w:cs="Times New Roman"/>
          <w:szCs w:val="24"/>
        </w:rPr>
        <w:t>, 139 S. Ct. at 1725, 1727)).</w:t>
      </w:r>
    </w:p>
    <w:p w14:paraId="17C20190" w14:textId="77777777" w:rsidR="00137962" w:rsidRPr="00137962" w:rsidRDefault="00137962" w:rsidP="00137962">
      <w:pPr>
        <w:autoSpaceDE w:val="0"/>
        <w:autoSpaceDN w:val="0"/>
        <w:adjustRightInd w:val="0"/>
        <w:rPr>
          <w:rFonts w:cs="Times New Roman"/>
          <w:szCs w:val="24"/>
        </w:rPr>
      </w:pPr>
    </w:p>
    <w:p w14:paraId="08C2A59E" w14:textId="77777777" w:rsidR="00137962" w:rsidRPr="00137962" w:rsidRDefault="00137962" w:rsidP="00137962">
      <w:pPr>
        <w:autoSpaceDE w:val="0"/>
        <w:autoSpaceDN w:val="0"/>
        <w:adjustRightInd w:val="0"/>
        <w:ind w:firstLine="720"/>
        <w:rPr>
          <w:rFonts w:ascii="TimesNewRomanPSMT" w:hAnsi="TimesNewRomanPSMT" w:cs="TimesNewRomanPSMT"/>
          <w:szCs w:val="24"/>
        </w:rPr>
      </w:pPr>
      <w:r w:rsidRPr="00137962">
        <w:rPr>
          <w:rFonts w:ascii="TimesNewRomanPSMT" w:hAnsi="TimesNewRomanPSMT" w:cs="TimesNewRomanPSMT"/>
          <w:szCs w:val="24"/>
        </w:rPr>
        <w:t xml:space="preserve">This instruction properly applies to First Amendment claims concerning speech by elected officials.  </w:t>
      </w:r>
      <w:r w:rsidRPr="00137962">
        <w:rPr>
          <w:rFonts w:ascii="TimesNewRomanPS-ItalicMT" w:hAnsi="TimesNewRomanPS-ItalicMT" w:cs="TimesNewRomanPS-ItalicMT"/>
          <w:i/>
          <w:iCs/>
          <w:szCs w:val="24"/>
        </w:rPr>
        <w:t xml:space="preserve">See </w:t>
      </w:r>
      <w:proofErr w:type="spellStart"/>
      <w:r w:rsidRPr="00137962">
        <w:rPr>
          <w:rFonts w:ascii="TimesNewRomanPS-ItalicMT" w:hAnsi="TimesNewRomanPS-ItalicMT" w:cs="TimesNewRomanPS-ItalicMT"/>
          <w:i/>
          <w:iCs/>
          <w:szCs w:val="24"/>
        </w:rPr>
        <w:t>Boquist</w:t>
      </w:r>
      <w:proofErr w:type="spellEnd"/>
      <w:r w:rsidRPr="00137962">
        <w:rPr>
          <w:rFonts w:ascii="TimesNewRomanPS-ItalicMT" w:hAnsi="TimesNewRomanPS-ItalicMT" w:cs="TimesNewRomanPS-ItalicMT"/>
          <w:i/>
          <w:iCs/>
          <w:szCs w:val="24"/>
        </w:rPr>
        <w:t xml:space="preserve"> v. Courtney</w:t>
      </w:r>
      <w:r w:rsidRPr="00137962">
        <w:rPr>
          <w:rFonts w:ascii="TimesNewRomanPSMT" w:hAnsi="TimesNewRomanPSMT" w:cs="TimesNewRomanPSMT"/>
          <w:szCs w:val="24"/>
        </w:rPr>
        <w:t xml:space="preserve">, 32 F.4th 764, 774 (9th Cir. 2022) (citing </w:t>
      </w:r>
      <w:r w:rsidRPr="00137962">
        <w:rPr>
          <w:rFonts w:ascii="TimesNewRomanPS-ItalicMT" w:hAnsi="TimesNewRomanPS-ItalicMT" w:cs="TimesNewRomanPS-ItalicMT"/>
          <w:i/>
          <w:iCs/>
          <w:szCs w:val="24"/>
        </w:rPr>
        <w:t>Blair v. Bethel Sch. Dist.</w:t>
      </w:r>
      <w:r w:rsidRPr="00137962">
        <w:rPr>
          <w:rFonts w:ascii="TimesNewRomanPSMT" w:hAnsi="TimesNewRomanPSMT" w:cs="TimesNewRomanPSMT"/>
          <w:szCs w:val="24"/>
        </w:rPr>
        <w:t xml:space="preserve">, 608 F.3d 540, 542-43 (9th Cir. 2010)).  The first element in Instruction 9.11 “is readily met when elected officials express their views and opinions.”  </w:t>
      </w:r>
      <w:proofErr w:type="spellStart"/>
      <w:r w:rsidRPr="00137962">
        <w:rPr>
          <w:rFonts w:ascii="TimesNewRomanPS-ItalicMT" w:hAnsi="TimesNewRomanPS-ItalicMT" w:cs="TimesNewRomanPS-ItalicMT"/>
          <w:i/>
          <w:iCs/>
          <w:szCs w:val="24"/>
        </w:rPr>
        <w:t>Boquist</w:t>
      </w:r>
      <w:proofErr w:type="spellEnd"/>
      <w:r w:rsidRPr="00137962">
        <w:rPr>
          <w:rFonts w:ascii="TimesNewRomanPSMT" w:hAnsi="TimesNewRomanPSMT" w:cs="TimesNewRomanPSMT"/>
          <w:szCs w:val="24"/>
        </w:rPr>
        <w:t xml:space="preserve">, 32 F.4th at 775.  However, the second element is more difficult for elected officials to establish.  </w:t>
      </w:r>
      <w:r w:rsidRPr="00137962">
        <w:rPr>
          <w:rFonts w:ascii="TimesNewRomanPS-ItalicMT" w:hAnsi="TimesNewRomanPS-ItalicMT" w:cs="TimesNewRomanPS-ItalicMT"/>
          <w:i/>
          <w:iCs/>
          <w:szCs w:val="24"/>
        </w:rPr>
        <w:t xml:space="preserve">Id. </w:t>
      </w:r>
      <w:r w:rsidRPr="00137962">
        <w:rPr>
          <w:rFonts w:ascii="TimesNewRomanPSMT" w:hAnsi="TimesNewRomanPSMT" w:cs="TimesNewRomanPSMT"/>
          <w:szCs w:val="24"/>
        </w:rPr>
        <w:t xml:space="preserve">at 776.  This is because “the First Amendment . . . ‘doesn’t shield public figures from the give-and-take of the political process.’”  </w:t>
      </w:r>
      <w:r w:rsidRPr="00137962">
        <w:rPr>
          <w:rFonts w:ascii="TimesNewRomanPS-ItalicMT" w:hAnsi="TimesNewRomanPS-ItalicMT" w:cs="TimesNewRomanPS-ItalicMT"/>
          <w:i/>
          <w:iCs/>
          <w:szCs w:val="24"/>
        </w:rPr>
        <w:t xml:space="preserve">Id. </w:t>
      </w:r>
      <w:r w:rsidRPr="00137962">
        <w:rPr>
          <w:rFonts w:ascii="TimesNewRomanPSMT" w:hAnsi="TimesNewRomanPSMT" w:cs="TimesNewRomanPSMT"/>
          <w:szCs w:val="24"/>
        </w:rPr>
        <w:t xml:space="preserve">(citing </w:t>
      </w:r>
      <w:r w:rsidRPr="00137962">
        <w:rPr>
          <w:rFonts w:ascii="TimesNewRomanPS-ItalicMT" w:hAnsi="TimesNewRomanPS-ItalicMT" w:cs="TimesNewRomanPS-ItalicMT"/>
          <w:i/>
          <w:iCs/>
          <w:szCs w:val="24"/>
        </w:rPr>
        <w:t>Blair</w:t>
      </w:r>
      <w:r w:rsidRPr="00137962">
        <w:rPr>
          <w:rFonts w:ascii="TimesNewRomanPSMT" w:hAnsi="TimesNewRomanPSMT" w:cs="TimesNewRomanPSMT"/>
          <w:szCs w:val="24"/>
        </w:rPr>
        <w:t>, 608 F.3d at 543-44).  To establish the second element, an elected official would</w:t>
      </w:r>
      <w:r w:rsidRPr="00137962">
        <w:rPr>
          <w:rFonts w:ascii="TimesNewRomanPSMT" w:hAnsi="TimesNewRomanPSMT" w:cs="TimesNewRomanPSMT"/>
          <w:sz w:val="28"/>
          <w:szCs w:val="28"/>
        </w:rPr>
        <w:t xml:space="preserve"> </w:t>
      </w:r>
      <w:r w:rsidRPr="00137962">
        <w:rPr>
          <w:rFonts w:ascii="TimesNewRomanPSMT" w:hAnsi="TimesNewRomanPSMT" w:cs="TimesNewRomanPSMT"/>
          <w:szCs w:val="24"/>
        </w:rPr>
        <w:t>have to show that the adverse action in question either (</w:t>
      </w:r>
      <w:proofErr w:type="spellStart"/>
      <w:r w:rsidRPr="00137962">
        <w:rPr>
          <w:rFonts w:ascii="TimesNewRomanPSMT" w:hAnsi="TimesNewRomanPSMT" w:cs="TimesNewRomanPSMT"/>
          <w:szCs w:val="24"/>
        </w:rPr>
        <w:t>i</w:t>
      </w:r>
      <w:proofErr w:type="spellEnd"/>
      <w:r w:rsidRPr="00137962">
        <w:rPr>
          <w:rFonts w:ascii="TimesNewRomanPSMT" w:hAnsi="TimesNewRomanPSMT" w:cs="TimesNewRomanPSMT"/>
          <w:szCs w:val="24"/>
        </w:rPr>
        <w:t xml:space="preserve">) prevented her from doing her job, (ii) deprived her of authority she enjoyed by virtue of her popular election, or (iii) otherwise prevented her from enjoying the full range of rights and prerogatives that came with being elected.  </w:t>
      </w:r>
      <w:r w:rsidRPr="00137962">
        <w:rPr>
          <w:rFonts w:ascii="TimesNewRomanPS-ItalicMT" w:hAnsi="TimesNewRomanPS-ItalicMT" w:cs="TimesNewRomanPS-ItalicMT"/>
          <w:i/>
          <w:iCs/>
          <w:szCs w:val="24"/>
        </w:rPr>
        <w:t xml:space="preserve">See </w:t>
      </w:r>
      <w:proofErr w:type="spellStart"/>
      <w:r w:rsidRPr="00137962">
        <w:rPr>
          <w:rFonts w:ascii="TimesNewRomanPS-ItalicMT" w:hAnsi="TimesNewRomanPS-ItalicMT" w:cs="TimesNewRomanPS-ItalicMT"/>
          <w:i/>
          <w:iCs/>
          <w:szCs w:val="24"/>
        </w:rPr>
        <w:t>Boquist</w:t>
      </w:r>
      <w:proofErr w:type="spellEnd"/>
      <w:r w:rsidRPr="00137962">
        <w:rPr>
          <w:rFonts w:ascii="TimesNewRomanPSMT" w:hAnsi="TimesNewRomanPSMT" w:cs="TimesNewRomanPSMT"/>
          <w:szCs w:val="24"/>
        </w:rPr>
        <w:t xml:space="preserve">, 32 F.4th at 777 (citing </w:t>
      </w:r>
      <w:r w:rsidRPr="00137962">
        <w:rPr>
          <w:rFonts w:ascii="TimesNewRomanPS-ItalicMT" w:hAnsi="TimesNewRomanPS-ItalicMT" w:cs="TimesNewRomanPS-ItalicMT"/>
          <w:i/>
          <w:iCs/>
          <w:szCs w:val="24"/>
        </w:rPr>
        <w:t>Houston Community College System v. Wilson</w:t>
      </w:r>
      <w:r w:rsidRPr="00137962">
        <w:rPr>
          <w:rFonts w:ascii="TimesNewRomanPSMT" w:hAnsi="TimesNewRomanPSMT" w:cs="TimesNewRomanPSMT"/>
          <w:szCs w:val="24"/>
        </w:rPr>
        <w:t xml:space="preserve">, 142 S. Ct. 1253, 1261-62 (2022); </w:t>
      </w:r>
      <w:r w:rsidRPr="00137962">
        <w:rPr>
          <w:rFonts w:ascii="TimesNewRomanPS-ItalicMT" w:hAnsi="TimesNewRomanPS-ItalicMT" w:cs="TimesNewRomanPS-ItalicMT"/>
          <w:i/>
          <w:iCs/>
          <w:szCs w:val="24"/>
        </w:rPr>
        <w:t>Blair</w:t>
      </w:r>
      <w:r w:rsidRPr="00137962">
        <w:rPr>
          <w:rFonts w:ascii="TimesNewRomanPSMT" w:hAnsi="TimesNewRomanPSMT" w:cs="TimesNewRomanPSMT"/>
          <w:szCs w:val="24"/>
        </w:rPr>
        <w:t>, 608 F.3d at 544 &amp; n.4).</w:t>
      </w:r>
    </w:p>
    <w:p w14:paraId="2E5849A2" w14:textId="77777777" w:rsidR="00137962" w:rsidRPr="00137962" w:rsidRDefault="00137962" w:rsidP="00137962">
      <w:pPr>
        <w:autoSpaceDE w:val="0"/>
        <w:autoSpaceDN w:val="0"/>
        <w:adjustRightInd w:val="0"/>
        <w:ind w:firstLine="720"/>
        <w:rPr>
          <w:rFonts w:cs="Times New Roman"/>
          <w:szCs w:val="24"/>
        </w:rPr>
      </w:pPr>
    </w:p>
    <w:p w14:paraId="1DE788F5" w14:textId="77777777" w:rsidR="00507387" w:rsidRPr="00CC36E9" w:rsidRDefault="00507387" w:rsidP="00507387">
      <w:pPr>
        <w:autoSpaceDE w:val="0"/>
        <w:autoSpaceDN w:val="0"/>
        <w:adjustRightInd w:val="0"/>
        <w:ind w:firstLine="720"/>
        <w:rPr>
          <w:rFonts w:ascii="TimesNewRomanPSMT" w:hAnsi="TimesNewRomanPSMT" w:cs="TimesNewRomanPSMT"/>
          <w:szCs w:val="24"/>
        </w:rPr>
      </w:pPr>
      <w:r w:rsidRPr="00CC36E9">
        <w:rPr>
          <w:rFonts w:ascii="TimesNewRomanPSMT" w:hAnsi="TimesNewRomanPSMT" w:cs="TimesNewRomanPSMT"/>
          <w:szCs w:val="24"/>
        </w:rPr>
        <w:t xml:space="preserve">If the plaintiff establishes a prima facie case of retaliation, “the burden shifts to the defendant official to demonstrate that even without the impetus to retaliate he would have taken the action complained of.”  </w:t>
      </w:r>
      <w:r w:rsidRPr="00CC36E9">
        <w:rPr>
          <w:rFonts w:ascii="TimesNewRomanPSMT" w:hAnsi="TimesNewRomanPSMT" w:cs="TimesNewRomanPSMT"/>
          <w:i/>
          <w:iCs/>
          <w:szCs w:val="24"/>
        </w:rPr>
        <w:t>Hartman v. Moore</w:t>
      </w:r>
      <w:r w:rsidRPr="00CC36E9">
        <w:rPr>
          <w:rFonts w:ascii="TimesNewRomanPSMT" w:hAnsi="TimesNewRomanPSMT" w:cs="TimesNewRomanPSMT"/>
          <w:szCs w:val="24"/>
        </w:rPr>
        <w:t xml:space="preserve">, 547 U.S. 250, 260 (2006).  In conducting this burden-shifting analysis, courts apply the “but-for” causation standard, under which causation is “established whenever a particular outcome would not have happened but for the purported cause.”  </w:t>
      </w:r>
      <w:proofErr w:type="spellStart"/>
      <w:r w:rsidRPr="00CC36E9">
        <w:rPr>
          <w:rFonts w:ascii="TimesNewRomanPSMT" w:hAnsi="TimesNewRomanPSMT" w:cs="TimesNewRomanPSMT"/>
          <w:i/>
          <w:iCs/>
          <w:szCs w:val="24"/>
        </w:rPr>
        <w:t>Boquist</w:t>
      </w:r>
      <w:proofErr w:type="spellEnd"/>
      <w:r w:rsidRPr="00CC36E9">
        <w:rPr>
          <w:rFonts w:ascii="TimesNewRomanPSMT" w:hAnsi="TimesNewRomanPSMT" w:cs="TimesNewRomanPSMT"/>
          <w:szCs w:val="24"/>
        </w:rPr>
        <w:t xml:space="preserve">, 32 F.4th at 778 (internal quotations omitted).  “If there is a finding that retaliation was not the but-for cause of the [adverse action], the claim fails for lack of causal connection between unconstitutional motive and resulting harm, despite proof of some retaliatory animus in the official’s mind.”  </w:t>
      </w:r>
      <w:r w:rsidRPr="00CC36E9">
        <w:rPr>
          <w:rFonts w:ascii="TimesNewRomanPSMT" w:hAnsi="TimesNewRomanPSMT" w:cs="TimesNewRomanPSMT"/>
          <w:i/>
          <w:iCs/>
          <w:szCs w:val="24"/>
        </w:rPr>
        <w:t>Hartman</w:t>
      </w:r>
      <w:r w:rsidRPr="00CC36E9">
        <w:rPr>
          <w:rFonts w:ascii="TimesNewRomanPSMT" w:hAnsi="TimesNewRomanPSMT" w:cs="TimesNewRomanPSMT"/>
          <w:szCs w:val="24"/>
        </w:rPr>
        <w:t xml:space="preserve">, 547 U.S. at 260.  “Conversely, if the government officials would have taken the same adverse action even in the absence of their animus or retaliatory motive arising from the plaintiff's speech, then the officials' animus was not a </w:t>
      </w:r>
      <w:proofErr w:type="spellStart"/>
      <w:r w:rsidRPr="00CC36E9">
        <w:rPr>
          <w:rFonts w:ascii="TimesNewRomanPSMT" w:hAnsi="TimesNewRomanPSMT" w:cs="TimesNewRomanPSMT"/>
          <w:szCs w:val="24"/>
        </w:rPr>
        <w:t>but</w:t>
      </w:r>
      <w:proofErr w:type="spellEnd"/>
      <w:r w:rsidRPr="00CC36E9">
        <w:rPr>
          <w:rFonts w:ascii="TimesNewRomanPSMT" w:hAnsi="TimesNewRomanPSMT" w:cs="TimesNewRomanPSMT"/>
          <w:szCs w:val="24"/>
        </w:rPr>
        <w:t xml:space="preserve">-for cause of the adverse action, and there was no violation of the plaintiff’s constitutional rights.” </w:t>
      </w:r>
      <w:proofErr w:type="spellStart"/>
      <w:r w:rsidRPr="00CC36E9">
        <w:rPr>
          <w:rFonts w:ascii="TimesNewRomanPSMT" w:hAnsi="TimesNewRomanPSMT" w:cs="TimesNewRomanPSMT"/>
          <w:i/>
          <w:iCs/>
          <w:szCs w:val="24"/>
        </w:rPr>
        <w:t>Boquist</w:t>
      </w:r>
      <w:proofErr w:type="spellEnd"/>
      <w:r w:rsidRPr="00CC36E9">
        <w:rPr>
          <w:rFonts w:ascii="TimesNewRomanPSMT" w:hAnsi="TimesNewRomanPSMT" w:cs="TimesNewRomanPSMT"/>
          <w:szCs w:val="24"/>
        </w:rPr>
        <w:t xml:space="preserve">, 32 F.4th at 778.  If state officials can show that they had “an objectively legitimate need to implement security measures in response to information conveyed by the plaintiff’s speech, and would have implemented the same security measures in the absence of any retaliatory motive . . . any unconstitutional motivation would not be a </w:t>
      </w:r>
      <w:proofErr w:type="spellStart"/>
      <w:r w:rsidRPr="00CC36E9">
        <w:rPr>
          <w:rFonts w:ascii="TimesNewRomanPSMT" w:hAnsi="TimesNewRomanPSMT" w:cs="TimesNewRomanPSMT"/>
          <w:szCs w:val="24"/>
        </w:rPr>
        <w:t>but</w:t>
      </w:r>
      <w:proofErr w:type="spellEnd"/>
      <w:r w:rsidRPr="00CC36E9">
        <w:rPr>
          <w:rFonts w:ascii="TimesNewRomanPSMT" w:hAnsi="TimesNewRomanPSMT" w:cs="TimesNewRomanPSMT"/>
          <w:szCs w:val="24"/>
        </w:rPr>
        <w:t xml:space="preserve">-for cause of the officials’ action.”  </w:t>
      </w:r>
      <w:r w:rsidRPr="00CC36E9">
        <w:rPr>
          <w:rFonts w:ascii="TimesNewRomanPSMT" w:hAnsi="TimesNewRomanPSMT" w:cs="TimesNewRomanPSMT"/>
          <w:i/>
          <w:iCs/>
          <w:szCs w:val="24"/>
        </w:rPr>
        <w:t>Id.</w:t>
      </w:r>
    </w:p>
    <w:p w14:paraId="017DB5C8" w14:textId="77777777" w:rsidR="00137962" w:rsidRPr="00137962" w:rsidRDefault="00137962" w:rsidP="00137962">
      <w:pPr>
        <w:autoSpaceDE w:val="0"/>
        <w:autoSpaceDN w:val="0"/>
        <w:adjustRightInd w:val="0"/>
        <w:rPr>
          <w:rFonts w:cs="Times New Roman"/>
          <w:szCs w:val="24"/>
        </w:rPr>
      </w:pPr>
    </w:p>
    <w:p w14:paraId="4EB35EAC" w14:textId="77777777" w:rsidR="00137962" w:rsidRPr="00137962" w:rsidRDefault="00137962" w:rsidP="00137962">
      <w:pPr>
        <w:autoSpaceDE w:val="0"/>
        <w:autoSpaceDN w:val="0"/>
        <w:adjustRightInd w:val="0"/>
        <w:rPr>
          <w:rFonts w:cs="Times New Roman"/>
          <w:szCs w:val="24"/>
        </w:rPr>
      </w:pPr>
    </w:p>
    <w:p w14:paraId="5243BBFC" w14:textId="2474DCB3"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 xml:space="preserve">Revised </w:t>
      </w:r>
      <w:r w:rsidR="00507387">
        <w:rPr>
          <w:rFonts w:cs="Times New Roman"/>
          <w:i/>
          <w:iCs/>
          <w:szCs w:val="24"/>
        </w:rPr>
        <w:t>Sept.</w:t>
      </w:r>
      <w:r w:rsidRPr="00137962">
        <w:rPr>
          <w:rFonts w:cs="Times New Roman"/>
          <w:i/>
          <w:iCs/>
          <w:szCs w:val="24"/>
        </w:rPr>
        <w:t xml:space="preserve"> 2022</w:t>
      </w:r>
    </w:p>
    <w:p w14:paraId="0B8F8D24" w14:textId="77777777" w:rsidR="00137962" w:rsidRPr="00137962" w:rsidRDefault="00137962" w:rsidP="00137962">
      <w:pPr>
        <w:spacing w:after="160" w:line="259" w:lineRule="auto"/>
        <w:rPr>
          <w:rFonts w:asciiTheme="minorHAnsi" w:hAnsiTheme="minorHAnsi"/>
          <w:sz w:val="22"/>
        </w:rPr>
      </w:pPr>
    </w:p>
    <w:p w14:paraId="39A50F7B" w14:textId="1D264259" w:rsidR="00305894" w:rsidRPr="00771CA2" w:rsidRDefault="00305894" w:rsidP="00137962">
      <w:pPr>
        <w:autoSpaceDE w:val="0"/>
        <w:autoSpaceDN w:val="0"/>
        <w:adjustRightInd w:val="0"/>
        <w:rPr>
          <w:rFonts w:cs="Times New Roman"/>
          <w:szCs w:val="24"/>
        </w:rPr>
      </w:pPr>
    </w:p>
    <w:p w14:paraId="74FAAAD7" w14:textId="0C4FBB01" w:rsidR="006A4CD7" w:rsidRPr="006A4CD7" w:rsidRDefault="006A4CD7" w:rsidP="00305894">
      <w:pPr>
        <w:autoSpaceDE w:val="0"/>
        <w:autoSpaceDN w:val="0"/>
        <w:adjustRightInd w:val="0"/>
        <w:rPr>
          <w:rFonts w:cs="Times New Roman"/>
          <w:szCs w:val="24"/>
        </w:rPr>
      </w:pPr>
    </w:p>
    <w:p w14:paraId="4F78ED1F" w14:textId="77777777" w:rsidR="006A4CD7" w:rsidRPr="006A4CD7" w:rsidRDefault="006A4CD7" w:rsidP="0060759C">
      <w:pPr>
        <w:autoSpaceDE w:val="0"/>
        <w:autoSpaceDN w:val="0"/>
        <w:adjustRightInd w:val="0"/>
        <w:rPr>
          <w:rFonts w:cs="Times New Roman"/>
          <w:szCs w:val="24"/>
        </w:rPr>
      </w:pPr>
    </w:p>
    <w:p w14:paraId="6D2D9134" w14:textId="5DD1826A" w:rsidR="006A4CD7" w:rsidRPr="006A4CD7" w:rsidRDefault="006A4CD7" w:rsidP="00352D49">
      <w:pPr>
        <w:pStyle w:val="Heading2"/>
      </w:pPr>
      <w:r w:rsidRPr="006A4CD7">
        <w:br w:type="page"/>
      </w:r>
      <w:bookmarkStart w:id="133" w:name="_Toc117512427"/>
      <w:r w:rsidRPr="006A4CD7">
        <w:lastRenderedPageBreak/>
        <w:t>9.12 P</w:t>
      </w:r>
      <w:r w:rsidR="007847B8">
        <w:t>articular</w:t>
      </w:r>
      <w:r w:rsidRPr="006A4CD7">
        <w:t xml:space="preserve"> R</w:t>
      </w:r>
      <w:r w:rsidR="007847B8">
        <w:t>ights</w:t>
      </w:r>
      <w:r w:rsidRPr="006A4CD7">
        <w:t>—F</w:t>
      </w:r>
      <w:r w:rsidR="007847B8">
        <w:t>ourth</w:t>
      </w:r>
      <w:r w:rsidRPr="006A4CD7">
        <w:t xml:space="preserve"> A</w:t>
      </w:r>
      <w:r w:rsidR="007847B8">
        <w:t>mendment</w:t>
      </w:r>
      <w:r w:rsidRPr="006A4CD7">
        <w:t>—U</w:t>
      </w:r>
      <w:r w:rsidR="007847B8">
        <w:t>nreasonable</w:t>
      </w:r>
      <w:r w:rsidRPr="006A4CD7">
        <w:t xml:space="preserve"> S</w:t>
      </w:r>
      <w:r w:rsidR="007847B8">
        <w:t>earch</w:t>
      </w:r>
      <w:r w:rsidRPr="006A4CD7">
        <w:t>—G</w:t>
      </w:r>
      <w:r w:rsidR="007847B8">
        <w:t>enerally</w:t>
      </w:r>
      <w:bookmarkEnd w:id="133"/>
    </w:p>
    <w:p w14:paraId="08287B05" w14:textId="77777777" w:rsidR="006A4CD7" w:rsidRPr="006A4CD7" w:rsidRDefault="006A4CD7" w:rsidP="0060759C">
      <w:pPr>
        <w:autoSpaceDE w:val="0"/>
        <w:autoSpaceDN w:val="0"/>
        <w:adjustRightInd w:val="0"/>
        <w:rPr>
          <w:rFonts w:cs="Times New Roman"/>
          <w:szCs w:val="24"/>
        </w:rPr>
      </w:pPr>
    </w:p>
    <w:p w14:paraId="222C6B4A" w14:textId="77777777" w:rsidR="001B08B2" w:rsidRPr="000C4B21" w:rsidRDefault="006A4CD7" w:rsidP="001B08B2">
      <w:pPr>
        <w:pStyle w:val="BodyText"/>
        <w:spacing w:line="247" w:lineRule="auto"/>
        <w:ind w:left="100" w:right="129" w:firstLine="720"/>
      </w:pPr>
      <w:r w:rsidRPr="006A4CD7">
        <w:tab/>
      </w:r>
      <w:r w:rsidR="001B08B2" w:rsidRPr="000C4B21">
        <w:t>As previously explained, the plaintiff has the burden of proving that the act[s] of the defendant[s] [</w:t>
      </w:r>
      <w:r w:rsidR="001B08B2" w:rsidRPr="000C4B21">
        <w:rPr>
          <w:i/>
          <w:u w:val="single"/>
        </w:rPr>
        <w:t>name[s]</w:t>
      </w:r>
      <w:r w:rsidR="001B08B2" w:rsidRPr="000C4B21">
        <w:t>] deprived the plaintiff of particular rights under the United States Constitution. In this case, the plaintiff alleges the defendant[s] deprived [him] [her] of [his] [her] rights under the Fourth Amendment to the Constitution when [</w:t>
      </w:r>
      <w:r w:rsidR="001B08B2" w:rsidRPr="000C4B21">
        <w:rPr>
          <w:i/>
          <w:u w:val="single"/>
        </w:rPr>
        <w:t>insert factual basis of the</w:t>
      </w:r>
      <w:r w:rsidR="001B08B2" w:rsidRPr="000C4B21">
        <w:rPr>
          <w:i/>
        </w:rPr>
        <w:t xml:space="preserve"> </w:t>
      </w:r>
      <w:r w:rsidR="001B08B2" w:rsidRPr="000C4B21">
        <w:rPr>
          <w:i/>
          <w:u w:val="single"/>
        </w:rPr>
        <w:t>plaintiff’s claim</w:t>
      </w:r>
      <w:r w:rsidR="001B08B2" w:rsidRPr="000C4B21">
        <w:t>].</w:t>
      </w:r>
    </w:p>
    <w:p w14:paraId="1D1CB20D" w14:textId="77777777" w:rsidR="001B08B2" w:rsidRPr="000C4B21" w:rsidRDefault="001B08B2" w:rsidP="001B08B2">
      <w:pPr>
        <w:pStyle w:val="BodyText"/>
        <w:spacing w:before="2"/>
      </w:pPr>
    </w:p>
    <w:p w14:paraId="70E77117" w14:textId="77777777" w:rsidR="001B08B2" w:rsidRPr="000C4B21" w:rsidRDefault="001B08B2" w:rsidP="001B08B2">
      <w:pPr>
        <w:pStyle w:val="BodyText"/>
        <w:spacing w:line="247" w:lineRule="auto"/>
        <w:ind w:left="100" w:right="129" w:firstLine="720"/>
      </w:pPr>
      <w:r w:rsidRPr="000C4B21">
        <w:t>Under the Fourth Amendment, a person has the right to be free from an unreasonable search of [his] [her] [person] [residence] [vehicle] [</w:t>
      </w:r>
      <w:r w:rsidRPr="000C4B21">
        <w:rPr>
          <w:i/>
          <w:u w:val="single"/>
        </w:rPr>
        <w:t>other object of search</w:t>
      </w:r>
      <w:r w:rsidRPr="000C4B21">
        <w:t>]. To prove the defendant[s] deprived the plaintiff of this Fourth Amendment right, the plaintiff must prove the following additional elements by a preponderance of the evidence:</w:t>
      </w:r>
    </w:p>
    <w:p w14:paraId="79EA6D6C" w14:textId="77777777" w:rsidR="001B08B2" w:rsidRPr="000C4B21" w:rsidRDefault="001B08B2" w:rsidP="001B08B2">
      <w:pPr>
        <w:pStyle w:val="BodyText"/>
        <w:spacing w:before="1"/>
      </w:pPr>
    </w:p>
    <w:p w14:paraId="3174C1FE"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r w:rsidRPr="000C4B21">
        <w:rPr>
          <w:i/>
          <w:szCs w:val="24"/>
          <w:u w:val="single"/>
        </w:rPr>
        <w:t>other object of</w:t>
      </w:r>
      <w:r w:rsidRPr="000C4B21">
        <w:rPr>
          <w:i/>
          <w:spacing w:val="-2"/>
          <w:szCs w:val="24"/>
          <w:u w:val="single"/>
        </w:rPr>
        <w:t xml:space="preserve"> </w:t>
      </w:r>
      <w:r w:rsidRPr="000C4B21">
        <w:rPr>
          <w:i/>
          <w:szCs w:val="24"/>
          <w:u w:val="single"/>
        </w:rPr>
        <w:t>search</w:t>
      </w:r>
      <w:r w:rsidRPr="000C4B21">
        <w:rPr>
          <w:szCs w:val="24"/>
        </w:rPr>
        <w:t>];</w:t>
      </w:r>
    </w:p>
    <w:p w14:paraId="67430D8E" w14:textId="77777777" w:rsidR="001B08B2" w:rsidRPr="000C4B21" w:rsidRDefault="001B08B2" w:rsidP="001B08B2">
      <w:pPr>
        <w:pStyle w:val="BodyText"/>
        <w:spacing w:before="3"/>
      </w:pPr>
    </w:p>
    <w:p w14:paraId="126BEA17"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51001E3D" w14:textId="77777777" w:rsidR="001B08B2" w:rsidRPr="000C4B21" w:rsidRDefault="001B08B2" w:rsidP="001B08B2">
      <w:pPr>
        <w:pStyle w:val="BodyText"/>
        <w:spacing w:before="3"/>
      </w:pPr>
    </w:p>
    <w:p w14:paraId="0C94F89C" w14:textId="77777777" w:rsidR="001B08B2" w:rsidRPr="000C4B21" w:rsidRDefault="001B08B2" w:rsidP="001B08B2">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4A12221B" w14:textId="77777777" w:rsidR="001B08B2" w:rsidRPr="000C4B21" w:rsidRDefault="001B08B2" w:rsidP="001B08B2">
      <w:pPr>
        <w:pStyle w:val="BodyText"/>
        <w:spacing w:before="3"/>
      </w:pPr>
    </w:p>
    <w:p w14:paraId="34B350CF" w14:textId="77777777" w:rsidR="001B08B2" w:rsidRPr="000C4B21" w:rsidRDefault="001B08B2" w:rsidP="001B08B2">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r w:rsidRPr="000C4B21">
        <w:rPr>
          <w:i/>
          <w:u w:val="single"/>
        </w:rPr>
        <w:t>other object of search</w:t>
      </w:r>
      <w:r w:rsidRPr="000C4B21">
        <w:t>]. It is not enough if the plaintiff only proves the defendant acted negligently, accidentally or inadvertently in conducting the search. However, the plaintiff does not need to prove the defendant intended to violate the plaintiff’s Fourth Amendment rights.]</w:t>
      </w:r>
    </w:p>
    <w:p w14:paraId="5E2FD75C" w14:textId="77777777" w:rsidR="001B08B2" w:rsidRPr="000C4B21" w:rsidRDefault="001B08B2" w:rsidP="001B08B2">
      <w:pPr>
        <w:pStyle w:val="BodyText"/>
        <w:spacing w:before="1"/>
      </w:pPr>
    </w:p>
    <w:p w14:paraId="6C65CD2B" w14:textId="77777777" w:rsidR="001B08B2" w:rsidRPr="000C4B21" w:rsidRDefault="001B08B2" w:rsidP="001B08B2">
      <w:pPr>
        <w:pStyle w:val="BodyText"/>
        <w:spacing w:line="247" w:lineRule="auto"/>
        <w:ind w:left="100" w:right="129" w:firstLine="720"/>
      </w:pPr>
      <w:r w:rsidRPr="000C4B21">
        <w:t>[In determining whether the search was unreasonable, consider all of the circumstances, including:</w:t>
      </w:r>
    </w:p>
    <w:p w14:paraId="187CE847" w14:textId="77777777" w:rsidR="001B08B2" w:rsidRPr="000C4B21" w:rsidRDefault="001B08B2" w:rsidP="001B08B2">
      <w:pPr>
        <w:pStyle w:val="BodyText"/>
        <w:spacing w:before="5"/>
      </w:pPr>
    </w:p>
    <w:p w14:paraId="0AE7B6CD" w14:textId="77777777" w:rsidR="001B08B2" w:rsidRPr="000C4B21" w:rsidRDefault="001B08B2" w:rsidP="001B08B2">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the scope of the particular intrusion;</w:t>
      </w:r>
    </w:p>
    <w:p w14:paraId="765C8320"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manner in which it was conducted;</w:t>
      </w:r>
    </w:p>
    <w:p w14:paraId="561F6CB8"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0E9A9FB2"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5CED22C4" w14:textId="77777777" w:rsidR="001B08B2" w:rsidRPr="000C4B21" w:rsidRDefault="001B08B2" w:rsidP="001B08B2">
      <w:pPr>
        <w:pStyle w:val="BodyText"/>
        <w:spacing w:before="7"/>
      </w:pPr>
    </w:p>
    <w:p w14:paraId="105B8E66" w14:textId="77777777" w:rsidR="001B08B2" w:rsidRPr="009876AE" w:rsidRDefault="001B08B2" w:rsidP="009876AE">
      <w:pPr>
        <w:jc w:val="center"/>
        <w:rPr>
          <w:b/>
          <w:bCs/>
        </w:rPr>
      </w:pPr>
      <w:r w:rsidRPr="009876AE">
        <w:rPr>
          <w:b/>
          <w:bCs/>
        </w:rPr>
        <w:t>Comment</w:t>
      </w:r>
    </w:p>
    <w:p w14:paraId="2372A6B0" w14:textId="77777777" w:rsidR="001B08B2" w:rsidRPr="000C4B21" w:rsidRDefault="001B08B2" w:rsidP="001B08B2">
      <w:pPr>
        <w:pStyle w:val="BodyText"/>
        <w:spacing w:before="9"/>
        <w:rPr>
          <w:b/>
        </w:rPr>
      </w:pPr>
    </w:p>
    <w:p w14:paraId="00717A4B" w14:textId="77777777" w:rsidR="001B08B2" w:rsidRPr="000C4B21" w:rsidRDefault="001B08B2" w:rsidP="001B08B2">
      <w:pPr>
        <w:pStyle w:val="BodyText"/>
        <w:spacing w:line="247" w:lineRule="auto"/>
        <w:ind w:left="100" w:right="116" w:firstLine="720"/>
      </w:pPr>
      <w:r w:rsidRPr="000C4B21">
        <w:t xml:space="preserve">Use this instruction in conjunction with the applicable elements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principles for assessing the reasonableness of a search, derived from </w:t>
      </w:r>
      <w:r w:rsidRPr="000C4B21">
        <w:rPr>
          <w:i/>
        </w:rPr>
        <w:t>Bell v. Wolfish</w:t>
      </w:r>
      <w:r w:rsidRPr="000C4B21">
        <w:t xml:space="preserve">, 441 U.S. </w:t>
      </w:r>
      <w:r w:rsidRPr="000C4B21">
        <w:lastRenderedPageBreak/>
        <w:t xml:space="preserve">520, 559 (1979). </w:t>
      </w:r>
      <w:r w:rsidRPr="000C4B21">
        <w:rPr>
          <w:i/>
        </w:rPr>
        <w:t xml:space="preserve">See also Byrd v. Maricopa </w:t>
      </w:r>
      <w:proofErr w:type="spellStart"/>
      <w:r w:rsidRPr="000C4B21">
        <w:rPr>
          <w:i/>
        </w:rPr>
        <w:t>Cnty</w:t>
      </w:r>
      <w:proofErr w:type="spellEnd"/>
      <w:r w:rsidRPr="000C4B21">
        <w:rPr>
          <w:i/>
        </w:rPr>
        <w:t xml:space="preserve">. Sherriff’s </w:t>
      </w:r>
      <w:proofErr w:type="spellStart"/>
      <w:r w:rsidRPr="000C4B21">
        <w:rPr>
          <w:i/>
        </w:rPr>
        <w:t>Dep’t</w:t>
      </w:r>
      <w:proofErr w:type="spellEnd"/>
      <w:r w:rsidRPr="000C4B21">
        <w:t>, 629 F.3d 1135, 1141 (9th Cir. 2011) (</w:t>
      </w:r>
      <w:proofErr w:type="spellStart"/>
      <w:r w:rsidRPr="000C4B21">
        <w:t>en</w:t>
      </w:r>
      <w:proofErr w:type="spellEnd"/>
      <w:r w:rsidRPr="000C4B21">
        <w:t xml:space="preserve"> banc).</w:t>
      </w:r>
    </w:p>
    <w:p w14:paraId="1C6D463F" w14:textId="77777777" w:rsidR="001B08B2" w:rsidRPr="000C4B21" w:rsidRDefault="001B08B2" w:rsidP="001B08B2">
      <w:pPr>
        <w:pStyle w:val="BodyText"/>
        <w:spacing w:before="5"/>
      </w:pPr>
    </w:p>
    <w:p w14:paraId="272C9ECE" w14:textId="77777777" w:rsidR="001B08B2" w:rsidRPr="000C4B21" w:rsidRDefault="001B08B2" w:rsidP="001B08B2">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5D5017D" w14:textId="77777777" w:rsidR="001B08B2" w:rsidRPr="000C4B21" w:rsidRDefault="001B08B2" w:rsidP="001B08B2">
      <w:pPr>
        <w:pStyle w:val="BodyText"/>
        <w:spacing w:before="8"/>
      </w:pPr>
    </w:p>
    <w:p w14:paraId="07A706E5" w14:textId="77777777" w:rsidR="001B08B2" w:rsidRPr="000C4B21" w:rsidRDefault="001B08B2" w:rsidP="001B08B2">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 xml:space="preserve">Florida v. </w:t>
      </w:r>
      <w:proofErr w:type="spellStart"/>
      <w:r w:rsidRPr="000C4B21">
        <w:rPr>
          <w:i/>
        </w:rPr>
        <w:t>Jardines</w:t>
      </w:r>
      <w:proofErr w:type="spellEnd"/>
      <w:r w:rsidRPr="000C4B21">
        <w:t>, 133 S. Ct. 1409, 1414-18 (2013).</w:t>
      </w:r>
    </w:p>
    <w:p w14:paraId="2DC03F68" w14:textId="77777777" w:rsidR="001B08B2" w:rsidRPr="000C4B21" w:rsidRDefault="001B08B2" w:rsidP="001B08B2">
      <w:pPr>
        <w:pStyle w:val="BodyText"/>
        <w:spacing w:before="3"/>
      </w:pPr>
    </w:p>
    <w:p w14:paraId="434D45CF" w14:textId="77777777" w:rsidR="001B08B2" w:rsidRPr="000C4B21" w:rsidRDefault="001B08B2" w:rsidP="001B08B2">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xml:space="preserve">, 135 S. Ct. 1368 (2015) (per </w:t>
      </w:r>
      <w:proofErr w:type="spellStart"/>
      <w:r w:rsidRPr="000C4B21">
        <w:t>curiam</w:t>
      </w:r>
      <w:proofErr w:type="spellEnd"/>
      <w:r w:rsidRPr="000C4B21">
        <w:t>) (holding that state conducts search subject to Fourth Amendment when it attaches tracking device to recidivist sex offender’s person without consent after civil proceedings).</w:t>
      </w:r>
    </w:p>
    <w:p w14:paraId="067BE58D" w14:textId="77777777" w:rsidR="001B08B2" w:rsidRPr="000C4B21" w:rsidRDefault="001B08B2" w:rsidP="001B08B2">
      <w:pPr>
        <w:pStyle w:val="BodyText"/>
        <w:spacing w:before="3"/>
      </w:pPr>
    </w:p>
    <w:p w14:paraId="5A221369" w14:textId="77777777" w:rsidR="001B08B2" w:rsidRDefault="001B08B2" w:rsidP="001B08B2">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proofErr w:type="spellStart"/>
      <w:r w:rsidRPr="000C4B21">
        <w:rPr>
          <w:rFonts w:cs="Times New Roman"/>
          <w:i/>
          <w:szCs w:val="24"/>
        </w:rPr>
        <w:t>Billington</w:t>
      </w:r>
      <w:proofErr w:type="spellEnd"/>
      <w:r w:rsidRPr="000C4B21">
        <w:rPr>
          <w:rFonts w:cs="Times New Roman"/>
          <w:i/>
          <w:szCs w:val="24"/>
        </w:rPr>
        <w:t xml:space="preserve">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xml:space="preserve">, 137 S. Ct. 1539 (2017). Specific intent to violate a person’s rights “is not a prerequisite to liability under § 1983.” </w:t>
      </w:r>
      <w:r w:rsidRPr="000C4B21">
        <w:rPr>
          <w:rFonts w:cs="Times New Roman"/>
          <w:i/>
          <w:szCs w:val="24"/>
        </w:rPr>
        <w:t>Caballero v. City of Concord</w:t>
      </w:r>
      <w:r w:rsidRPr="000C4B21">
        <w:rPr>
          <w:rFonts w:cs="Times New Roman"/>
          <w:szCs w:val="24"/>
        </w:rPr>
        <w:t>, 956 F.2d 204, 206 (9th Cir. 1992) (citations omitted).</w:t>
      </w:r>
    </w:p>
    <w:p w14:paraId="684F7E08" w14:textId="77777777" w:rsidR="001B08B2" w:rsidRPr="004758BE" w:rsidRDefault="001B08B2" w:rsidP="001B08B2">
      <w:pPr>
        <w:spacing w:line="247" w:lineRule="auto"/>
        <w:ind w:left="101" w:right="187" w:firstLine="720"/>
        <w:rPr>
          <w:rFonts w:cs="Times New Roman"/>
          <w:szCs w:val="24"/>
        </w:rPr>
      </w:pPr>
    </w:p>
    <w:p w14:paraId="4CA2DF68" w14:textId="77777777" w:rsidR="001B08B2" w:rsidRPr="000C4B21" w:rsidRDefault="001B08B2" w:rsidP="001B08B2">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1F618534" w14:textId="77777777" w:rsidR="001B08B2" w:rsidRPr="000C4B21" w:rsidRDefault="001B08B2" w:rsidP="001B08B2">
      <w:pPr>
        <w:pStyle w:val="BodyText"/>
        <w:spacing w:before="9"/>
      </w:pPr>
    </w:p>
    <w:p w14:paraId="7B3FEF5C" w14:textId="77777777" w:rsidR="001B08B2" w:rsidRDefault="001B08B2" w:rsidP="001B08B2">
      <w:pPr>
        <w:pStyle w:val="BodyText"/>
        <w:spacing w:line="247" w:lineRule="auto"/>
        <w:ind w:left="100" w:right="394" w:firstLine="720"/>
      </w:pPr>
      <w:r w:rsidRPr="000C4B21">
        <w:t xml:space="preserve">“Determining the reasonableness of any search involves a two-fold inquiry: first, </w:t>
      </w:r>
      <w:r w:rsidRPr="000C4B21">
        <w:lastRenderedPageBreak/>
        <w:t>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ECE8399" w14:textId="77777777" w:rsidR="001B08B2" w:rsidRDefault="001B08B2" w:rsidP="001B08B2">
      <w:pPr>
        <w:pStyle w:val="BodyText"/>
        <w:spacing w:line="247" w:lineRule="auto"/>
        <w:ind w:left="100" w:right="394" w:firstLine="720"/>
      </w:pPr>
    </w:p>
    <w:p w14:paraId="339B6311" w14:textId="77777777" w:rsidR="001B08B2" w:rsidRPr="002D2EE6" w:rsidRDefault="001B08B2" w:rsidP="001B08B2">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345EE3" w14:textId="77777777" w:rsidR="001B08B2" w:rsidRPr="002D2EE6" w:rsidRDefault="001B08B2" w:rsidP="001B08B2"/>
    <w:p w14:paraId="10121015" w14:textId="77777777" w:rsidR="009C6923" w:rsidRDefault="009C6923" w:rsidP="001B08B2">
      <w:pPr>
        <w:jc w:val="right"/>
        <w:rPr>
          <w:rFonts w:cs="Times New Roman"/>
          <w:i/>
          <w:iCs/>
          <w:szCs w:val="24"/>
        </w:rPr>
      </w:pPr>
    </w:p>
    <w:p w14:paraId="532910E4" w14:textId="0DCD17AD" w:rsidR="001B08B2" w:rsidRPr="002D2EE6" w:rsidRDefault="001B08B2" w:rsidP="001B08B2">
      <w:pPr>
        <w:jc w:val="right"/>
        <w:rPr>
          <w:rFonts w:cs="Times New Roman"/>
          <w:i/>
          <w:iCs/>
          <w:szCs w:val="24"/>
        </w:rPr>
      </w:pPr>
      <w:r w:rsidRPr="002D2EE6">
        <w:rPr>
          <w:rFonts w:cs="Times New Roman"/>
          <w:i/>
          <w:iCs/>
          <w:szCs w:val="24"/>
        </w:rPr>
        <w:t>Revised Mar. 2021</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37AD36CF" w14:textId="40318818" w:rsidR="006A4CD7" w:rsidRDefault="006A4CD7" w:rsidP="00352D49">
      <w:pPr>
        <w:pStyle w:val="Heading2"/>
      </w:pPr>
      <w:bookmarkStart w:id="134" w:name="_Toc117512428"/>
      <w:r w:rsidRPr="006A4CD7">
        <w:lastRenderedPageBreak/>
        <w:t xml:space="preserve">9.13 </w:t>
      </w:r>
      <w:r w:rsidR="007847B8" w:rsidRPr="007847B8">
        <w:t>Particular Rights—Fourth Amendment—Unreasonable Search—Exception to Warrant Requirement—Search Incident to Arrest</w:t>
      </w:r>
      <w:bookmarkEnd w:id="134"/>
    </w:p>
    <w:p w14:paraId="49EB0687" w14:textId="77777777" w:rsidR="007847B8" w:rsidRPr="007847B8" w:rsidRDefault="007847B8" w:rsidP="007847B8"/>
    <w:p w14:paraId="0B1C74CD" w14:textId="30BF7A02"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is incident to a lawful arrest. </w:t>
      </w:r>
    </w:p>
    <w:p w14:paraId="5DB98887" w14:textId="77777777" w:rsidR="006A4CD7" w:rsidRPr="006A4CD7" w:rsidRDefault="006A4CD7" w:rsidP="0060759C">
      <w:pPr>
        <w:autoSpaceDE w:val="0"/>
        <w:autoSpaceDN w:val="0"/>
        <w:adjustRightInd w:val="0"/>
        <w:rPr>
          <w:rFonts w:cs="Times New Roman"/>
          <w:szCs w:val="24"/>
        </w:rPr>
      </w:pPr>
    </w:p>
    <w:p w14:paraId="31B79B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6BDF067D" w14:textId="77777777" w:rsidR="006A4CD7" w:rsidRPr="006A4CD7" w:rsidRDefault="006A4CD7" w:rsidP="0060759C">
      <w:pPr>
        <w:autoSpaceDE w:val="0"/>
        <w:autoSpaceDN w:val="0"/>
        <w:adjustRightInd w:val="0"/>
        <w:rPr>
          <w:rFonts w:cs="Times New Roman"/>
          <w:szCs w:val="24"/>
        </w:rPr>
      </w:pPr>
    </w:p>
    <w:p w14:paraId="6608DF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is “incident to” a lawful arrest if:</w:t>
      </w:r>
    </w:p>
    <w:p w14:paraId="7D6A4FA0" w14:textId="77777777" w:rsidR="006A4CD7" w:rsidRPr="006A4CD7" w:rsidRDefault="006A4CD7" w:rsidP="0060759C">
      <w:pPr>
        <w:autoSpaceDE w:val="0"/>
        <w:autoSpaceDN w:val="0"/>
        <w:adjustRightInd w:val="0"/>
        <w:rPr>
          <w:rFonts w:cs="Times New Roman"/>
          <w:szCs w:val="24"/>
        </w:rPr>
      </w:pPr>
    </w:p>
    <w:p w14:paraId="727DAD1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it occurs contemporaneously with the arrest, that is, at the same time or shortly after the arrest and without any intervening events separating the search from the arrest; and</w:t>
      </w:r>
    </w:p>
    <w:p w14:paraId="5A66A193" w14:textId="77777777" w:rsidR="006A4CD7" w:rsidRPr="006A4CD7" w:rsidRDefault="006A4CD7" w:rsidP="005E6F8C">
      <w:pPr>
        <w:autoSpaceDE w:val="0"/>
        <w:autoSpaceDN w:val="0"/>
        <w:adjustRightInd w:val="0"/>
        <w:ind w:left="1440" w:hanging="720"/>
        <w:rPr>
          <w:rFonts w:cs="Times New Roman"/>
          <w:szCs w:val="24"/>
        </w:rPr>
      </w:pPr>
    </w:p>
    <w:p w14:paraId="2E516A3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4652D82" w14:textId="77777777" w:rsidR="0060759C" w:rsidRDefault="0060759C" w:rsidP="0060759C">
      <w:pPr>
        <w:autoSpaceDE w:val="0"/>
        <w:autoSpaceDN w:val="0"/>
        <w:adjustRightInd w:val="0"/>
        <w:rPr>
          <w:rFonts w:cs="Times New Roman"/>
          <w:szCs w:val="24"/>
        </w:rPr>
      </w:pPr>
    </w:p>
    <w:p w14:paraId="388F80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7430A340" w14:textId="77777777" w:rsidR="006A4CD7" w:rsidRPr="006A4CD7" w:rsidRDefault="006A4CD7" w:rsidP="0060759C">
      <w:pPr>
        <w:autoSpaceDE w:val="0"/>
        <w:autoSpaceDN w:val="0"/>
        <w:adjustRightInd w:val="0"/>
        <w:rPr>
          <w:rFonts w:cs="Times New Roman"/>
          <w:szCs w:val="24"/>
        </w:rPr>
      </w:pPr>
    </w:p>
    <w:p w14:paraId="08F3CC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BF38D83" w14:textId="77777777" w:rsidR="006A4CD7" w:rsidRPr="006A4CD7" w:rsidRDefault="006A4CD7" w:rsidP="005E6F8C"/>
    <w:p w14:paraId="198894E3" w14:textId="77777777" w:rsid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elements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6A4CD7">
        <w:rPr>
          <w:rFonts w:cs="Times New Roman"/>
          <w:szCs w:val="24"/>
        </w:rPr>
        <w:tab/>
      </w:r>
    </w:p>
    <w:p w14:paraId="27C48815" w14:textId="77777777" w:rsidR="005E6F8C" w:rsidRPr="006A4CD7" w:rsidRDefault="005E6F8C" w:rsidP="005E6F8C"/>
    <w:p w14:paraId="39A54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 police officer may search incident to a lawful custodial arrest both the arrested person and the area within the person’s “immediate control,” </w:t>
      </w:r>
      <w:r w:rsidRPr="006A4CD7">
        <w:rPr>
          <w:rFonts w:cs="Times New Roman"/>
          <w:i/>
          <w:iCs/>
          <w:szCs w:val="24"/>
        </w:rPr>
        <w:t>i.e.</w:t>
      </w:r>
      <w:r w:rsidRPr="006A4CD7">
        <w:rPr>
          <w:rFonts w:cs="Times New Roman"/>
          <w:szCs w:val="24"/>
        </w:rPr>
        <w:t xml:space="preserve">, “the area from within which [the person] might gain possession of a weapon or destructible evidence.”  </w:t>
      </w:r>
      <w:r w:rsidRPr="006A4CD7">
        <w:rPr>
          <w:rFonts w:cs="Times New Roman"/>
          <w:i/>
          <w:iCs/>
          <w:szCs w:val="24"/>
        </w:rPr>
        <w:t>Chimel v. California</w:t>
      </w:r>
      <w:r w:rsidRPr="006A4CD7">
        <w:rPr>
          <w:rFonts w:cs="Times New Roman"/>
          <w:szCs w:val="24"/>
        </w:rPr>
        <w:t xml:space="preserve">, 395 U.S. 752, 763 (1969).  The search must be “spatially and temporally incident to the arrest,” and, to satisfy the temporal requirement, must be “roughly contemporaneous with the arrest.”  </w:t>
      </w:r>
      <w:r w:rsidRPr="006A4CD7">
        <w:rPr>
          <w:rFonts w:cs="Times New Roman"/>
          <w:i/>
          <w:iCs/>
          <w:szCs w:val="24"/>
        </w:rPr>
        <w:t xml:space="preserve">United States v. </w:t>
      </w:r>
      <w:proofErr w:type="spellStart"/>
      <w:r w:rsidRPr="006A4CD7">
        <w:rPr>
          <w:rFonts w:cs="Times New Roman"/>
          <w:i/>
          <w:iCs/>
          <w:szCs w:val="24"/>
        </w:rPr>
        <w:t>Camou</w:t>
      </w:r>
      <w:proofErr w:type="spellEnd"/>
      <w:r w:rsidRPr="006A4CD7">
        <w:rPr>
          <w:rFonts w:cs="Times New Roman"/>
          <w:szCs w:val="24"/>
        </w:rPr>
        <w:t xml:space="preserve">, 773 F.3d 932, 937 (9th Cir. 2014) (holding border patrol agent’s search of arrestee’s cell phone 80 minutes after arrest not roughly contemporaneous with arrest).  “The determination of the validity of a search incident to arrest in this circuit is a two-fold inquiry: (1) was the searched item ‘within the arrestee’s immediate control when he was arrested’; [and] (2) did ‘events </w:t>
      </w:r>
      <w:r w:rsidRPr="006A4CD7">
        <w:rPr>
          <w:rFonts w:cs="Times New Roman"/>
          <w:szCs w:val="24"/>
        </w:rPr>
        <w:lastRenderedPageBreak/>
        <w:t xml:space="preserve">occurring after the arrest but before the search ma[k]e the search unreasonable’?”  </w:t>
      </w:r>
      <w:r w:rsidRPr="006A4CD7">
        <w:rPr>
          <w:rFonts w:cs="Times New Roman"/>
          <w:i/>
          <w:iCs/>
          <w:szCs w:val="24"/>
        </w:rPr>
        <w:t>Id</w:t>
      </w:r>
      <w:r w:rsidRPr="006A4CD7">
        <w:rPr>
          <w:rFonts w:cs="Times New Roman"/>
          <w:szCs w:val="24"/>
        </w:rPr>
        <w:t xml:space="preserve">. at 938 (second alteration in original).  </w:t>
      </w:r>
    </w:p>
    <w:p w14:paraId="14F8CC63" w14:textId="77777777" w:rsidR="006A4CD7" w:rsidRPr="006A4CD7" w:rsidRDefault="006A4CD7" w:rsidP="0060759C">
      <w:pPr>
        <w:autoSpaceDE w:val="0"/>
        <w:autoSpaceDN w:val="0"/>
        <w:adjustRightInd w:val="0"/>
        <w:rPr>
          <w:rFonts w:cs="Times New Roman"/>
          <w:szCs w:val="24"/>
        </w:rPr>
      </w:pPr>
    </w:p>
    <w:p w14:paraId="27C5B028" w14:textId="07C034D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noted that “[m]ere temporal or spatial proximity of the search to the arrest does not justify a search; some threat or exigency must be present to justify the delay.” </w:t>
      </w:r>
      <w:r w:rsidRPr="006A4CD7">
        <w:rPr>
          <w:rFonts w:cs="Times New Roman"/>
          <w:i/>
          <w:iCs/>
          <w:szCs w:val="24"/>
        </w:rPr>
        <w:t>United States v. Maddox</w:t>
      </w:r>
      <w:r w:rsidRPr="006A4CD7">
        <w:rPr>
          <w:rFonts w:cs="Times New Roman"/>
          <w:szCs w:val="24"/>
        </w:rPr>
        <w:t xml:space="preserve">, 614 F.3d 1046, 1049 (9th Cir. 2010) (finding search of defendant’s key chain taken from his person incident to </w:t>
      </w:r>
      <w:r w:rsidR="009E6EA1" w:rsidRPr="006A4CD7">
        <w:rPr>
          <w:rFonts w:cs="Times New Roman"/>
          <w:szCs w:val="24"/>
        </w:rPr>
        <w:t>arrest but</w:t>
      </w:r>
      <w:r w:rsidRPr="006A4CD7">
        <w:rPr>
          <w:rFonts w:cs="Times New Roman"/>
          <w:szCs w:val="24"/>
        </w:rPr>
        <w:t xml:space="preserve"> tossed back into his vehicle after arrestee was secured in patrol car, invalid under search-incident-to-arrest exception). </w:t>
      </w:r>
    </w:p>
    <w:p w14:paraId="6603BF3A" w14:textId="77777777" w:rsidR="006A4CD7" w:rsidRPr="006A4CD7" w:rsidRDefault="006A4CD7" w:rsidP="0060759C">
      <w:pPr>
        <w:autoSpaceDE w:val="0"/>
        <w:autoSpaceDN w:val="0"/>
        <w:adjustRightInd w:val="0"/>
        <w:rPr>
          <w:rFonts w:cs="Times New Roman"/>
          <w:szCs w:val="24"/>
        </w:rPr>
      </w:pPr>
    </w:p>
    <w:p w14:paraId="38CC05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 City of Seattle</w:t>
      </w:r>
      <w:r w:rsidRPr="006A4CD7">
        <w:rPr>
          <w:rFonts w:cs="Times New Roman"/>
          <w:szCs w:val="24"/>
        </w:rPr>
        <w:t>, 409 F.3d 1113, 1153 (9th Cir. 2005) (holding probable cause to make arrest insufficient to trigger exception in absence of actual arrest).</w:t>
      </w:r>
    </w:p>
    <w:p w14:paraId="060D8BCE" w14:textId="77777777" w:rsidR="006A4CD7" w:rsidRPr="006A4CD7" w:rsidRDefault="006A4CD7" w:rsidP="0060759C">
      <w:pPr>
        <w:autoSpaceDE w:val="0"/>
        <w:autoSpaceDN w:val="0"/>
        <w:adjustRightInd w:val="0"/>
        <w:rPr>
          <w:rFonts w:cs="Times New Roman"/>
          <w:szCs w:val="24"/>
        </w:rPr>
      </w:pPr>
    </w:p>
    <w:p w14:paraId="50B92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6A4CD7">
        <w:rPr>
          <w:rFonts w:cs="Times New Roman"/>
          <w:i/>
          <w:iCs/>
          <w:szCs w:val="24"/>
        </w:rPr>
        <w:t>See</w:t>
      </w:r>
      <w:r w:rsidRPr="006A4CD7">
        <w:rPr>
          <w:rFonts w:cs="Times New Roman"/>
          <w:szCs w:val="24"/>
        </w:rPr>
        <w:t xml:space="preserve"> Instruction 9.23 (Particular Rights—Fourth Amendment—Unreasonable Seizure of</w:t>
      </w:r>
    </w:p>
    <w:p w14:paraId="69C27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Person—Probable Cause Arrest).</w:t>
      </w:r>
    </w:p>
    <w:p w14:paraId="64D8565E" w14:textId="77777777" w:rsidR="006A4CD7" w:rsidRPr="006A4CD7" w:rsidRDefault="006A4CD7" w:rsidP="0060759C">
      <w:pPr>
        <w:autoSpaceDE w:val="0"/>
        <w:autoSpaceDN w:val="0"/>
        <w:adjustRightInd w:val="0"/>
        <w:rPr>
          <w:rFonts w:cs="Times New Roman"/>
          <w:szCs w:val="24"/>
        </w:rPr>
      </w:pPr>
    </w:p>
    <w:p w14:paraId="5A763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United States v. Robinson</w:t>
      </w:r>
      <w:r w:rsidRPr="006A4CD7">
        <w:rPr>
          <w:rFonts w:cs="Times New Roman"/>
          <w:szCs w:val="24"/>
        </w:rPr>
        <w:t xml:space="preserve">, 414 U.S. 218, 235 (1973), the United States Supreme Court held that an officer may conduct “a full search of the person” incident to the person’s lawful custodial arrest.  In </w:t>
      </w:r>
      <w:r w:rsidRPr="006A4CD7">
        <w:rPr>
          <w:rFonts w:cs="Times New Roman"/>
          <w:i/>
          <w:iCs/>
          <w:szCs w:val="24"/>
        </w:rPr>
        <w:t>Fuller v. M.G. Jewelry</w:t>
      </w:r>
      <w:r w:rsidRPr="006A4CD7">
        <w:rPr>
          <w:rFonts w:cs="Times New Roman"/>
          <w:szCs w:val="24"/>
        </w:rPr>
        <w:t xml:space="preserve">, 950 F.2d 1437, 1446 (9th Cir. 1991), the Ninth Circuit held that the “full search authorized by </w:t>
      </w:r>
      <w:r w:rsidRPr="006A4CD7">
        <w:rPr>
          <w:rFonts w:cs="Times New Roman"/>
          <w:i/>
          <w:iCs/>
          <w:szCs w:val="24"/>
        </w:rPr>
        <w:t>Robinson</w:t>
      </w:r>
      <w:r w:rsidRPr="006A4CD7">
        <w:rPr>
          <w:rFonts w:cs="Times New Roman"/>
          <w:szCs w:val="24"/>
        </w:rPr>
        <w:t xml:space="preserve"> [is] limited to a pat-down and an</w:t>
      </w:r>
    </w:p>
    <w:p w14:paraId="041C8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examination of the arrestee’s pockets, and d[</w:t>
      </w:r>
      <w:proofErr w:type="spellStart"/>
      <w:r w:rsidRPr="006A4CD7">
        <w:rPr>
          <w:rFonts w:cs="Times New Roman"/>
          <w:szCs w:val="24"/>
        </w:rPr>
        <w:t>oes</w:t>
      </w:r>
      <w:proofErr w:type="spellEnd"/>
      <w:r w:rsidRPr="006A4CD7">
        <w:rPr>
          <w:rFonts w:cs="Times New Roman"/>
          <w:szCs w:val="24"/>
        </w:rPr>
        <w:t>] not extend to a strip search or bodily</w:t>
      </w:r>
    </w:p>
    <w:p w14:paraId="553D6C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intrusion.” </w:t>
      </w:r>
      <w:r w:rsidRPr="006A4CD7">
        <w:rPr>
          <w:rFonts w:cs="Times New Roman"/>
          <w:i/>
          <w:iCs/>
          <w:szCs w:val="24"/>
        </w:rPr>
        <w:t xml:space="preserve"> Id</w:t>
      </w:r>
      <w:r w:rsidRPr="006A4CD7">
        <w:rPr>
          <w:rFonts w:cs="Times New Roman"/>
          <w:szCs w:val="24"/>
        </w:rPr>
        <w:t xml:space="preserve">. at 1446 (quoting </w:t>
      </w:r>
      <w:r w:rsidRPr="006A4CD7">
        <w:rPr>
          <w:rFonts w:cs="Times New Roman"/>
          <w:i/>
          <w:iCs/>
          <w:szCs w:val="24"/>
        </w:rPr>
        <w:t>Giles v. Ackerman</w:t>
      </w:r>
      <w:r w:rsidRPr="006A4CD7">
        <w:rPr>
          <w:rFonts w:cs="Times New Roman"/>
          <w:szCs w:val="24"/>
        </w:rPr>
        <w:t>, 746 F.2d 614, 616 (9th Cir. 1984)) (internal</w:t>
      </w:r>
    </w:p>
    <w:p w14:paraId="30852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quotation marks omitted).</w:t>
      </w:r>
    </w:p>
    <w:p w14:paraId="7E523C0C" w14:textId="77777777" w:rsidR="006A4CD7" w:rsidRPr="006A4CD7" w:rsidRDefault="006A4CD7" w:rsidP="0060759C">
      <w:pPr>
        <w:autoSpaceDE w:val="0"/>
        <w:autoSpaceDN w:val="0"/>
        <w:adjustRightInd w:val="0"/>
        <w:rPr>
          <w:rFonts w:cs="Times New Roman"/>
          <w:szCs w:val="24"/>
        </w:rPr>
      </w:pPr>
    </w:p>
    <w:p w14:paraId="33D6A5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United States Supreme Court has held that officers may perform a warrantless breath</w:t>
      </w:r>
    </w:p>
    <w:p w14:paraId="4C9328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test as a search incident to arrest, but may not perform a warrantless blood test as a search</w:t>
      </w:r>
    </w:p>
    <w:p w14:paraId="4473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incident to arrest.  </w:t>
      </w:r>
      <w:r w:rsidRPr="006A4CD7">
        <w:rPr>
          <w:rFonts w:cs="Times New Roman"/>
          <w:i/>
          <w:iCs/>
          <w:szCs w:val="24"/>
        </w:rPr>
        <w:t>Birchfield v. North Dakota</w:t>
      </w:r>
      <w:r w:rsidRPr="006A4CD7">
        <w:rPr>
          <w:rFonts w:cs="Times New Roman"/>
          <w:szCs w:val="24"/>
        </w:rPr>
        <w:t>, 136 S. Ct. 2160, 2184 (2016). The</w:t>
      </w:r>
    </w:p>
    <w:p w14:paraId="0FC51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held that a breath test incident to arrest is categorically included within the</w:t>
      </w:r>
    </w:p>
    <w:p w14:paraId="17F148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search-incident-to-arrest exception. </w:t>
      </w:r>
      <w:r w:rsidRPr="006A4CD7">
        <w:rPr>
          <w:rFonts w:cs="Times New Roman"/>
          <w:i/>
          <w:iCs/>
          <w:szCs w:val="24"/>
        </w:rPr>
        <w:t xml:space="preserve"> Id.</w:t>
      </w:r>
      <w:r w:rsidRPr="006A4CD7">
        <w:rPr>
          <w:rFonts w:cs="Times New Roman"/>
          <w:szCs w:val="24"/>
        </w:rPr>
        <w:t xml:space="preserve"> at 2176, 2179-80, 2183.  In contrast, a warrantless</w:t>
      </w:r>
    </w:p>
    <w:p w14:paraId="1E8152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blood test is never authorized as a search incident to arrest, but may be permissible on a</w:t>
      </w:r>
    </w:p>
    <w:p w14:paraId="6235CE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case-by-case basis under the exigent circumstances exception to the warrant requirement.  </w:t>
      </w:r>
      <w:r w:rsidRPr="006A4CD7">
        <w:rPr>
          <w:rFonts w:cs="Times New Roman"/>
          <w:i/>
          <w:iCs/>
          <w:szCs w:val="24"/>
        </w:rPr>
        <w:t>Missouri v. McNeely</w:t>
      </w:r>
      <w:r w:rsidRPr="006A4CD7">
        <w:rPr>
          <w:rFonts w:cs="Times New Roman"/>
          <w:szCs w:val="24"/>
        </w:rPr>
        <w:t>, 133 S. Ct. 1552, 1563 (2013) (“Whether a warrantless blood test of a</w:t>
      </w:r>
    </w:p>
    <w:p w14:paraId="454123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drunk-driving suspect is reasonable must be determined case by case based on the totality of the</w:t>
      </w:r>
    </w:p>
    <w:p w14:paraId="6EF71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circumstances [under the exigent circumstances exception].”).</w:t>
      </w:r>
    </w:p>
    <w:p w14:paraId="1737B3E2" w14:textId="77777777" w:rsidR="006A4CD7" w:rsidRPr="006A4CD7" w:rsidRDefault="006A4CD7" w:rsidP="0060759C">
      <w:pPr>
        <w:autoSpaceDE w:val="0"/>
        <w:autoSpaceDN w:val="0"/>
        <w:adjustRightInd w:val="0"/>
        <w:rPr>
          <w:rFonts w:cs="Times New Roman"/>
          <w:szCs w:val="24"/>
        </w:rPr>
      </w:pPr>
    </w:p>
    <w:p w14:paraId="4EFC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Riley v. California</w:t>
      </w:r>
      <w:r w:rsidRPr="006A4CD7">
        <w:rPr>
          <w:rFonts w:cs="Times New Roman"/>
          <w:szCs w:val="24"/>
        </w:rPr>
        <w:t>, 134 S. Ct. 2473 (2014), the Court considered the search-incident-to-arrest exception as it pertained to cell phones.  The Court held that the phone</w:t>
      </w:r>
    </w:p>
    <w:p w14:paraId="4BD233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itself may be searched incident to an arrest, but officers must generally secure a search warrant</w:t>
      </w:r>
    </w:p>
    <w:p w14:paraId="5A06D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before conducting a search of the data stored on the cell phone.  </w:t>
      </w:r>
      <w:r w:rsidRPr="006A4CD7">
        <w:rPr>
          <w:rFonts w:cs="Times New Roman"/>
          <w:i/>
          <w:iCs/>
          <w:szCs w:val="24"/>
        </w:rPr>
        <w:t>Id</w:t>
      </w:r>
      <w:r w:rsidRPr="006A4CD7">
        <w:rPr>
          <w:rFonts w:cs="Times New Roman"/>
          <w:szCs w:val="24"/>
        </w:rPr>
        <w:t>. at 2493.  However, the</w:t>
      </w:r>
    </w:p>
    <w:p w14:paraId="53D5D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also noted that if “law enforcement still has specific concerns about the potential loss of</w:t>
      </w:r>
    </w:p>
    <w:p w14:paraId="4E8B57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 in a particular case … they may be able to rely on exigent circumstances to search the</w:t>
      </w:r>
    </w:p>
    <w:p w14:paraId="52A243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phone [data] immediately.”  </w:t>
      </w:r>
      <w:r w:rsidRPr="006A4CD7">
        <w:rPr>
          <w:rFonts w:cs="Times New Roman"/>
          <w:i/>
          <w:iCs/>
          <w:szCs w:val="24"/>
        </w:rPr>
        <w:t>Id</w:t>
      </w:r>
      <w:r w:rsidRPr="006A4CD7">
        <w:rPr>
          <w:rFonts w:cs="Times New Roman"/>
          <w:szCs w:val="24"/>
        </w:rPr>
        <w:t>. at 2487.</w:t>
      </w:r>
    </w:p>
    <w:p w14:paraId="35F233A4" w14:textId="77777777" w:rsidR="006A4CD7" w:rsidRPr="006A4CD7" w:rsidRDefault="006A4CD7" w:rsidP="0060759C">
      <w:pPr>
        <w:autoSpaceDE w:val="0"/>
        <w:autoSpaceDN w:val="0"/>
        <w:adjustRightInd w:val="0"/>
        <w:rPr>
          <w:rFonts w:cs="Times New Roman"/>
          <w:szCs w:val="24"/>
        </w:rPr>
      </w:pPr>
    </w:p>
    <w:p w14:paraId="27B3FB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 plaintiff alleging a § 1983 claim based on an unreasonable search in violation</w:t>
      </w:r>
    </w:p>
    <w:p w14:paraId="3EB453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0A60C6E6" w14:textId="66F63390" w:rsidR="006A4CD7" w:rsidRPr="006A4CD7" w:rsidRDefault="006A4CD7" w:rsidP="00352D49">
      <w:pPr>
        <w:pStyle w:val="Heading2"/>
      </w:pPr>
      <w:r w:rsidRPr="006A4CD7">
        <w:br w:type="page"/>
      </w:r>
      <w:bookmarkStart w:id="135" w:name="_Toc117512429"/>
      <w:r w:rsidRPr="006A4CD7">
        <w:lastRenderedPageBreak/>
        <w:t xml:space="preserve">9.14 </w:t>
      </w:r>
      <w:r w:rsidR="007847B8" w:rsidRPr="007847B8">
        <w:t>Particular Rights—Fourth Amendment—Unreasonable Search— Exception to Warrant Requirement—Search of Vehicle Incident to Arrest of a Recent Occupant</w:t>
      </w:r>
      <w:bookmarkEnd w:id="135"/>
    </w:p>
    <w:p w14:paraId="3DBB12BD" w14:textId="77777777" w:rsidR="006A4CD7" w:rsidRPr="006A4CD7" w:rsidRDefault="006A4CD7" w:rsidP="000C5EAE"/>
    <w:p w14:paraId="4CCAA471" w14:textId="287598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of the vehicle is incident to a lawful arrest. </w:t>
      </w:r>
    </w:p>
    <w:p w14:paraId="15135D58" w14:textId="77777777" w:rsidR="006A4CD7" w:rsidRPr="006A4CD7" w:rsidRDefault="006A4CD7" w:rsidP="0060759C">
      <w:pPr>
        <w:autoSpaceDE w:val="0"/>
        <w:autoSpaceDN w:val="0"/>
        <w:adjustRightInd w:val="0"/>
        <w:rPr>
          <w:rFonts w:cs="Times New Roman"/>
          <w:szCs w:val="24"/>
        </w:rPr>
      </w:pPr>
    </w:p>
    <w:p w14:paraId="22F0A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055F4B3D" w14:textId="77777777" w:rsidR="006A4CD7" w:rsidRPr="006A4CD7" w:rsidRDefault="006A4CD7" w:rsidP="0060759C">
      <w:pPr>
        <w:autoSpaceDE w:val="0"/>
        <w:autoSpaceDN w:val="0"/>
        <w:adjustRightInd w:val="0"/>
        <w:rPr>
          <w:rFonts w:cs="Times New Roman"/>
          <w:szCs w:val="24"/>
        </w:rPr>
      </w:pPr>
    </w:p>
    <w:p w14:paraId="33D60D45" w14:textId="77777777" w:rsidR="006A4CD7" w:rsidRPr="006A4CD7" w:rsidRDefault="006A4CD7" w:rsidP="0060759C">
      <w:pPr>
        <w:autoSpaceDE w:val="0"/>
        <w:autoSpaceDN w:val="0"/>
        <w:adjustRightInd w:val="0"/>
        <w:ind w:right="720"/>
        <w:rPr>
          <w:rFonts w:cs="Times New Roman"/>
          <w:szCs w:val="24"/>
        </w:rPr>
      </w:pPr>
      <w:r w:rsidRPr="006A4CD7">
        <w:rPr>
          <w:rFonts w:cs="Times New Roman"/>
          <w:szCs w:val="24"/>
        </w:rPr>
        <w:tab/>
        <w:t>A search of a vehicle [</w:t>
      </w:r>
      <w:r w:rsidRPr="006A4CD7">
        <w:rPr>
          <w:rFonts w:cs="Times New Roman"/>
          <w:i/>
          <w:iCs/>
          <w:szCs w:val="24"/>
          <w:u w:val="single"/>
        </w:rPr>
        <w:t>specify area searched</w:t>
      </w:r>
      <w:r w:rsidRPr="006A4CD7">
        <w:rPr>
          <w:rFonts w:cs="Times New Roman"/>
          <w:szCs w:val="24"/>
        </w:rPr>
        <w:t>] is “incident to” the arrest of a recent occupant of the vehicle only if:</w:t>
      </w:r>
    </w:p>
    <w:p w14:paraId="35C7ED0E" w14:textId="77777777" w:rsidR="006A4CD7" w:rsidRPr="006A4CD7" w:rsidRDefault="006A4CD7" w:rsidP="0060759C">
      <w:pPr>
        <w:autoSpaceDE w:val="0"/>
        <w:autoSpaceDN w:val="0"/>
        <w:adjustRightInd w:val="0"/>
        <w:ind w:right="720"/>
        <w:rPr>
          <w:rFonts w:cs="Times New Roman"/>
          <w:szCs w:val="24"/>
        </w:rPr>
      </w:pPr>
    </w:p>
    <w:p w14:paraId="51DDF585" w14:textId="41633C3B"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person is arrested but is not securely in police custody and the [</w:t>
      </w:r>
      <w:r w:rsidRPr="006A4CD7">
        <w:rPr>
          <w:rFonts w:cs="Times New Roman"/>
          <w:i/>
          <w:iCs/>
          <w:szCs w:val="24"/>
          <w:u w:val="single"/>
        </w:rPr>
        <w:t xml:space="preserve">specify area </w:t>
      </w:r>
      <w:r w:rsidR="009E6EA1" w:rsidRPr="006A4CD7">
        <w:rPr>
          <w:rFonts w:cs="Times New Roman"/>
          <w:i/>
          <w:iCs/>
          <w:szCs w:val="24"/>
          <w:u w:val="single"/>
        </w:rPr>
        <w:t>searched</w:t>
      </w:r>
      <w:r w:rsidR="009E6EA1" w:rsidRPr="006A4CD7">
        <w:rPr>
          <w:rFonts w:cs="Times New Roman"/>
          <w:szCs w:val="24"/>
        </w:rPr>
        <w:t>] is</w:t>
      </w:r>
      <w:r w:rsidRPr="006A4CD7">
        <w:rPr>
          <w:rFonts w:cs="Times New Roman"/>
          <w:szCs w:val="24"/>
        </w:rPr>
        <w:t xml:space="preserve"> “within the reaching distance” of the person arrested; or</w:t>
      </w:r>
    </w:p>
    <w:p w14:paraId="4B20DB70" w14:textId="77777777" w:rsidR="006A4CD7" w:rsidRPr="006A4CD7" w:rsidRDefault="006A4CD7" w:rsidP="005E6F8C">
      <w:pPr>
        <w:autoSpaceDE w:val="0"/>
        <w:autoSpaceDN w:val="0"/>
        <w:adjustRightInd w:val="0"/>
        <w:ind w:left="1440" w:right="720" w:hanging="720"/>
        <w:rPr>
          <w:rFonts w:cs="Times New Roman"/>
          <w:szCs w:val="24"/>
        </w:rPr>
      </w:pPr>
    </w:p>
    <w:p w14:paraId="468F35A6"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It is reasonable to believe the vehicle contains evidence of the offense that is the subject of the arrest.</w:t>
      </w:r>
    </w:p>
    <w:p w14:paraId="7F09F299" w14:textId="77777777" w:rsidR="006A4CD7" w:rsidRPr="006A4CD7" w:rsidRDefault="006A4CD7" w:rsidP="0060759C">
      <w:pPr>
        <w:autoSpaceDE w:val="0"/>
        <w:autoSpaceDN w:val="0"/>
        <w:adjustRightInd w:val="0"/>
        <w:rPr>
          <w:rFonts w:cs="Times New Roman"/>
          <w:szCs w:val="24"/>
        </w:rPr>
      </w:pPr>
    </w:p>
    <w:p w14:paraId="3BACD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7154E663" w14:textId="77777777" w:rsidR="006A4CD7" w:rsidRPr="006A4CD7" w:rsidRDefault="006A4CD7" w:rsidP="0060759C">
      <w:pPr>
        <w:autoSpaceDE w:val="0"/>
        <w:autoSpaceDN w:val="0"/>
        <w:adjustRightInd w:val="0"/>
        <w:rPr>
          <w:rFonts w:cs="Times New Roman"/>
          <w:szCs w:val="24"/>
        </w:rPr>
      </w:pPr>
    </w:p>
    <w:p w14:paraId="6117543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570652FD" w14:textId="77777777" w:rsidR="006A4CD7" w:rsidRPr="006A4CD7" w:rsidRDefault="006A4CD7" w:rsidP="000C5EAE"/>
    <w:p w14:paraId="28AA9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9.12 (Particular Rights—Fourth Amendment—Unreasonable Search—Generally). </w:t>
      </w:r>
    </w:p>
    <w:p w14:paraId="3362E108" w14:textId="77777777" w:rsidR="006A4CD7" w:rsidRPr="006A4CD7" w:rsidRDefault="006A4CD7" w:rsidP="0060759C">
      <w:pPr>
        <w:autoSpaceDE w:val="0"/>
        <w:autoSpaceDN w:val="0"/>
        <w:adjustRightInd w:val="0"/>
        <w:rPr>
          <w:rFonts w:cs="Times New Roman"/>
          <w:szCs w:val="24"/>
        </w:rPr>
      </w:pPr>
    </w:p>
    <w:p w14:paraId="735FD1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w:t>
      </w:r>
      <w:r w:rsidR="005E6F8C">
        <w:rPr>
          <w:rFonts w:cs="Times New Roman"/>
          <w:i/>
          <w:iCs/>
          <w:szCs w:val="24"/>
        </w:rPr>
        <w:t xml:space="preserve"> </w:t>
      </w:r>
      <w:r w:rsidRPr="006A4CD7">
        <w:rPr>
          <w:rFonts w:cs="Times New Roman"/>
          <w:i/>
          <w:iCs/>
          <w:szCs w:val="24"/>
        </w:rPr>
        <w:t>City of Seattle</w:t>
      </w:r>
      <w:r w:rsidRPr="006A4CD7">
        <w:rPr>
          <w:rFonts w:cs="Times New Roman"/>
          <w:szCs w:val="24"/>
        </w:rPr>
        <w:t>, 409 F.3d 1113, 1153 (9th Cir. 2005) (holding probable cause to make arrest</w:t>
      </w:r>
      <w:r w:rsidR="005E6F8C">
        <w:rPr>
          <w:rFonts w:cs="Times New Roman"/>
          <w:szCs w:val="24"/>
        </w:rPr>
        <w:t xml:space="preserve"> </w:t>
      </w:r>
      <w:r w:rsidRPr="006A4CD7">
        <w:rPr>
          <w:rFonts w:cs="Times New Roman"/>
          <w:szCs w:val="24"/>
        </w:rPr>
        <w:t>insufficient to trigger exception in absence of actual arrest).  The search must be “spatially and temporally incident to the arrest,” and, to satisfy the temporal requirement, must be “roughly</w:t>
      </w:r>
      <w:r w:rsidR="005E6F8C">
        <w:rPr>
          <w:rFonts w:cs="Times New Roman"/>
          <w:szCs w:val="24"/>
        </w:rPr>
        <w:t xml:space="preserve"> </w:t>
      </w:r>
      <w:r w:rsidRPr="006A4CD7">
        <w:rPr>
          <w:rFonts w:cs="Times New Roman"/>
          <w:szCs w:val="24"/>
        </w:rPr>
        <w:t xml:space="preserve">contemporaneous with the arrest.”  </w:t>
      </w:r>
      <w:r w:rsidRPr="006A4CD7">
        <w:rPr>
          <w:rFonts w:cs="Times New Roman"/>
          <w:i/>
          <w:iCs/>
          <w:szCs w:val="24"/>
        </w:rPr>
        <w:t xml:space="preserve">United States v. </w:t>
      </w:r>
      <w:proofErr w:type="spellStart"/>
      <w:r w:rsidRPr="006A4CD7">
        <w:rPr>
          <w:rFonts w:cs="Times New Roman"/>
          <w:i/>
          <w:iCs/>
          <w:szCs w:val="24"/>
        </w:rPr>
        <w:t>Camou</w:t>
      </w:r>
      <w:proofErr w:type="spellEnd"/>
      <w:r w:rsidRPr="006A4CD7">
        <w:rPr>
          <w:rFonts w:cs="Times New Roman"/>
          <w:szCs w:val="24"/>
        </w:rPr>
        <w:t>, 773 F.3d 932, 937 (9th Cir. 2014).</w:t>
      </w:r>
    </w:p>
    <w:p w14:paraId="3DF9487B" w14:textId="77777777" w:rsidR="006A4CD7" w:rsidRPr="006A4CD7" w:rsidRDefault="006A4CD7" w:rsidP="0060759C">
      <w:pPr>
        <w:autoSpaceDE w:val="0"/>
        <w:autoSpaceDN w:val="0"/>
        <w:adjustRightInd w:val="0"/>
        <w:rPr>
          <w:rFonts w:cs="Times New Roman"/>
          <w:szCs w:val="24"/>
        </w:rPr>
      </w:pPr>
    </w:p>
    <w:p w14:paraId="6EB3BF8B" w14:textId="77777777" w:rsidR="00926E8E" w:rsidRDefault="006A4CD7" w:rsidP="0060759C">
      <w:pPr>
        <w:autoSpaceDE w:val="0"/>
        <w:autoSpaceDN w:val="0"/>
        <w:adjustRightInd w:val="0"/>
        <w:rPr>
          <w:rFonts w:cs="Times New Roman"/>
          <w:szCs w:val="24"/>
        </w:rPr>
      </w:pPr>
      <w:r w:rsidRPr="006A4CD7">
        <w:rPr>
          <w:rFonts w:cs="Times New Roman"/>
          <w:szCs w:val="24"/>
        </w:rPr>
        <w:tab/>
        <w:t>If the court is able to determine as a matter of law that an arrest was lawful, the Committee recommends the court instruct the jury accordingly.  When, however, there are</w:t>
      </w:r>
      <w:r w:rsidR="005E6F8C">
        <w:rPr>
          <w:rFonts w:cs="Times New Roman"/>
          <w:szCs w:val="24"/>
        </w:rPr>
        <w:t xml:space="preserve"> </w:t>
      </w:r>
      <w:r w:rsidRPr="006A4CD7">
        <w:rPr>
          <w:rFonts w:cs="Times New Roman"/>
          <w:szCs w:val="24"/>
        </w:rPr>
        <w:t>factual disputes about the lawfulness of an arrest, it will be necessary for the court to instruct the</w:t>
      </w:r>
      <w:r w:rsidR="005E6F8C">
        <w:rPr>
          <w:rFonts w:cs="Times New Roman"/>
          <w:szCs w:val="24"/>
        </w:rPr>
        <w:t xml:space="preserve"> </w:t>
      </w:r>
      <w:r w:rsidRPr="006A4CD7">
        <w:rPr>
          <w:rFonts w:cs="Times New Roman"/>
          <w:szCs w:val="24"/>
        </w:rPr>
        <w:t>jury concerning the standards or elements for a lawful arrest under the facts of a particular case.</w:t>
      </w:r>
      <w:r w:rsidR="005E6F8C">
        <w:rPr>
          <w:rFonts w:cs="Times New Roman"/>
          <w:szCs w:val="24"/>
        </w:rPr>
        <w:t xml:space="preserve"> </w:t>
      </w:r>
      <w:r w:rsidRPr="006A4CD7">
        <w:rPr>
          <w:rFonts w:cs="Times New Roman"/>
          <w:i/>
          <w:iCs/>
          <w:szCs w:val="24"/>
        </w:rPr>
        <w:t>See</w:t>
      </w:r>
      <w:r w:rsidRPr="006A4CD7">
        <w:rPr>
          <w:rFonts w:cs="Times New Roman"/>
          <w:szCs w:val="24"/>
        </w:rPr>
        <w:t xml:space="preserve"> Instruction 9.23 (Particular Rights—Fourth Amendment—Unreasonable Seizure of</w:t>
      </w:r>
      <w:r w:rsidR="005E6F8C">
        <w:rPr>
          <w:rFonts w:cs="Times New Roman"/>
          <w:szCs w:val="24"/>
        </w:rPr>
        <w:t xml:space="preserve"> </w:t>
      </w:r>
      <w:r w:rsidRPr="006A4CD7">
        <w:rPr>
          <w:rFonts w:cs="Times New Roman"/>
          <w:szCs w:val="24"/>
        </w:rPr>
        <w:t>Person—Probable Cause Arrest).  The plaintiff may not always be the same person who was</w:t>
      </w:r>
      <w:r w:rsidR="005E6F8C">
        <w:rPr>
          <w:rFonts w:cs="Times New Roman"/>
          <w:szCs w:val="24"/>
        </w:rPr>
        <w:t xml:space="preserve"> </w:t>
      </w:r>
      <w:r w:rsidRPr="006A4CD7">
        <w:rPr>
          <w:rFonts w:cs="Times New Roman"/>
          <w:szCs w:val="24"/>
        </w:rPr>
        <w:t xml:space="preserve">the subject of the arrest giving rise to the search.  </w:t>
      </w:r>
      <w:r w:rsidRPr="006A4CD7">
        <w:rPr>
          <w:rFonts w:cs="Times New Roman"/>
          <w:i/>
          <w:iCs/>
          <w:szCs w:val="24"/>
        </w:rPr>
        <w:t xml:space="preserve">See </w:t>
      </w:r>
      <w:proofErr w:type="spellStart"/>
      <w:r w:rsidRPr="006A4CD7">
        <w:rPr>
          <w:rFonts w:cs="Times New Roman"/>
          <w:i/>
          <w:iCs/>
          <w:szCs w:val="24"/>
        </w:rPr>
        <w:t>Rakas</w:t>
      </w:r>
      <w:proofErr w:type="spellEnd"/>
      <w:r w:rsidRPr="006A4CD7">
        <w:rPr>
          <w:rFonts w:cs="Times New Roman"/>
          <w:i/>
          <w:iCs/>
          <w:szCs w:val="24"/>
        </w:rPr>
        <w:t xml:space="preserve"> v. Illinois</w:t>
      </w:r>
      <w:r w:rsidRPr="006A4CD7">
        <w:rPr>
          <w:rFonts w:cs="Times New Roman"/>
          <w:szCs w:val="24"/>
        </w:rPr>
        <w:t>, 439 U.S. 128, 134</w:t>
      </w:r>
      <w:r w:rsidR="005E6F8C">
        <w:rPr>
          <w:rFonts w:cs="Times New Roman"/>
          <w:szCs w:val="24"/>
        </w:rPr>
        <w:t xml:space="preserve"> </w:t>
      </w:r>
      <w:r w:rsidRPr="006A4CD7">
        <w:rPr>
          <w:rFonts w:cs="Times New Roman"/>
          <w:szCs w:val="24"/>
        </w:rPr>
        <w:t xml:space="preserve">(1978).  In such </w:t>
      </w:r>
    </w:p>
    <w:p w14:paraId="19A67B74" w14:textId="77777777" w:rsidR="00926E8E" w:rsidRDefault="00926E8E" w:rsidP="0060759C">
      <w:pPr>
        <w:autoSpaceDE w:val="0"/>
        <w:autoSpaceDN w:val="0"/>
        <w:adjustRightInd w:val="0"/>
        <w:rPr>
          <w:rFonts w:cs="Times New Roman"/>
          <w:szCs w:val="24"/>
        </w:rPr>
      </w:pPr>
    </w:p>
    <w:p w14:paraId="0366297F" w14:textId="22DACAB0" w:rsidR="006A4CD7" w:rsidRDefault="006A4CD7" w:rsidP="0060759C">
      <w:pPr>
        <w:autoSpaceDE w:val="0"/>
        <w:autoSpaceDN w:val="0"/>
        <w:adjustRightInd w:val="0"/>
        <w:rPr>
          <w:rFonts w:cs="Times New Roman"/>
          <w:szCs w:val="24"/>
        </w:rPr>
      </w:pPr>
      <w:r w:rsidRPr="006A4CD7">
        <w:rPr>
          <w:rFonts w:cs="Times New Roman"/>
          <w:szCs w:val="24"/>
        </w:rPr>
        <w:t>cases, the instruction should be altered as appropriate.</w:t>
      </w:r>
    </w:p>
    <w:p w14:paraId="3E9E9419" w14:textId="77777777" w:rsidR="00926E8E" w:rsidRPr="006A4CD7" w:rsidRDefault="00926E8E" w:rsidP="0060759C">
      <w:pPr>
        <w:autoSpaceDE w:val="0"/>
        <w:autoSpaceDN w:val="0"/>
        <w:adjustRightInd w:val="0"/>
        <w:rPr>
          <w:rFonts w:cs="Times New Roman"/>
          <w:szCs w:val="24"/>
        </w:rPr>
      </w:pPr>
    </w:p>
    <w:p w14:paraId="01529C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New York v. Belton</w:t>
      </w:r>
      <w:r w:rsidRPr="006A4CD7">
        <w:rPr>
          <w:rFonts w:cs="Times New Roman"/>
          <w:szCs w:val="24"/>
        </w:rPr>
        <w:t>, 453 U.S. 454 (1981), the United States Supreme Court held that</w:t>
      </w:r>
      <w:r w:rsidR="005E6F8C">
        <w:rPr>
          <w:rFonts w:cs="Times New Roman"/>
          <w:szCs w:val="24"/>
        </w:rPr>
        <w:t xml:space="preserve"> </w:t>
      </w:r>
      <w:r w:rsidRPr="006A4CD7">
        <w:rPr>
          <w:rFonts w:cs="Times New Roman"/>
          <w:szCs w:val="24"/>
        </w:rPr>
        <w:t>an officer could search the passenger compartment of a vehicle when the officer has made a</w:t>
      </w:r>
      <w:r w:rsidR="005E6F8C">
        <w:rPr>
          <w:rFonts w:cs="Times New Roman"/>
          <w:szCs w:val="24"/>
        </w:rPr>
        <w:t xml:space="preserve"> </w:t>
      </w:r>
      <w:r w:rsidRPr="006A4CD7">
        <w:rPr>
          <w:rFonts w:cs="Times New Roman"/>
          <w:szCs w:val="24"/>
        </w:rPr>
        <w:t>lawful custodial arrest of its recent occupant, so long as the passenger compartment of the</w:t>
      </w:r>
      <w:r w:rsidR="005E6F8C">
        <w:rPr>
          <w:rFonts w:cs="Times New Roman"/>
          <w:szCs w:val="24"/>
        </w:rPr>
        <w:t xml:space="preserve"> </w:t>
      </w:r>
      <w:r w:rsidRPr="006A4CD7">
        <w:rPr>
          <w:rFonts w:cs="Times New Roman"/>
          <w:szCs w:val="24"/>
        </w:rPr>
        <w:t xml:space="preserve">vehicle is within the reaching distance of the arrestee.  </w:t>
      </w:r>
      <w:r w:rsidRPr="006A4CD7">
        <w:rPr>
          <w:rFonts w:cs="Times New Roman"/>
          <w:i/>
          <w:iCs/>
          <w:szCs w:val="24"/>
        </w:rPr>
        <w:t>Id</w:t>
      </w:r>
      <w:r w:rsidRPr="006A4CD7">
        <w:rPr>
          <w:rFonts w:cs="Times New Roman"/>
          <w:szCs w:val="24"/>
        </w:rPr>
        <w:t>. at 460 (holding also that the officer</w:t>
      </w:r>
      <w:r w:rsidR="005E6F8C">
        <w:rPr>
          <w:rFonts w:cs="Times New Roman"/>
          <w:szCs w:val="24"/>
        </w:rPr>
        <w:t xml:space="preserve"> </w:t>
      </w:r>
      <w:r w:rsidRPr="006A4CD7">
        <w:rPr>
          <w:rFonts w:cs="Times New Roman"/>
          <w:szCs w:val="24"/>
        </w:rPr>
        <w:t>may search containers in the passenger compartment because “if the passenger compartment is</w:t>
      </w:r>
      <w:r w:rsidR="005E6F8C">
        <w:rPr>
          <w:rFonts w:cs="Times New Roman"/>
          <w:szCs w:val="24"/>
        </w:rPr>
        <w:t xml:space="preserve"> </w:t>
      </w:r>
      <w:r w:rsidRPr="006A4CD7">
        <w:rPr>
          <w:rFonts w:cs="Times New Roman"/>
          <w:szCs w:val="24"/>
        </w:rPr>
        <w:t>within reach of the arrestee, so also will containers in it be within his reach”).</w:t>
      </w:r>
    </w:p>
    <w:p w14:paraId="5941C035" w14:textId="77777777" w:rsidR="006A4CD7" w:rsidRPr="006A4CD7" w:rsidRDefault="006A4CD7" w:rsidP="005E6F8C"/>
    <w:p w14:paraId="4A77937C" w14:textId="07D0DF7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Arizona v. Gant</w:t>
      </w:r>
      <w:r w:rsidRPr="006A4CD7">
        <w:rPr>
          <w:rFonts w:cs="Times New Roman"/>
          <w:szCs w:val="24"/>
        </w:rPr>
        <w:t xml:space="preserve">, 556 U.S. 332, 335 (2009), the Supreme Court narrowed the search-incident-to-arrest exception as applied to vehicle searches in </w:t>
      </w:r>
      <w:r w:rsidRPr="006A4CD7">
        <w:rPr>
          <w:rFonts w:cs="Times New Roman"/>
          <w:i/>
          <w:iCs/>
          <w:szCs w:val="24"/>
        </w:rPr>
        <w:t>Belton</w:t>
      </w:r>
      <w:r w:rsidRPr="006A4CD7">
        <w:rPr>
          <w:rFonts w:cs="Times New Roman"/>
          <w:szCs w:val="24"/>
        </w:rPr>
        <w:t xml:space="preserve">.  </w:t>
      </w:r>
      <w:r w:rsidRPr="006A4CD7">
        <w:rPr>
          <w:rFonts w:cs="Times New Roman"/>
          <w:i/>
          <w:iCs/>
          <w:szCs w:val="24"/>
        </w:rPr>
        <w:t xml:space="preserve">Id. </w:t>
      </w:r>
      <w:r w:rsidRPr="006A4CD7">
        <w:rPr>
          <w:rFonts w:cs="Times New Roman"/>
          <w:szCs w:val="24"/>
        </w:rPr>
        <w:t xml:space="preserve">at 335.   </w:t>
      </w:r>
      <w:r w:rsidRPr="006A4CD7">
        <w:rPr>
          <w:rFonts w:cs="Times New Roman"/>
          <w:i/>
          <w:iCs/>
          <w:szCs w:val="24"/>
        </w:rPr>
        <w:t>Gant</w:t>
      </w:r>
      <w:r w:rsidRPr="006A4CD7">
        <w:rPr>
          <w:rFonts w:cs="Times New Roman"/>
          <w:szCs w:val="24"/>
        </w:rPr>
        <w:t xml:space="preserve"> held that a warrantless search of a vehicle, incident to the arrest of a driver or recent occupant, is constitutionally permissible only if</w:t>
      </w:r>
      <w:r w:rsidR="009E6EA1" w:rsidRPr="006A4CD7">
        <w:rPr>
          <w:rFonts w:cs="Times New Roman"/>
          <w:szCs w:val="24"/>
        </w:rPr>
        <w:t>: (</w:t>
      </w:r>
      <w:r w:rsidRPr="006A4CD7">
        <w:rPr>
          <w:rFonts w:cs="Times New Roman"/>
          <w:szCs w:val="24"/>
        </w:rPr>
        <w:t xml:space="preserve">1) the arrestee is within reaching distance of the passenger compartment at the time of the search, or (2) it is reasonable to believe the vehicle contains evidence of the offense of arrest.  </w:t>
      </w:r>
      <w:r w:rsidRPr="006A4CD7">
        <w:rPr>
          <w:rFonts w:cs="Times New Roman"/>
          <w:i/>
          <w:iCs/>
          <w:szCs w:val="24"/>
        </w:rPr>
        <w:t>Id.</w:t>
      </w:r>
      <w:r w:rsidRPr="006A4CD7">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6A4CD7">
        <w:rPr>
          <w:rFonts w:cs="Times New Roman"/>
          <w:i/>
          <w:iCs/>
          <w:szCs w:val="24"/>
        </w:rPr>
        <w:t>Id.</w:t>
      </w:r>
      <w:r w:rsidRPr="006A4CD7">
        <w:rPr>
          <w:rFonts w:cs="Times New Roman"/>
          <w:szCs w:val="24"/>
        </w:rPr>
        <w:t xml:space="preserve"> at 335 (“</w:t>
      </w:r>
      <w:r w:rsidRPr="006A4CD7">
        <w:rPr>
          <w:rFonts w:cs="Times New Roman"/>
          <w:i/>
          <w:iCs/>
          <w:szCs w:val="24"/>
        </w:rPr>
        <w:t xml:space="preserve">Belton </w:t>
      </w:r>
      <w:r w:rsidRPr="006A4CD7">
        <w:rPr>
          <w:rFonts w:cs="Times New Roman"/>
          <w:szCs w:val="24"/>
        </w:rPr>
        <w:t xml:space="preserve">does not authorize a vehicle search incident to a recent occupant’s arrest after the arrestee has been secured and cannot access the interior of the vehicle.”); </w:t>
      </w:r>
      <w:r w:rsidRPr="006A4CD7">
        <w:rPr>
          <w:rFonts w:cs="Times New Roman"/>
          <w:i/>
          <w:iCs/>
          <w:szCs w:val="24"/>
        </w:rPr>
        <w:t xml:space="preserve">see also United States v. </w:t>
      </w:r>
      <w:proofErr w:type="spellStart"/>
      <w:r w:rsidRPr="006A4CD7">
        <w:rPr>
          <w:rFonts w:cs="Times New Roman"/>
          <w:i/>
          <w:iCs/>
          <w:szCs w:val="24"/>
        </w:rPr>
        <w:t>Ruckes</w:t>
      </w:r>
      <w:proofErr w:type="spellEnd"/>
      <w:r w:rsidRPr="006A4CD7">
        <w:rPr>
          <w:rFonts w:cs="Times New Roman"/>
          <w:szCs w:val="24"/>
        </w:rPr>
        <w:t xml:space="preserve">, 586 F.3d 713, 717-18 (9th Cir. 2009) (applying </w:t>
      </w:r>
      <w:r w:rsidRPr="006A4CD7">
        <w:rPr>
          <w:rFonts w:cs="Times New Roman"/>
          <w:i/>
          <w:iCs/>
          <w:szCs w:val="24"/>
        </w:rPr>
        <w:t>Gant</w:t>
      </w:r>
      <w:r w:rsidRPr="006A4CD7">
        <w:rPr>
          <w:rFonts w:cs="Times New Roman"/>
          <w:szCs w:val="24"/>
        </w:rPr>
        <w:t xml:space="preserve">, 556 U.S. at 343-44, and concluding that vehicle search incident to arrest was invalid).  </w:t>
      </w:r>
    </w:p>
    <w:p w14:paraId="6861E65E" w14:textId="77777777" w:rsidR="006A4CD7" w:rsidRPr="006A4CD7" w:rsidRDefault="006A4CD7" w:rsidP="0060759C">
      <w:pPr>
        <w:autoSpaceDE w:val="0"/>
        <w:autoSpaceDN w:val="0"/>
        <w:adjustRightInd w:val="0"/>
        <w:rPr>
          <w:rFonts w:cs="Times New Roman"/>
          <w:szCs w:val="24"/>
        </w:rPr>
      </w:pPr>
    </w:p>
    <w:p w14:paraId="0ECF9A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4D6E13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142D2B94" w14:textId="103EBFD6" w:rsidR="006A4CD7" w:rsidRPr="006A4CD7" w:rsidRDefault="006A4CD7" w:rsidP="00352D49">
      <w:pPr>
        <w:pStyle w:val="Heading2"/>
      </w:pPr>
      <w:r w:rsidRPr="006A4CD7">
        <w:br w:type="page"/>
      </w:r>
      <w:bookmarkStart w:id="136" w:name="_Toc117512430"/>
      <w:r w:rsidRPr="006A4CD7">
        <w:lastRenderedPageBreak/>
        <w:t xml:space="preserve">9.15 </w:t>
      </w:r>
      <w:r w:rsidR="00884DFA" w:rsidRPr="00884DFA">
        <w:t>Particular Rights—Fourth Amendment—Unreasonable Search—Exception to Warrant Requirement—Consent</w:t>
      </w:r>
      <w:bookmarkEnd w:id="136"/>
    </w:p>
    <w:p w14:paraId="23ED7D65" w14:textId="77777777" w:rsidR="006A4CD7" w:rsidRPr="006A4CD7" w:rsidRDefault="006A4CD7" w:rsidP="0060759C">
      <w:pPr>
        <w:autoSpaceDE w:val="0"/>
        <w:autoSpaceDN w:val="0"/>
        <w:adjustRightInd w:val="0"/>
        <w:rPr>
          <w:rFonts w:cs="Times New Roman"/>
          <w:szCs w:val="24"/>
        </w:rPr>
      </w:pPr>
    </w:p>
    <w:p w14:paraId="68F0611C" w14:textId="2043DDB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68CA4BB5" w14:textId="77777777" w:rsidR="006A4CD7" w:rsidRPr="006A4CD7" w:rsidRDefault="006A4CD7" w:rsidP="0060759C">
      <w:pPr>
        <w:autoSpaceDE w:val="0"/>
        <w:autoSpaceDN w:val="0"/>
        <w:adjustRightInd w:val="0"/>
        <w:rPr>
          <w:rFonts w:cs="Times New Roman"/>
          <w:szCs w:val="24"/>
        </w:rPr>
      </w:pPr>
    </w:p>
    <w:p w14:paraId="33C745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a consent to search is voluntary, consider all of the circumstances, including:</w:t>
      </w:r>
    </w:p>
    <w:p w14:paraId="7EB2FB4A" w14:textId="77777777" w:rsidR="006A4CD7" w:rsidRPr="006A4CD7" w:rsidRDefault="006A4CD7" w:rsidP="0060759C">
      <w:pPr>
        <w:autoSpaceDE w:val="0"/>
        <w:autoSpaceDN w:val="0"/>
        <w:adjustRightInd w:val="0"/>
        <w:rPr>
          <w:rFonts w:cs="Times New Roman"/>
          <w:szCs w:val="24"/>
        </w:rPr>
      </w:pPr>
    </w:p>
    <w:p w14:paraId="335F47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whether the consenting person was in custody;</w:t>
      </w:r>
    </w:p>
    <w:p w14:paraId="6958686E" w14:textId="77777777" w:rsidR="006A4CD7" w:rsidRPr="006A4CD7" w:rsidRDefault="006A4CD7" w:rsidP="0060759C">
      <w:pPr>
        <w:autoSpaceDE w:val="0"/>
        <w:autoSpaceDN w:val="0"/>
        <w:adjustRightInd w:val="0"/>
        <w:rPr>
          <w:rFonts w:cs="Times New Roman"/>
          <w:szCs w:val="24"/>
        </w:rPr>
      </w:pPr>
    </w:p>
    <w:p w14:paraId="7FAB2969" w14:textId="77777777" w:rsidR="000C5EAE" w:rsidRDefault="006A4CD7" w:rsidP="000C5EA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whether the officers’ guns were drawn;</w:t>
      </w:r>
    </w:p>
    <w:p w14:paraId="64609F19" w14:textId="77777777" w:rsidR="000C5EAE" w:rsidRDefault="000C5EAE" w:rsidP="000C5EAE"/>
    <w:p w14:paraId="69C468F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whether Miranda warnings were given;</w:t>
      </w:r>
    </w:p>
    <w:p w14:paraId="2EFB67E8" w14:textId="77777777" w:rsidR="006A4CD7" w:rsidRPr="006A4CD7" w:rsidRDefault="006A4CD7" w:rsidP="0060759C">
      <w:pPr>
        <w:autoSpaceDE w:val="0"/>
        <w:autoSpaceDN w:val="0"/>
        <w:adjustRightInd w:val="0"/>
        <w:rPr>
          <w:rFonts w:cs="Times New Roman"/>
          <w:szCs w:val="24"/>
        </w:rPr>
      </w:pPr>
    </w:p>
    <w:p w14:paraId="7DCDEE2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whether the consenting person was told [he] [she] had the right to refuse a request to search;</w:t>
      </w:r>
    </w:p>
    <w:p w14:paraId="6035EA7D" w14:textId="77777777" w:rsidR="006A4CD7" w:rsidRPr="006A4CD7" w:rsidRDefault="006A4CD7" w:rsidP="0060759C">
      <w:pPr>
        <w:autoSpaceDE w:val="0"/>
        <w:autoSpaceDN w:val="0"/>
        <w:adjustRightInd w:val="0"/>
        <w:rPr>
          <w:rFonts w:cs="Times New Roman"/>
          <w:szCs w:val="24"/>
        </w:rPr>
      </w:pPr>
    </w:p>
    <w:p w14:paraId="0F71B0B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whether the consenting person was told a search warrant could be obtained;</w:t>
      </w:r>
    </w:p>
    <w:p w14:paraId="179597F4" w14:textId="77777777" w:rsidR="006A4CD7" w:rsidRPr="006A4CD7" w:rsidRDefault="006A4CD7" w:rsidP="0060759C">
      <w:pPr>
        <w:autoSpaceDE w:val="0"/>
        <w:autoSpaceDN w:val="0"/>
        <w:adjustRightInd w:val="0"/>
        <w:rPr>
          <w:rFonts w:cs="Times New Roman"/>
          <w:szCs w:val="24"/>
        </w:rPr>
      </w:pPr>
    </w:p>
    <w:p w14:paraId="60F330F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t>
      </w:r>
      <w:r w:rsidRPr="006A4CD7">
        <w:rPr>
          <w:rFonts w:cs="Times New Roman"/>
          <w:i/>
          <w:iCs/>
          <w:szCs w:val="24"/>
          <w:u w:val="single"/>
        </w:rPr>
        <w:t>any other circumstances applicable to the particular case</w:t>
      </w:r>
      <w:r w:rsidRPr="006A4CD7">
        <w:rPr>
          <w:rFonts w:cs="Times New Roman"/>
          <w:szCs w:val="24"/>
        </w:rPr>
        <w:t>].</w:t>
      </w:r>
    </w:p>
    <w:p w14:paraId="6CA9B4CA" w14:textId="77777777" w:rsidR="006A4CD7" w:rsidRPr="006A4CD7" w:rsidRDefault="006A4CD7" w:rsidP="0060759C">
      <w:pPr>
        <w:autoSpaceDE w:val="0"/>
        <w:autoSpaceDN w:val="0"/>
        <w:adjustRightInd w:val="0"/>
        <w:rPr>
          <w:rFonts w:cs="Times New Roman"/>
          <w:szCs w:val="24"/>
        </w:rPr>
      </w:pPr>
    </w:p>
    <w:p w14:paraId="458993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49E8D785" w14:textId="77777777" w:rsidR="006A4CD7" w:rsidRPr="006A4CD7" w:rsidRDefault="006A4CD7" w:rsidP="0060759C">
      <w:pPr>
        <w:autoSpaceDE w:val="0"/>
        <w:autoSpaceDN w:val="0"/>
        <w:adjustRightInd w:val="0"/>
        <w:rPr>
          <w:rFonts w:cs="Times New Roman"/>
          <w:szCs w:val="24"/>
        </w:rPr>
      </w:pPr>
    </w:p>
    <w:p w14:paraId="04A0E1E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066967" w14:textId="77777777" w:rsidR="006A4CD7" w:rsidRPr="006A4CD7" w:rsidRDefault="006A4CD7" w:rsidP="0060759C">
      <w:pPr>
        <w:autoSpaceDE w:val="0"/>
        <w:autoSpaceDN w:val="0"/>
        <w:adjustRightInd w:val="0"/>
        <w:rPr>
          <w:rFonts w:cs="Times New Roman"/>
          <w:szCs w:val="24"/>
        </w:rPr>
      </w:pPr>
    </w:p>
    <w:p w14:paraId="300667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9.12 (Particular Rights—Fourth Amendment —Unreasonable Search—Generally).</w:t>
      </w:r>
    </w:p>
    <w:p w14:paraId="00AF97F0" w14:textId="77777777" w:rsidR="006A4CD7" w:rsidRPr="006A4CD7" w:rsidRDefault="006A4CD7" w:rsidP="0060759C">
      <w:pPr>
        <w:autoSpaceDE w:val="0"/>
        <w:autoSpaceDN w:val="0"/>
        <w:adjustRightInd w:val="0"/>
        <w:rPr>
          <w:rFonts w:cs="Times New Roman"/>
          <w:szCs w:val="24"/>
        </w:rPr>
      </w:pPr>
    </w:p>
    <w:p w14:paraId="0EA6614B"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6A4CD7">
        <w:rPr>
          <w:rFonts w:cs="Times New Roman"/>
          <w:i/>
          <w:iCs/>
          <w:szCs w:val="24"/>
        </w:rPr>
        <w:t>United States v. Cormier</w:t>
      </w:r>
      <w:r w:rsidRPr="006A4CD7">
        <w:rPr>
          <w:rFonts w:cs="Times New Roman"/>
          <w:szCs w:val="24"/>
        </w:rPr>
        <w:t xml:space="preserve">, 220 F.3d 1103, 1112 (9th Cir. 2000); </w:t>
      </w:r>
      <w:r w:rsidRPr="006A4CD7">
        <w:rPr>
          <w:rFonts w:cs="Times New Roman"/>
          <w:i/>
          <w:iCs/>
          <w:szCs w:val="24"/>
        </w:rPr>
        <w:t>see</w:t>
      </w:r>
      <w:r w:rsidRPr="006A4CD7">
        <w:rPr>
          <w:rFonts w:cs="Times New Roman"/>
          <w:szCs w:val="24"/>
        </w:rPr>
        <w:t xml:space="preserve"> </w:t>
      </w:r>
      <w:r w:rsidRPr="006A4CD7">
        <w:rPr>
          <w:rFonts w:cs="Times New Roman"/>
          <w:i/>
          <w:iCs/>
          <w:szCs w:val="24"/>
        </w:rPr>
        <w:t>also Ohio v. Robinette</w:t>
      </w:r>
      <w:r w:rsidRPr="006A4CD7">
        <w:rPr>
          <w:rFonts w:cs="Times New Roman"/>
          <w:szCs w:val="24"/>
        </w:rPr>
        <w:t xml:space="preserve">, 519 U.S. 33, 39-40 (1996).  Whether a consent to search was voluntarily given is a question of fact “to be determined from the totality of all the circumstances.”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 xml:space="preserve">Schneckloth v. </w:t>
      </w:r>
      <w:proofErr w:type="spellStart"/>
      <w:r w:rsidRPr="006A4CD7">
        <w:rPr>
          <w:rFonts w:cs="Times New Roman"/>
          <w:i/>
          <w:iCs/>
          <w:szCs w:val="24"/>
        </w:rPr>
        <w:t>Bustamonte</w:t>
      </w:r>
      <w:proofErr w:type="spellEnd"/>
      <w:r w:rsidRPr="006A4CD7">
        <w:rPr>
          <w:rFonts w:cs="Times New Roman"/>
          <w:szCs w:val="24"/>
        </w:rPr>
        <w:t xml:space="preserve">, 412 U.S. 218, 227 (1973)).  The Ninth Circuit considers five factors in determining voluntariness, which have been incorporated into the above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Liberal v. Estrada</w:t>
      </w:r>
      <w:r w:rsidRPr="006A4CD7">
        <w:rPr>
          <w:rFonts w:cs="Times New Roman"/>
          <w:szCs w:val="24"/>
        </w:rPr>
        <w:t xml:space="preserve">, 632 F.3d 1064, 1082 (9th Cir. 2011) (applying five-factor test for </w:t>
      </w:r>
    </w:p>
    <w:p w14:paraId="6B648D14" w14:textId="64A4503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voluntariness in § 1983 case).  “No one factor is determinative in the equation” and “[b]</w:t>
      </w:r>
      <w:proofErr w:type="spellStart"/>
      <w:r w:rsidRPr="006A4CD7">
        <w:rPr>
          <w:rFonts w:cs="Times New Roman"/>
          <w:szCs w:val="24"/>
        </w:rPr>
        <w:t>ecause</w:t>
      </w:r>
      <w:proofErr w:type="spellEnd"/>
      <w:r w:rsidRPr="006A4CD7">
        <w:rPr>
          <w:rFonts w:cs="Times New Roman"/>
          <w:szCs w:val="24"/>
        </w:rPr>
        <w:t xml:space="preserve"> each factual situation surrounding consent to a search is unique,” a court may also take into account other relevant factors.  </w:t>
      </w:r>
      <w:r w:rsidRPr="006A4CD7">
        <w:rPr>
          <w:rFonts w:cs="Times New Roman"/>
          <w:i/>
          <w:iCs/>
          <w:szCs w:val="24"/>
        </w:rPr>
        <w:t>Id.</w:t>
      </w:r>
      <w:r w:rsidRPr="006A4CD7">
        <w:rPr>
          <w:rFonts w:cs="Times New Roman"/>
          <w:szCs w:val="24"/>
        </w:rPr>
        <w:t xml:space="preserve">    </w:t>
      </w:r>
    </w:p>
    <w:p w14:paraId="0B852FA2" w14:textId="77777777" w:rsidR="006A4CD7" w:rsidRPr="006A4CD7" w:rsidRDefault="006A4CD7" w:rsidP="0060759C">
      <w:pPr>
        <w:autoSpaceDE w:val="0"/>
        <w:autoSpaceDN w:val="0"/>
        <w:adjustRightInd w:val="0"/>
        <w:rPr>
          <w:rFonts w:cs="Times New Roman"/>
          <w:szCs w:val="24"/>
        </w:rPr>
      </w:pPr>
    </w:p>
    <w:p w14:paraId="0F810025" w14:textId="36551CE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Georgia v. Randolph</w:t>
      </w:r>
      <w:r w:rsidRPr="006A4CD7">
        <w:rPr>
          <w:rFonts w:cs="Times New Roman"/>
          <w:szCs w:val="24"/>
        </w:rPr>
        <w:t>, 547 U.S. 103, 106 (2006</w:t>
      </w:r>
      <w:r w:rsidR="009E6EA1" w:rsidRPr="006A4CD7">
        <w:rPr>
          <w:rFonts w:cs="Times New Roman"/>
          <w:szCs w:val="24"/>
        </w:rPr>
        <w:t>), the</w:t>
      </w:r>
      <w:r w:rsidRPr="006A4CD7">
        <w:rPr>
          <w:rFonts w:cs="Times New Roman"/>
          <w:szCs w:val="24"/>
        </w:rPr>
        <w:t xml:space="preserve"> Supreme Court reiterated this rule</w:t>
      </w:r>
      <w:r w:rsidR="00926E8E" w:rsidRPr="006A4CD7">
        <w:rPr>
          <w:rFonts w:cs="Times New Roman"/>
          <w:szCs w:val="24"/>
        </w:rPr>
        <w:t>: “</w:t>
      </w:r>
      <w:r w:rsidRPr="006A4CD7">
        <w:rPr>
          <w:rFonts w:cs="Times New Roman"/>
          <w:szCs w:val="24"/>
        </w:rPr>
        <w:t xml:space="preserve">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6A4CD7">
        <w:rPr>
          <w:rFonts w:cs="Times New Roman"/>
          <w:i/>
          <w:iCs/>
          <w:szCs w:val="24"/>
        </w:rPr>
        <w:t xml:space="preserve"> </w:t>
      </w:r>
      <w:r w:rsidRPr="006A4CD7">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r w:rsidRPr="006A4CD7">
        <w:rPr>
          <w:rFonts w:cs="Times New Roman"/>
          <w:i/>
          <w:iCs/>
          <w:szCs w:val="24"/>
        </w:rPr>
        <w:t xml:space="preserve">Id.  See also </w:t>
      </w:r>
      <w:proofErr w:type="spellStart"/>
      <w:r w:rsidRPr="006A4CD7">
        <w:rPr>
          <w:rFonts w:cs="Times New Roman"/>
          <w:i/>
          <w:iCs/>
          <w:szCs w:val="24"/>
        </w:rPr>
        <w:t>Bonivert</w:t>
      </w:r>
      <w:proofErr w:type="spellEnd"/>
      <w:r w:rsidRPr="006A4CD7">
        <w:rPr>
          <w:rFonts w:cs="Times New Roman"/>
          <w:i/>
          <w:iCs/>
          <w:szCs w:val="24"/>
        </w:rPr>
        <w:t xml:space="preserve"> v. City of Clarkston</w:t>
      </w:r>
      <w:r w:rsidRPr="006A4CD7">
        <w:rPr>
          <w:rFonts w:cs="Times New Roman"/>
          <w:szCs w:val="24"/>
        </w:rPr>
        <w:t xml:space="preserve">, 883 F.3d 865, 875 (9th Cir. 2018) (“Applying </w:t>
      </w:r>
      <w:r w:rsidRPr="006A4CD7">
        <w:rPr>
          <w:rFonts w:cs="Times New Roman"/>
          <w:i/>
          <w:iCs/>
          <w:szCs w:val="24"/>
        </w:rPr>
        <w:t>Randolph</w:t>
      </w:r>
      <w:r w:rsidRPr="006A4CD7">
        <w:rPr>
          <w:rFonts w:cs="Times New Roman"/>
          <w:szCs w:val="24"/>
        </w:rPr>
        <w:t xml:space="preserve">, we hold that the consent exception to the warrant requirement did not justify the officers’ entry into </w:t>
      </w:r>
      <w:proofErr w:type="spellStart"/>
      <w:r w:rsidRPr="00926E8E">
        <w:rPr>
          <w:rFonts w:cs="Times New Roman"/>
          <w:i/>
          <w:iCs/>
          <w:szCs w:val="24"/>
        </w:rPr>
        <w:t>Bonivert’s</w:t>
      </w:r>
      <w:proofErr w:type="spellEnd"/>
      <w:r w:rsidRPr="006A4CD7">
        <w:rPr>
          <w:rFonts w:cs="Times New Roman"/>
          <w:szCs w:val="24"/>
        </w:rPr>
        <w:t xml:space="preserve"> home.  Even though the officers secured [co-occupant] </w:t>
      </w:r>
      <w:proofErr w:type="spellStart"/>
      <w:r w:rsidRPr="00926E8E">
        <w:rPr>
          <w:rFonts w:cs="Times New Roman"/>
          <w:i/>
          <w:iCs/>
          <w:szCs w:val="24"/>
        </w:rPr>
        <w:t>Ausman’s</w:t>
      </w:r>
      <w:proofErr w:type="spellEnd"/>
      <w:r w:rsidRPr="006A4CD7">
        <w:rPr>
          <w:rFonts w:cs="Times New Roman"/>
          <w:szCs w:val="24"/>
        </w:rPr>
        <w:t xml:space="preserve"> consent, </w:t>
      </w:r>
      <w:proofErr w:type="spellStart"/>
      <w:r w:rsidRPr="00926E8E">
        <w:rPr>
          <w:rFonts w:cs="Times New Roman"/>
          <w:i/>
          <w:iCs/>
          <w:szCs w:val="24"/>
        </w:rPr>
        <w:t>Bonivert</w:t>
      </w:r>
      <w:proofErr w:type="spellEnd"/>
      <w:r w:rsidRPr="006A4CD7">
        <w:rPr>
          <w:rFonts w:cs="Times New Roman"/>
          <w:szCs w:val="24"/>
        </w:rPr>
        <w:t xml:space="preserve"> was physically present inside and expressly refused to permit the officers to enter on two different occasions”).  The Ninth Circuit has also determined that after police have obtained consent from one party, they do not have an affirmative duty to seek out a co-tenant in order to inquire if there is an objection. </w:t>
      </w:r>
      <w:r w:rsidRPr="006A4CD7">
        <w:rPr>
          <w:rFonts w:cs="Times New Roman"/>
          <w:i/>
          <w:iCs/>
          <w:szCs w:val="24"/>
        </w:rPr>
        <w:t xml:space="preserve"> See Brown</w:t>
      </w:r>
      <w:r w:rsidRPr="006A4CD7">
        <w:rPr>
          <w:rFonts w:cs="Times New Roman"/>
          <w:szCs w:val="24"/>
        </w:rPr>
        <w:t xml:space="preserve">, 563 F.3d at 416-17 (finding voluntary consent from co-occupant of residence when defendant had been arrested pursuant to valid arrest warrant and placed in squad car prior to consent discussion with co-occupant). </w:t>
      </w:r>
    </w:p>
    <w:p w14:paraId="62EF37F2" w14:textId="77777777" w:rsidR="006A4CD7" w:rsidRPr="006A4CD7" w:rsidRDefault="006A4CD7" w:rsidP="0060759C">
      <w:pPr>
        <w:autoSpaceDE w:val="0"/>
        <w:autoSpaceDN w:val="0"/>
        <w:adjustRightInd w:val="0"/>
        <w:rPr>
          <w:rFonts w:cs="Times New Roman"/>
          <w:szCs w:val="24"/>
        </w:rPr>
      </w:pPr>
    </w:p>
    <w:p w14:paraId="0E423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Randolph’s </w:t>
      </w:r>
      <w:r w:rsidRPr="006A4CD7">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6A4CD7">
        <w:rPr>
          <w:rFonts w:cs="Times New Roman"/>
          <w:i/>
          <w:iCs/>
          <w:szCs w:val="24"/>
        </w:rPr>
        <w:t>Smith v. City of Santa Clara</w:t>
      </w:r>
      <w:r w:rsidRPr="006A4CD7">
        <w:rPr>
          <w:rFonts w:cs="Times New Roman"/>
          <w:szCs w:val="24"/>
        </w:rPr>
        <w:t xml:space="preserve">, 876 F.3d 987, 992 (9th Cir. 2017) (citing </w:t>
      </w:r>
      <w:r w:rsidRPr="006A4CD7">
        <w:rPr>
          <w:rFonts w:cs="Times New Roman"/>
          <w:i/>
          <w:iCs/>
          <w:szCs w:val="24"/>
        </w:rPr>
        <w:t>United States v. Knights</w:t>
      </w:r>
      <w:r w:rsidRPr="006A4CD7">
        <w:rPr>
          <w:rFonts w:cs="Times New Roman"/>
          <w:szCs w:val="24"/>
        </w:rPr>
        <w:t>, 534 U.S. 112, 118 (2001) (rejecting jury instruction framed in terms of consent based on warrantless probation search condition)).</w:t>
      </w:r>
    </w:p>
    <w:p w14:paraId="1DE0FA8E" w14:textId="77777777" w:rsidR="006A4CD7" w:rsidRPr="006A4CD7" w:rsidRDefault="006A4CD7" w:rsidP="0060759C">
      <w:pPr>
        <w:autoSpaceDE w:val="0"/>
        <w:autoSpaceDN w:val="0"/>
        <w:adjustRightInd w:val="0"/>
        <w:rPr>
          <w:rFonts w:cs="Times New Roman"/>
          <w:szCs w:val="24"/>
        </w:rPr>
      </w:pPr>
    </w:p>
    <w:p w14:paraId="5AF8EB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 individual was told he or she was “free to leave” may implicate both the</w:t>
      </w:r>
    </w:p>
    <w:p w14:paraId="1A68F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first factor—whether the individual was in custody—and the fourth factor—whether he or</w:t>
      </w:r>
    </w:p>
    <w:p w14:paraId="48A17A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she was informed he or she could refuse consent.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United States v. Russell</w:t>
      </w:r>
      <w:r w:rsidRPr="006A4CD7">
        <w:rPr>
          <w:rFonts w:cs="Times New Roman"/>
          <w:szCs w:val="24"/>
        </w:rPr>
        <w:t>, 664 F.3d</w:t>
      </w:r>
    </w:p>
    <w:p w14:paraId="75DC4E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1279, 1281 (9th Cir. 2012) (noting that officer’s instruction that individual is free to leave is “an instructive, but certainly less clear, way of saying that consent could be refused”); </w:t>
      </w:r>
      <w:r w:rsidRPr="006A4CD7">
        <w:rPr>
          <w:rFonts w:cs="Times New Roman"/>
          <w:i/>
          <w:iCs/>
          <w:szCs w:val="24"/>
        </w:rPr>
        <w:t xml:space="preserve">United States v. </w:t>
      </w:r>
      <w:proofErr w:type="spellStart"/>
      <w:r w:rsidRPr="006A4CD7">
        <w:rPr>
          <w:rFonts w:cs="Times New Roman"/>
          <w:i/>
          <w:iCs/>
          <w:szCs w:val="24"/>
        </w:rPr>
        <w:t>Bassignani</w:t>
      </w:r>
      <w:proofErr w:type="spellEnd"/>
      <w:r w:rsidRPr="006A4CD7">
        <w:rPr>
          <w:rFonts w:cs="Times New Roman"/>
          <w:szCs w:val="24"/>
        </w:rPr>
        <w:t xml:space="preserve">, 575 F.3d 879, 886 (9th Cir. 2009) (noting that officer’s instruction that individual is free to leave is important consideration in determining whether individual is in custody); </w:t>
      </w:r>
      <w:r w:rsidRPr="006A4CD7">
        <w:rPr>
          <w:rFonts w:cs="Times New Roman"/>
          <w:i/>
          <w:iCs/>
          <w:szCs w:val="24"/>
        </w:rPr>
        <w:t>but see United States v. Stephens</w:t>
      </w:r>
      <w:r w:rsidRPr="006A4CD7">
        <w:rPr>
          <w:rFonts w:cs="Times New Roman"/>
          <w:szCs w:val="24"/>
        </w:rPr>
        <w:t>, 206 F.3d 914, 917 (9th Cir. 2000) (noting that, when searching bus passengers, “free to leave” warning is inadequate to ensure voluntariness).</w:t>
      </w:r>
    </w:p>
    <w:p w14:paraId="1FC909D6" w14:textId="77777777" w:rsidR="006A4CD7" w:rsidRPr="006A4CD7" w:rsidRDefault="006A4CD7" w:rsidP="0060759C">
      <w:pPr>
        <w:autoSpaceDE w:val="0"/>
        <w:autoSpaceDN w:val="0"/>
        <w:adjustRightInd w:val="0"/>
        <w:rPr>
          <w:rFonts w:cs="Times New Roman"/>
          <w:szCs w:val="24"/>
        </w:rPr>
      </w:pPr>
    </w:p>
    <w:p w14:paraId="7E8B2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clarified that an occupant who initially objects, but is later removed by police, is </w:t>
      </w:r>
      <w:r w:rsidRPr="006A4CD7">
        <w:rPr>
          <w:rFonts w:cs="Times New Roman"/>
          <w:i/>
          <w:iCs/>
          <w:szCs w:val="24"/>
        </w:rPr>
        <w:t>not</w:t>
      </w:r>
      <w:r w:rsidRPr="006A4CD7">
        <w:rPr>
          <w:rFonts w:cs="Times New Roman"/>
          <w:szCs w:val="24"/>
        </w:rPr>
        <w:t xml:space="preserve"> physically present for the purposes of </w:t>
      </w:r>
      <w:r w:rsidRPr="006A4CD7">
        <w:rPr>
          <w:rFonts w:cs="Times New Roman"/>
          <w:i/>
          <w:iCs/>
          <w:szCs w:val="24"/>
        </w:rPr>
        <w:t xml:space="preserve">Georgia v. Randolph </w:t>
      </w:r>
      <w:r w:rsidRPr="006A4CD7">
        <w:rPr>
          <w:rFonts w:cs="Times New Roman"/>
          <w:szCs w:val="24"/>
        </w:rPr>
        <w:t xml:space="preserve">when reasonable grounds existed for such removal or when probable cause existed for the arrest of the objecting occupant.  </w:t>
      </w:r>
      <w:r w:rsidRPr="006A4CD7">
        <w:rPr>
          <w:rFonts w:cs="Times New Roman"/>
          <w:i/>
          <w:iCs/>
          <w:szCs w:val="24"/>
        </w:rPr>
        <w:t>Fernandez v. California</w:t>
      </w:r>
      <w:r w:rsidRPr="006A4CD7">
        <w:rPr>
          <w:rFonts w:cs="Times New Roman"/>
          <w:szCs w:val="24"/>
        </w:rPr>
        <w:t xml:space="preserve">, 134 S. Ct. 1126, 1134 (2014) (upholding warrantless search of apartment when consent later obtained from co-occupant after objecting occupant arrested on suspicion of assaulting co-occupant). </w:t>
      </w:r>
    </w:p>
    <w:p w14:paraId="3ACE2D14" w14:textId="77777777" w:rsidR="006A4CD7" w:rsidRPr="006A4CD7" w:rsidRDefault="006A4CD7" w:rsidP="0060759C">
      <w:pPr>
        <w:autoSpaceDE w:val="0"/>
        <w:autoSpaceDN w:val="0"/>
        <w:adjustRightInd w:val="0"/>
        <w:rPr>
          <w:rFonts w:cs="Times New Roman"/>
          <w:szCs w:val="24"/>
        </w:rPr>
      </w:pPr>
    </w:p>
    <w:p w14:paraId="12A43E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certain circumstances, a third party may have actual or apparent authority to give consent to the search of another’s property.  </w:t>
      </w:r>
      <w:r w:rsidRPr="006A4CD7">
        <w:rPr>
          <w:rFonts w:cs="Times New Roman"/>
          <w:i/>
          <w:iCs/>
          <w:szCs w:val="24"/>
        </w:rPr>
        <w:t>United States v. Davis</w:t>
      </w:r>
      <w:r w:rsidRPr="006A4CD7">
        <w:rPr>
          <w:rFonts w:cs="Times New Roman"/>
          <w:szCs w:val="24"/>
        </w:rPr>
        <w:t xml:space="preserve">, 332 F.3d 1163, 1169 (9th Cir. 2003); </w:t>
      </w:r>
      <w:r w:rsidRPr="006A4CD7">
        <w:rPr>
          <w:rFonts w:cs="Times New Roman"/>
          <w:i/>
          <w:iCs/>
          <w:szCs w:val="24"/>
        </w:rPr>
        <w:t>see United States v. Ruiz</w:t>
      </w:r>
      <w:r w:rsidRPr="006A4CD7">
        <w:rPr>
          <w:rFonts w:cs="Times New Roman"/>
          <w:szCs w:val="24"/>
        </w:rPr>
        <w:t xml:space="preserve">, 428 F.3d 877, 880-81 (9th Cir. 2005) (citing </w:t>
      </w:r>
      <w:r w:rsidRPr="006A4CD7">
        <w:rPr>
          <w:rFonts w:cs="Times New Roman"/>
          <w:i/>
          <w:iCs/>
          <w:szCs w:val="24"/>
        </w:rPr>
        <w:t>United States v. Dearing</w:t>
      </w:r>
      <w:r w:rsidRPr="006A4CD7">
        <w:rPr>
          <w:rFonts w:cs="Times New Roman"/>
          <w:szCs w:val="24"/>
        </w:rPr>
        <w:t>, 9 F.3d 1428, 1429-30 (9th Cir. 1993) (stating three-part test to determine apparent authority of third person).  When authority to consent is factually disputed, it may be necessary to instruct the jury on these standards.</w:t>
      </w:r>
    </w:p>
    <w:p w14:paraId="4205F1C1" w14:textId="77777777" w:rsidR="006A4CD7" w:rsidRPr="006A4CD7" w:rsidRDefault="006A4CD7" w:rsidP="0060759C">
      <w:pPr>
        <w:autoSpaceDE w:val="0"/>
        <w:autoSpaceDN w:val="0"/>
        <w:adjustRightInd w:val="0"/>
        <w:rPr>
          <w:rFonts w:cs="Times New Roman"/>
          <w:szCs w:val="24"/>
        </w:rPr>
      </w:pPr>
    </w:p>
    <w:p w14:paraId="791850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Relatedly, the “knock and talk” exception, which allows officers to approach a home and</w:t>
      </w:r>
    </w:p>
    <w:p w14:paraId="34DCF0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knock on the door, does not apply when the officers’ purpose in conducting the “knock and talk”</w:t>
      </w:r>
    </w:p>
    <w:p w14:paraId="1AF769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is to arrest the occupant.  </w:t>
      </w:r>
      <w:r w:rsidRPr="006A4CD7">
        <w:rPr>
          <w:rFonts w:cs="Times New Roman"/>
          <w:i/>
          <w:iCs/>
          <w:szCs w:val="24"/>
        </w:rPr>
        <w:t>United States v. Lundin</w:t>
      </w:r>
      <w:r w:rsidRPr="006A4CD7">
        <w:rPr>
          <w:rFonts w:cs="Times New Roman"/>
          <w:szCs w:val="24"/>
        </w:rPr>
        <w:t>, 817 F.3d 1151, 1160 (9th Cir. 2016).</w:t>
      </w:r>
    </w:p>
    <w:p w14:paraId="20A01449" w14:textId="77777777" w:rsidR="006A4CD7" w:rsidRPr="006A4CD7" w:rsidRDefault="006A4CD7" w:rsidP="0060759C">
      <w:pPr>
        <w:autoSpaceDE w:val="0"/>
        <w:autoSpaceDN w:val="0"/>
        <w:adjustRightInd w:val="0"/>
        <w:rPr>
          <w:rFonts w:cs="Times New Roman"/>
          <w:szCs w:val="24"/>
        </w:rPr>
      </w:pPr>
    </w:p>
    <w:p w14:paraId="3836F6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context of an airport security screening, consent to search can be implied from the circumstances.  </w:t>
      </w:r>
      <w:r w:rsidRPr="006A4CD7">
        <w:rPr>
          <w:rFonts w:cs="Times New Roman"/>
          <w:i/>
          <w:iCs/>
          <w:szCs w:val="24"/>
        </w:rPr>
        <w:t xml:space="preserve">United States v. </w:t>
      </w:r>
      <w:proofErr w:type="spellStart"/>
      <w:r w:rsidRPr="006A4CD7">
        <w:rPr>
          <w:rFonts w:cs="Times New Roman"/>
          <w:i/>
          <w:iCs/>
          <w:szCs w:val="24"/>
        </w:rPr>
        <w:t>Aukai</w:t>
      </w:r>
      <w:proofErr w:type="spellEnd"/>
      <w:r w:rsidRPr="006A4CD7">
        <w:rPr>
          <w:rFonts w:cs="Times New Roman"/>
          <w:szCs w:val="24"/>
        </w:rPr>
        <w:t>, 440 F.3d 1168, 1179 &amp; n.10 (9th Cir. 2006).</w:t>
      </w:r>
    </w:p>
    <w:p w14:paraId="2FA819B4" w14:textId="77777777" w:rsidR="006A4CD7" w:rsidRPr="006A4CD7" w:rsidRDefault="006A4CD7" w:rsidP="0060759C">
      <w:pPr>
        <w:autoSpaceDE w:val="0"/>
        <w:autoSpaceDN w:val="0"/>
        <w:adjustRightInd w:val="0"/>
        <w:rPr>
          <w:rFonts w:cs="Times New Roman"/>
          <w:szCs w:val="24"/>
        </w:rPr>
      </w:pPr>
    </w:p>
    <w:p w14:paraId="5EEEDD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0CB203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2445E1F2" w14:textId="77777777" w:rsidR="006A4CD7" w:rsidRPr="006A4CD7" w:rsidRDefault="006A4CD7" w:rsidP="0060759C">
      <w:pPr>
        <w:autoSpaceDE w:val="0"/>
        <w:autoSpaceDN w:val="0"/>
        <w:adjustRightInd w:val="0"/>
        <w:rPr>
          <w:rFonts w:cs="Times New Roman"/>
          <w:szCs w:val="24"/>
        </w:rPr>
      </w:pPr>
    </w:p>
    <w:p w14:paraId="27F9BF8E" w14:textId="77777777" w:rsidR="006A4CD7" w:rsidRPr="006A4CD7" w:rsidRDefault="006A4CD7" w:rsidP="0060759C">
      <w:pPr>
        <w:autoSpaceDE w:val="0"/>
        <w:autoSpaceDN w:val="0"/>
        <w:adjustRightInd w:val="0"/>
        <w:rPr>
          <w:rFonts w:cs="Times New Roman"/>
          <w:szCs w:val="24"/>
        </w:rPr>
      </w:pPr>
    </w:p>
    <w:p w14:paraId="33367EBB"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A8A519" w14:textId="15882789" w:rsidR="006A4CD7" w:rsidRPr="006A4CD7" w:rsidRDefault="006A4CD7" w:rsidP="00352D49">
      <w:pPr>
        <w:pStyle w:val="Heading2"/>
      </w:pPr>
      <w:r w:rsidRPr="006A4CD7">
        <w:br w:type="page"/>
      </w:r>
      <w:bookmarkStart w:id="137" w:name="_Toc117512431"/>
      <w:r w:rsidRPr="006A4CD7">
        <w:lastRenderedPageBreak/>
        <w:t xml:space="preserve">9.16 </w:t>
      </w:r>
      <w:r w:rsidR="00884DFA" w:rsidRPr="00884DFA">
        <w:t>Particular Rights—Fourth Amendment—Unreasonable Search—Exception to Warrant Requirement—Exigent Circumstances</w:t>
      </w:r>
      <w:bookmarkEnd w:id="137"/>
    </w:p>
    <w:p w14:paraId="7CD28FC3" w14:textId="77777777" w:rsidR="006A4CD7" w:rsidRPr="006A4CD7" w:rsidRDefault="006A4CD7" w:rsidP="0060759C">
      <w:pPr>
        <w:autoSpaceDE w:val="0"/>
        <w:autoSpaceDN w:val="0"/>
        <w:adjustRightInd w:val="0"/>
        <w:rPr>
          <w:rFonts w:cs="Times New Roman"/>
          <w:szCs w:val="24"/>
        </w:rPr>
      </w:pPr>
    </w:p>
    <w:p w14:paraId="34E22A52" w14:textId="33519E6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w:t>
      </w:r>
    </w:p>
    <w:p w14:paraId="637E56A4" w14:textId="77777777" w:rsidR="006A4CD7" w:rsidRPr="006A4CD7" w:rsidRDefault="006A4CD7" w:rsidP="0060759C">
      <w:pPr>
        <w:autoSpaceDE w:val="0"/>
        <w:autoSpaceDN w:val="0"/>
        <w:adjustRightInd w:val="0"/>
        <w:rPr>
          <w:rFonts w:cs="Times New Roman"/>
          <w:szCs w:val="24"/>
        </w:rPr>
      </w:pPr>
    </w:p>
    <w:p w14:paraId="00CEBD0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or [some other consequence improperly frustrating legitimate law enforcement efforts];  </w:t>
      </w:r>
    </w:p>
    <w:p w14:paraId="16367B27" w14:textId="77777777" w:rsidR="006A4CD7" w:rsidRPr="006A4CD7" w:rsidRDefault="006A4CD7" w:rsidP="005E6F8C">
      <w:pPr>
        <w:autoSpaceDE w:val="0"/>
        <w:autoSpaceDN w:val="0"/>
        <w:adjustRightInd w:val="0"/>
        <w:ind w:left="1440" w:hanging="720"/>
        <w:rPr>
          <w:rFonts w:cs="Times New Roman"/>
          <w:szCs w:val="24"/>
        </w:rPr>
      </w:pPr>
    </w:p>
    <w:p w14:paraId="431F5731" w14:textId="77777777" w:rsidR="000C5EAE"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at the time the officer made the entry or the search, the officer had probable cause to believe that a crime had been or was being committed; and</w:t>
      </w:r>
    </w:p>
    <w:p w14:paraId="2460D7D8" w14:textId="77777777" w:rsidR="000C5EAE" w:rsidRDefault="000C5EAE" w:rsidP="005E6F8C">
      <w:pPr>
        <w:autoSpaceDE w:val="0"/>
        <w:autoSpaceDN w:val="0"/>
        <w:adjustRightInd w:val="0"/>
        <w:ind w:left="1440" w:hanging="720"/>
        <w:rPr>
          <w:rFonts w:cs="Times New Roman"/>
          <w:szCs w:val="24"/>
        </w:rPr>
      </w:pPr>
    </w:p>
    <w:p w14:paraId="32453DF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there was insufficient time to get a search warrant.  </w:t>
      </w:r>
    </w:p>
    <w:p w14:paraId="2566943B" w14:textId="77777777" w:rsidR="006A4CD7" w:rsidRPr="006A4CD7" w:rsidRDefault="006A4CD7" w:rsidP="000C5EAE"/>
    <w:p w14:paraId="6B5166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“Probable cause” exists when, under all of the circumstances known to the officer[s] at</w:t>
      </w:r>
    </w:p>
    <w:p w14:paraId="2CC54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time, an objectively reasonable police officer would conclude there is a fair probability that</w:t>
      </w:r>
    </w:p>
    <w:p w14:paraId="27C25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has committed or was committing a crime.</w:t>
      </w:r>
    </w:p>
    <w:p w14:paraId="65947CAD" w14:textId="77777777" w:rsidR="006A4CD7" w:rsidRPr="006A4CD7" w:rsidRDefault="006A4CD7" w:rsidP="0060759C">
      <w:pPr>
        <w:autoSpaceDE w:val="0"/>
        <w:autoSpaceDN w:val="0"/>
        <w:adjustRightInd w:val="0"/>
        <w:rPr>
          <w:rFonts w:cs="Times New Roman"/>
          <w:szCs w:val="24"/>
        </w:rPr>
      </w:pPr>
    </w:p>
    <w:p w14:paraId="0C7FD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1FAE3102" w14:textId="77777777" w:rsidR="006A4CD7" w:rsidRPr="006A4CD7" w:rsidRDefault="006A4CD7" w:rsidP="0060759C">
      <w:pPr>
        <w:autoSpaceDE w:val="0"/>
        <w:autoSpaceDN w:val="0"/>
        <w:adjustRightInd w:val="0"/>
        <w:rPr>
          <w:rFonts w:cs="Times New Roman"/>
          <w:szCs w:val="24"/>
        </w:rPr>
      </w:pPr>
    </w:p>
    <w:p w14:paraId="789AD41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6C789AA" w14:textId="77777777" w:rsidR="006A4CD7" w:rsidRPr="006A4CD7" w:rsidRDefault="006A4CD7" w:rsidP="005E6F8C"/>
    <w:p w14:paraId="0FF91CC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Use this instruction only in conjunction with the applicable elements instructions, Instructions 9.3–9.8 and in conjunction with Instruction 9.12 (Particular Rights—Fourth Amendment—Unreasonable Search—Generally).</w:t>
      </w:r>
    </w:p>
    <w:p w14:paraId="62D27003" w14:textId="77777777" w:rsidR="006A4CD7" w:rsidRPr="006A4CD7" w:rsidRDefault="006A4CD7" w:rsidP="0060759C">
      <w:pPr>
        <w:autoSpaceDE w:val="0"/>
        <w:autoSpaceDN w:val="0"/>
        <w:adjustRightInd w:val="0"/>
        <w:rPr>
          <w:rFonts w:cs="Times New Roman"/>
          <w:szCs w:val="24"/>
        </w:rPr>
      </w:pPr>
    </w:p>
    <w:p w14:paraId="3E1FFB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“exigent circumstances” can justify a warrantless search consistent with the Fourth Amendment.  </w:t>
      </w:r>
      <w:r w:rsidRPr="006A4CD7">
        <w:rPr>
          <w:rFonts w:cs="Times New Roman"/>
          <w:i/>
          <w:iCs/>
          <w:szCs w:val="24"/>
        </w:rPr>
        <w:t>See Missouri v. McNeely</w:t>
      </w:r>
      <w:r w:rsidRPr="006A4CD7">
        <w:rPr>
          <w:rFonts w:cs="Times New Roman"/>
          <w:szCs w:val="24"/>
        </w:rPr>
        <w:t xml:space="preserve">, 133 S. Ct. 1552, 1558-59 (2013) (discussing various “circumstances [that] may give rise to an exigency sufficient to justify a warrantless search”); </w:t>
      </w:r>
      <w:r w:rsidRPr="006A4CD7">
        <w:rPr>
          <w:rFonts w:cs="Times New Roman"/>
          <w:i/>
          <w:iCs/>
          <w:szCs w:val="24"/>
        </w:rPr>
        <w:t>see also Fisher v. City of San Jose</w:t>
      </w:r>
      <w:r w:rsidRPr="006A4CD7">
        <w:rPr>
          <w:rFonts w:cs="Times New Roman"/>
          <w:szCs w:val="24"/>
        </w:rPr>
        <w:t>, 558 F.3d 1069, 1076-78 (9th Cir. 2009) (</w:t>
      </w:r>
      <w:proofErr w:type="spellStart"/>
      <w:r w:rsidRPr="006A4CD7">
        <w:rPr>
          <w:rFonts w:cs="Times New Roman"/>
          <w:szCs w:val="24"/>
        </w:rPr>
        <w:t>en</w:t>
      </w:r>
      <w:proofErr w:type="spellEnd"/>
      <w:r w:rsidRPr="006A4CD7">
        <w:rPr>
          <w:rFonts w:cs="Times New Roman"/>
          <w:szCs w:val="24"/>
        </w:rPr>
        <w:t xml:space="preserve"> banc) (discussing exigent circumstances exception to warrant requirement in context of hours-long police standoff); </w:t>
      </w:r>
      <w:r w:rsidRPr="006A4CD7">
        <w:rPr>
          <w:rFonts w:cs="Times New Roman"/>
          <w:i/>
          <w:iCs/>
          <w:szCs w:val="24"/>
        </w:rPr>
        <w:t xml:space="preserve">Cf. </w:t>
      </w:r>
      <w:proofErr w:type="spellStart"/>
      <w:r w:rsidRPr="006A4CD7">
        <w:rPr>
          <w:rFonts w:cs="Times New Roman"/>
          <w:i/>
          <w:iCs/>
          <w:szCs w:val="24"/>
        </w:rPr>
        <w:t>Bonivert</w:t>
      </w:r>
      <w:proofErr w:type="spellEnd"/>
      <w:r w:rsidRPr="006A4CD7">
        <w:rPr>
          <w:rFonts w:cs="Times New Roman"/>
          <w:i/>
          <w:iCs/>
          <w:szCs w:val="24"/>
        </w:rPr>
        <w:t xml:space="preserve"> v. City of Clarkston</w:t>
      </w:r>
      <w:r w:rsidRPr="006A4CD7">
        <w:rPr>
          <w:rFonts w:cs="Times New Roman"/>
          <w:szCs w:val="24"/>
        </w:rPr>
        <w:t xml:space="preserve">, 883 F.3d 865, 878-79 (9th Cir. 2018) (holding that, because alleged domestic assault victim was “safely outside the home before the officers even arrived,” and officers “indisputably had no probable cause to believe that there was contraband or evidence of a crime in </w:t>
      </w:r>
      <w:proofErr w:type="spellStart"/>
      <w:r w:rsidRPr="006A4CD7">
        <w:rPr>
          <w:rFonts w:cs="Times New Roman"/>
          <w:szCs w:val="24"/>
        </w:rPr>
        <w:t>Bonivert’s</w:t>
      </w:r>
      <w:proofErr w:type="spellEnd"/>
      <w:r w:rsidRPr="006A4CD7">
        <w:rPr>
          <w:rFonts w:cs="Times New Roman"/>
          <w:szCs w:val="24"/>
        </w:rPr>
        <w:t xml:space="preserve"> house,” exigency doctrine did not justify police entry) (internal quotations and brackets omitted).  </w:t>
      </w:r>
    </w:p>
    <w:p w14:paraId="6C0EC9F1" w14:textId="77777777" w:rsidR="006A4CD7" w:rsidRPr="006A4CD7" w:rsidRDefault="006A4CD7" w:rsidP="0060759C">
      <w:pPr>
        <w:autoSpaceDE w:val="0"/>
        <w:autoSpaceDN w:val="0"/>
        <w:adjustRightInd w:val="0"/>
        <w:rPr>
          <w:rFonts w:cs="Times New Roman"/>
          <w:szCs w:val="24"/>
        </w:rPr>
      </w:pPr>
    </w:p>
    <w:p w14:paraId="0E660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officers cannot create the exigency themselves by engaging in conduct that violates the Fourth Amendment.  </w:t>
      </w:r>
      <w:r w:rsidRPr="006A4CD7">
        <w:rPr>
          <w:rFonts w:cs="Times New Roman"/>
          <w:i/>
          <w:iCs/>
          <w:szCs w:val="24"/>
        </w:rPr>
        <w:t>See United States v. Lundin</w:t>
      </w:r>
      <w:r w:rsidRPr="006A4CD7">
        <w:rPr>
          <w:rFonts w:cs="Times New Roman"/>
          <w:szCs w:val="24"/>
        </w:rPr>
        <w:t>, 817 F.3d 1151, 1158 (9th</w:t>
      </w:r>
    </w:p>
    <w:p w14:paraId="5F259329" w14:textId="77777777" w:rsidR="00926E8E" w:rsidRDefault="00926E8E" w:rsidP="0060759C">
      <w:pPr>
        <w:autoSpaceDE w:val="0"/>
        <w:autoSpaceDN w:val="0"/>
        <w:adjustRightInd w:val="0"/>
        <w:rPr>
          <w:rFonts w:cs="Times New Roman"/>
          <w:szCs w:val="24"/>
        </w:rPr>
      </w:pPr>
    </w:p>
    <w:p w14:paraId="7C64B97B" w14:textId="7A425E38"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Cir.2016) (holding that officers unlawfully created exigency when (1) their knock caused suspect</w:t>
      </w:r>
    </w:p>
    <w:p w14:paraId="3F2CA7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to make crashing noises inside home that were basis for exigency, and (2) officers were</w:t>
      </w:r>
    </w:p>
    <w:p w14:paraId="2F2AA6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unlawfully standing on curtilage of suspect’s home because it was three a.m. and their only</w:t>
      </w:r>
    </w:p>
    <w:p w14:paraId="1249A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purpose was to arrest defendant).</w:t>
      </w:r>
    </w:p>
    <w:p w14:paraId="2EEF9528" w14:textId="77777777" w:rsidR="006A4CD7" w:rsidRPr="006A4CD7" w:rsidRDefault="006A4CD7" w:rsidP="0060759C">
      <w:pPr>
        <w:autoSpaceDE w:val="0"/>
        <w:autoSpaceDN w:val="0"/>
        <w:adjustRightInd w:val="0"/>
        <w:rPr>
          <w:rFonts w:cs="Times New Roman"/>
          <w:szCs w:val="24"/>
        </w:rPr>
      </w:pPr>
    </w:p>
    <w:p w14:paraId="3839F8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6A4CD7">
        <w:rPr>
          <w:rFonts w:cs="Times New Roman"/>
          <w:i/>
          <w:iCs/>
          <w:szCs w:val="24"/>
        </w:rPr>
        <w:t xml:space="preserve"> Espinosa v. City &amp; County of San Francisco</w:t>
      </w:r>
      <w:r w:rsidRPr="006A4CD7">
        <w:rPr>
          <w:rFonts w:cs="Times New Roman"/>
          <w:szCs w:val="24"/>
        </w:rPr>
        <w:t xml:space="preserve">, 598 F.3d 528, 534 (9th Cir. 2010) (second alteration in original) (quoting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6A4CD7">
        <w:rPr>
          <w:rFonts w:cs="Times New Roman"/>
          <w:i/>
          <w:iCs/>
          <w:szCs w:val="24"/>
        </w:rPr>
        <w:t>Id.</w:t>
      </w:r>
      <w:r w:rsidRPr="006A4CD7">
        <w:rPr>
          <w:rFonts w:cs="Times New Roman"/>
          <w:szCs w:val="24"/>
        </w:rPr>
        <w:t xml:space="preserve"> at 535 (quoting </w:t>
      </w:r>
      <w:r w:rsidRPr="006A4CD7">
        <w:rPr>
          <w:rFonts w:cs="Times New Roman"/>
          <w:i/>
          <w:iCs/>
          <w:szCs w:val="24"/>
        </w:rPr>
        <w:t>United States v. Licata</w:t>
      </w:r>
      <w:r w:rsidRPr="006A4CD7">
        <w:rPr>
          <w:rFonts w:cs="Times New Roman"/>
          <w:szCs w:val="24"/>
        </w:rPr>
        <w:t xml:space="preserve">, 761 F.2d 537, 543 (9th Cir. 1985)).  Officers must use only reasonable force in carrying out the search or seizure. </w:t>
      </w:r>
      <w:r w:rsidRPr="006A4CD7">
        <w:rPr>
          <w:rFonts w:cs="Times New Roman"/>
          <w:i/>
          <w:iCs/>
          <w:szCs w:val="24"/>
        </w:rPr>
        <w:t xml:space="preserve"> Sheehan v. City &amp; County of San Francisco</w:t>
      </w:r>
      <w:r w:rsidRPr="006A4CD7">
        <w:rPr>
          <w:rFonts w:cs="Times New Roman"/>
          <w:szCs w:val="24"/>
        </w:rPr>
        <w:t xml:space="preserve">, 743 F.3d 1211, 1221 (9th Cir. 2014), </w:t>
      </w:r>
      <w:r w:rsidRPr="006A4CD7">
        <w:rPr>
          <w:rFonts w:cs="Times New Roman"/>
          <w:i/>
          <w:iCs/>
          <w:szCs w:val="24"/>
        </w:rPr>
        <w:t>reversed on other grounds</w:t>
      </w:r>
      <w:r w:rsidRPr="006A4CD7">
        <w:rPr>
          <w:rFonts w:cs="Times New Roman"/>
          <w:szCs w:val="24"/>
        </w:rPr>
        <w:t>, 135 S. Ct. 1765 (2015).</w:t>
      </w:r>
    </w:p>
    <w:p w14:paraId="22F56520" w14:textId="77777777" w:rsidR="006A4CD7" w:rsidRPr="006A4CD7" w:rsidRDefault="006A4CD7" w:rsidP="0060759C">
      <w:pPr>
        <w:autoSpaceDE w:val="0"/>
        <w:autoSpaceDN w:val="0"/>
        <w:adjustRightInd w:val="0"/>
        <w:rPr>
          <w:rFonts w:cs="Times New Roman"/>
          <w:szCs w:val="24"/>
        </w:rPr>
      </w:pPr>
    </w:p>
    <w:p w14:paraId="3B35471B" w14:textId="6DA1B8C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exigency exception may of course be invoked when police are in hot pursuit of a fleeing felon. </w:t>
      </w:r>
      <w:r w:rsidRPr="006A4CD7">
        <w:rPr>
          <w:rFonts w:cs="Times New Roman"/>
          <w:i/>
          <w:iCs/>
          <w:szCs w:val="24"/>
        </w:rPr>
        <w:t xml:space="preserve"> Fisher</w:t>
      </w:r>
      <w:r w:rsidRPr="006A4CD7">
        <w:rPr>
          <w:rFonts w:cs="Times New Roman"/>
          <w:szCs w:val="24"/>
        </w:rPr>
        <w:t xml:space="preserve">, 558 F.3d at 1082; </w:t>
      </w:r>
      <w:r w:rsidRPr="006A4CD7">
        <w:rPr>
          <w:rFonts w:cs="Times New Roman"/>
          <w:i/>
          <w:iCs/>
          <w:szCs w:val="24"/>
        </w:rPr>
        <w:t>see also United States v. Johnson</w:t>
      </w:r>
      <w:r w:rsidRPr="006A4CD7">
        <w:rPr>
          <w:rFonts w:cs="Times New Roman"/>
          <w:szCs w:val="24"/>
        </w:rPr>
        <w:t>, 256 F.3d 895, 907 (9th Cir. 2001) (</w:t>
      </w:r>
      <w:proofErr w:type="spellStart"/>
      <w:r w:rsidRPr="006A4CD7">
        <w:rPr>
          <w:rFonts w:cs="Times New Roman"/>
          <w:szCs w:val="24"/>
        </w:rPr>
        <w:t>en</w:t>
      </w:r>
      <w:proofErr w:type="spellEnd"/>
      <w:r w:rsidRPr="006A4CD7">
        <w:rPr>
          <w:rFonts w:cs="Times New Roman"/>
          <w:szCs w:val="24"/>
        </w:rPr>
        <w:t xml:space="preserve"> banc) (per </w:t>
      </w:r>
      <w:proofErr w:type="spellStart"/>
      <w:r w:rsidRPr="006A4CD7">
        <w:rPr>
          <w:rFonts w:cs="Times New Roman"/>
          <w:szCs w:val="24"/>
        </w:rPr>
        <w:t>curiam</w:t>
      </w:r>
      <w:proofErr w:type="spellEnd"/>
      <w:r w:rsidRPr="006A4CD7">
        <w:rPr>
          <w:rFonts w:cs="Times New Roman"/>
          <w:szCs w:val="24"/>
        </w:rPr>
        <w:t xml:space="preserve">).  It should also be noted, however, that exigent circumstances will rarely justify entry without a warrant while in hot pursuit of a fleeing misdemeanant.  </w:t>
      </w:r>
      <w:r w:rsidRPr="006A4CD7">
        <w:rPr>
          <w:rFonts w:cs="Times New Roman"/>
          <w:i/>
          <w:iCs/>
          <w:szCs w:val="24"/>
        </w:rPr>
        <w:t>See Stanton v. Sims</w:t>
      </w:r>
      <w:r w:rsidRPr="006A4CD7">
        <w:rPr>
          <w:rFonts w:cs="Times New Roman"/>
          <w:szCs w:val="24"/>
        </w:rPr>
        <w:t xml:space="preserve">, 134 S. Ct. 3, 6-7 (2013) (finding officer entitled to qualified </w:t>
      </w:r>
      <w:r w:rsidR="009E6EA1" w:rsidRPr="006A4CD7">
        <w:rPr>
          <w:rFonts w:cs="Times New Roman"/>
          <w:szCs w:val="24"/>
        </w:rPr>
        <w:t>immunity yet</w:t>
      </w:r>
      <w:r w:rsidRPr="006A4CD7">
        <w:rPr>
          <w:rFonts w:cs="Times New Roman"/>
          <w:szCs w:val="24"/>
        </w:rPr>
        <w:t xml:space="preserve"> emphasizing that prior Court precedent “held not that warrantless entry to arrest a misdemeanant is never justified, but only that such entry should be rare”). </w:t>
      </w:r>
    </w:p>
    <w:p w14:paraId="05F59F6B" w14:textId="77777777" w:rsidR="006A4CD7" w:rsidRPr="006A4CD7" w:rsidRDefault="006A4CD7" w:rsidP="0060759C">
      <w:pPr>
        <w:autoSpaceDE w:val="0"/>
        <w:autoSpaceDN w:val="0"/>
        <w:adjustRightInd w:val="0"/>
        <w:rPr>
          <w:rFonts w:cs="Times New Roman"/>
          <w:szCs w:val="24"/>
        </w:rPr>
      </w:pPr>
    </w:p>
    <w:p w14:paraId="3AF17F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also ruled that the natural dissipation of alcohol in the blood does not establish a </w:t>
      </w:r>
      <w:r w:rsidRPr="006A4CD7">
        <w:rPr>
          <w:rFonts w:cs="Times New Roman"/>
          <w:i/>
          <w:iCs/>
          <w:szCs w:val="24"/>
        </w:rPr>
        <w:t>per se</w:t>
      </w:r>
      <w:r w:rsidRPr="006A4CD7">
        <w:rPr>
          <w:rFonts w:cs="Times New Roman"/>
          <w:szCs w:val="24"/>
        </w:rPr>
        <w:t xml:space="preserve"> exigency, and that “[w]</w:t>
      </w:r>
      <w:proofErr w:type="spellStart"/>
      <w:r w:rsidRPr="006A4CD7">
        <w:rPr>
          <w:rFonts w:cs="Times New Roman"/>
          <w:szCs w:val="24"/>
        </w:rPr>
        <w:t>hether</w:t>
      </w:r>
      <w:proofErr w:type="spellEnd"/>
      <w:r w:rsidRPr="006A4CD7">
        <w:rPr>
          <w:rFonts w:cs="Times New Roman"/>
          <w:szCs w:val="24"/>
        </w:rPr>
        <w:t xml:space="preserve"> a warrantless blood test of a drunk-driving suspect is reasonable must be determined case by case based on the totality of the circumstances.” </w:t>
      </w:r>
      <w:r w:rsidRPr="006A4CD7">
        <w:rPr>
          <w:rFonts w:cs="Times New Roman"/>
          <w:i/>
          <w:iCs/>
          <w:szCs w:val="24"/>
        </w:rPr>
        <w:t xml:space="preserve"> McNeely</w:t>
      </w:r>
      <w:r w:rsidRPr="006A4CD7">
        <w:rPr>
          <w:rFonts w:cs="Times New Roman"/>
          <w:szCs w:val="24"/>
        </w:rPr>
        <w:t xml:space="preserve">, 133 S. Ct. at 1563; </w:t>
      </w:r>
      <w:r w:rsidRPr="006A4CD7">
        <w:rPr>
          <w:rFonts w:cs="Times New Roman"/>
          <w:i/>
          <w:iCs/>
          <w:szCs w:val="24"/>
        </w:rPr>
        <w:t>see also Hopkins</w:t>
      </w:r>
      <w:r w:rsidRPr="006A4CD7">
        <w:rPr>
          <w:rFonts w:cs="Times New Roman"/>
          <w:szCs w:val="24"/>
        </w:rPr>
        <w:t xml:space="preserve">, 573 F.3d at 769 (finding officers’ warrantless entry into DUI suspect’s home lacked probable cause and was not justified under exigent circumstances exception to warrant requirement); </w:t>
      </w:r>
      <w:r w:rsidRPr="006A4CD7">
        <w:rPr>
          <w:rFonts w:cs="Times New Roman"/>
          <w:i/>
          <w:iCs/>
          <w:szCs w:val="24"/>
        </w:rPr>
        <w:t>cf.</w:t>
      </w:r>
      <w:r w:rsidRPr="006A4CD7">
        <w:rPr>
          <w:rFonts w:cs="Times New Roman"/>
          <w:szCs w:val="24"/>
        </w:rPr>
        <w:t xml:space="preserve"> Instruction 9.13 (Particular Rights—Fourth Amendment—Unreasonable Search—Exception to</w:t>
      </w:r>
    </w:p>
    <w:p w14:paraId="5DBDA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Warrant Requirement—Search Incident to Arrest).</w:t>
      </w:r>
    </w:p>
    <w:p w14:paraId="503D5035" w14:textId="77777777" w:rsidR="006A4CD7" w:rsidRPr="006A4CD7" w:rsidRDefault="006A4CD7" w:rsidP="0060759C">
      <w:pPr>
        <w:autoSpaceDE w:val="0"/>
        <w:autoSpaceDN w:val="0"/>
        <w:adjustRightInd w:val="0"/>
        <w:rPr>
          <w:rFonts w:cs="Times New Roman"/>
          <w:szCs w:val="24"/>
        </w:rPr>
      </w:pPr>
    </w:p>
    <w:p w14:paraId="5B3AD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7A7E4A33" w14:textId="77777777" w:rsidR="006A4CD7" w:rsidRPr="006A4CD7" w:rsidRDefault="006A4CD7" w:rsidP="0060759C">
      <w:pPr>
        <w:autoSpaceDE w:val="0"/>
        <w:autoSpaceDN w:val="0"/>
        <w:adjustRightInd w:val="0"/>
        <w:rPr>
          <w:rFonts w:cs="Times New Roman"/>
          <w:szCs w:val="24"/>
        </w:rPr>
      </w:pPr>
    </w:p>
    <w:p w14:paraId="59F184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65B301F6" w14:textId="77777777" w:rsidR="00926E8E"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p>
    <w:p w14:paraId="218588C9" w14:textId="3F8B7FCF"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1ADD5732" w14:textId="77777777" w:rsidR="006A4CD7" w:rsidRPr="006A4CD7" w:rsidRDefault="006A4CD7" w:rsidP="0060759C">
      <w:pPr>
        <w:autoSpaceDE w:val="0"/>
        <w:autoSpaceDN w:val="0"/>
        <w:adjustRightInd w:val="0"/>
        <w:rPr>
          <w:rFonts w:cs="Times New Roman"/>
          <w:szCs w:val="24"/>
        </w:rPr>
      </w:pPr>
    </w:p>
    <w:p w14:paraId="3866DA47" w14:textId="77777777" w:rsidR="000C5EAE" w:rsidRDefault="000C5EAE" w:rsidP="000C5EAE"/>
    <w:p w14:paraId="5CD0A9B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4C0B95BD" w14:textId="23F23700" w:rsidR="006A4CD7" w:rsidRPr="006A4CD7" w:rsidRDefault="006A4CD7" w:rsidP="00352D49">
      <w:pPr>
        <w:pStyle w:val="Heading2"/>
      </w:pPr>
      <w:r w:rsidRPr="006A4CD7">
        <w:br w:type="page"/>
      </w:r>
      <w:bookmarkStart w:id="138" w:name="_Toc117512432"/>
      <w:r w:rsidRPr="006A4CD7">
        <w:lastRenderedPageBreak/>
        <w:t xml:space="preserve">9.17 </w:t>
      </w:r>
      <w:r w:rsidR="00884DFA" w:rsidRPr="00884DFA">
        <w:t>Particular Rights—Fourth Amendment—Unreasonable Search—Exception to Warrant Requirement—Emergency Aid</w:t>
      </w:r>
      <w:bookmarkEnd w:id="138"/>
    </w:p>
    <w:p w14:paraId="737C5FB4" w14:textId="77777777" w:rsidR="006A4CD7" w:rsidRPr="006A4CD7" w:rsidRDefault="006A4CD7" w:rsidP="0060759C">
      <w:pPr>
        <w:autoSpaceDE w:val="0"/>
        <w:autoSpaceDN w:val="0"/>
        <w:adjustRightInd w:val="0"/>
        <w:rPr>
          <w:rFonts w:cs="Times New Roman"/>
          <w:szCs w:val="24"/>
        </w:rPr>
      </w:pPr>
    </w:p>
    <w:p w14:paraId="057079C0" w14:textId="430AEF01"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under all of the circumstances:</w:t>
      </w:r>
    </w:p>
    <w:p w14:paraId="46FB69E1" w14:textId="77777777" w:rsidR="006A4CD7" w:rsidRPr="006A4CD7" w:rsidRDefault="006A4CD7" w:rsidP="000C5EAE"/>
    <w:p w14:paraId="3619C03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14F0ECC2" w14:textId="77777777" w:rsidR="006A4CD7" w:rsidRPr="006A4CD7" w:rsidRDefault="006A4CD7" w:rsidP="005E6F8C">
      <w:pPr>
        <w:autoSpaceDE w:val="0"/>
        <w:autoSpaceDN w:val="0"/>
        <w:adjustRightInd w:val="0"/>
        <w:ind w:left="1440" w:hanging="720"/>
        <w:rPr>
          <w:rFonts w:cs="Times New Roman"/>
          <w:szCs w:val="24"/>
        </w:rPr>
      </w:pPr>
    </w:p>
    <w:p w14:paraId="79B786F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search’s scope and manner were reasonable to meet the need.</w:t>
      </w:r>
    </w:p>
    <w:p w14:paraId="10C1D6A7" w14:textId="77777777" w:rsidR="006A4CD7" w:rsidRPr="006A4CD7" w:rsidRDefault="006A4CD7" w:rsidP="0060759C">
      <w:pPr>
        <w:autoSpaceDE w:val="0"/>
        <w:autoSpaceDN w:val="0"/>
        <w:adjustRightInd w:val="0"/>
        <w:rPr>
          <w:rFonts w:cs="Times New Roman"/>
          <w:szCs w:val="24"/>
        </w:rPr>
      </w:pPr>
    </w:p>
    <w:p w14:paraId="775470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7D6142D2" w14:textId="77777777" w:rsidR="006A4CD7" w:rsidRPr="006A4CD7" w:rsidRDefault="006A4CD7" w:rsidP="0060759C">
      <w:pPr>
        <w:autoSpaceDE w:val="0"/>
        <w:autoSpaceDN w:val="0"/>
        <w:adjustRightInd w:val="0"/>
        <w:rPr>
          <w:rFonts w:cs="Times New Roman"/>
          <w:szCs w:val="24"/>
        </w:rPr>
      </w:pPr>
    </w:p>
    <w:p w14:paraId="174D5A8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646E8" w14:textId="77777777" w:rsidR="006A4CD7" w:rsidRPr="006A4CD7" w:rsidRDefault="006A4CD7" w:rsidP="0060759C">
      <w:pPr>
        <w:autoSpaceDE w:val="0"/>
        <w:autoSpaceDN w:val="0"/>
        <w:adjustRightInd w:val="0"/>
        <w:rPr>
          <w:rFonts w:cs="Times New Roman"/>
          <w:szCs w:val="24"/>
        </w:rPr>
      </w:pPr>
    </w:p>
    <w:p w14:paraId="592AFA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w:t>
      </w:r>
    </w:p>
    <w:p w14:paraId="60DF1111" w14:textId="77777777" w:rsidR="006A4CD7" w:rsidRPr="006A4CD7" w:rsidRDefault="006A4CD7" w:rsidP="0060759C">
      <w:pPr>
        <w:autoSpaceDE w:val="0"/>
        <w:autoSpaceDN w:val="0"/>
        <w:adjustRightInd w:val="0"/>
        <w:rPr>
          <w:rFonts w:cs="Times New Roman"/>
          <w:szCs w:val="24"/>
        </w:rPr>
      </w:pPr>
    </w:p>
    <w:p w14:paraId="689E9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6A4CD7">
        <w:rPr>
          <w:rFonts w:cs="Times New Roman"/>
          <w:i/>
          <w:iCs/>
          <w:szCs w:val="24"/>
        </w:rPr>
        <w:t>United States v. Snipe</w:t>
      </w:r>
      <w:r w:rsidRPr="006A4CD7">
        <w:rPr>
          <w:rFonts w:cs="Times New Roman"/>
          <w:szCs w:val="24"/>
        </w:rPr>
        <w:t xml:space="preserve">, 515 F.3d 947, 951 (9th Cir. 2008) (quoting </w:t>
      </w:r>
      <w:r w:rsidRPr="006A4CD7">
        <w:rPr>
          <w:rFonts w:cs="Times New Roman"/>
          <w:i/>
          <w:iCs/>
          <w:szCs w:val="24"/>
        </w:rPr>
        <w:t>Brigham City v. Stuart</w:t>
      </w:r>
      <w:r w:rsidRPr="006A4CD7">
        <w:rPr>
          <w:rFonts w:cs="Times New Roman"/>
          <w:szCs w:val="24"/>
        </w:rPr>
        <w:t xml:space="preserve">, 547 U.S. 398, 403 (2006)); </w:t>
      </w:r>
      <w:r w:rsidRPr="006A4CD7">
        <w:rPr>
          <w:rFonts w:cs="Times New Roman"/>
          <w:i/>
          <w:iCs/>
          <w:szCs w:val="24"/>
        </w:rPr>
        <w:t xml:space="preserve">see also </w:t>
      </w:r>
      <w:proofErr w:type="spellStart"/>
      <w:r w:rsidRPr="006A4CD7">
        <w:rPr>
          <w:rFonts w:cs="Times New Roman"/>
          <w:i/>
          <w:iCs/>
          <w:szCs w:val="24"/>
        </w:rPr>
        <w:t>Bonivert</w:t>
      </w:r>
      <w:proofErr w:type="spellEnd"/>
      <w:r w:rsidRPr="006A4CD7">
        <w:rPr>
          <w:rFonts w:cs="Times New Roman"/>
          <w:i/>
          <w:iCs/>
          <w:szCs w:val="24"/>
        </w:rPr>
        <w:t xml:space="preserve"> v. City of Clarkston</w:t>
      </w:r>
      <w:r w:rsidRPr="006A4CD7">
        <w:rPr>
          <w:rFonts w:cs="Times New Roman"/>
          <w:szCs w:val="24"/>
        </w:rPr>
        <w:t xml:space="preserve">, 883 F.3d 865, 877 (9th Cir. 2018) (noting that “the emergency exception is ‘narrow’ and ‘rigorously guarded’”).  </w:t>
      </w:r>
    </w:p>
    <w:p w14:paraId="2694B0F7" w14:textId="77777777" w:rsidR="006A4CD7" w:rsidRPr="006A4CD7" w:rsidRDefault="006A4CD7" w:rsidP="0060759C">
      <w:pPr>
        <w:autoSpaceDE w:val="0"/>
        <w:autoSpaceDN w:val="0"/>
        <w:adjustRightInd w:val="0"/>
        <w:rPr>
          <w:rFonts w:cs="Times New Roman"/>
          <w:szCs w:val="24"/>
        </w:rPr>
      </w:pPr>
    </w:p>
    <w:p w14:paraId="3155A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emergency doctrine recognizes that police function as community caretakers in addition to their roles as criminal investigators and law enforcers.  </w:t>
      </w:r>
      <w:r w:rsidRPr="006A4CD7">
        <w:rPr>
          <w:rFonts w:cs="Times New Roman"/>
          <w:i/>
          <w:iCs/>
          <w:szCs w:val="24"/>
        </w:rPr>
        <w:t>Espinosa v. City &amp; County of San Francisco</w:t>
      </w:r>
      <w:r w:rsidRPr="006A4CD7">
        <w:rPr>
          <w:rFonts w:cs="Times New Roman"/>
          <w:szCs w:val="24"/>
        </w:rPr>
        <w:t xml:space="preserve">, 598 F.3d 528, 534 (9th Cir. 2010).   </w:t>
      </w:r>
    </w:p>
    <w:p w14:paraId="3E1C0C81" w14:textId="77777777" w:rsidR="006A4CD7" w:rsidRPr="006A4CD7" w:rsidRDefault="006A4CD7" w:rsidP="0060759C">
      <w:pPr>
        <w:autoSpaceDE w:val="0"/>
        <w:autoSpaceDN w:val="0"/>
        <w:adjustRightInd w:val="0"/>
        <w:rPr>
          <w:rFonts w:cs="Times New Roman"/>
          <w:szCs w:val="24"/>
        </w:rPr>
      </w:pPr>
    </w:p>
    <w:p w14:paraId="551883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6A4CD7">
        <w:rPr>
          <w:rFonts w:cs="Times New Roman"/>
          <w:i/>
          <w:iCs/>
          <w:szCs w:val="24"/>
        </w:rPr>
        <w:t xml:space="preserve"> Sheehan v. City &amp; County of San Francisco</w:t>
      </w:r>
      <w:r w:rsidRPr="006A4CD7">
        <w:rPr>
          <w:rFonts w:cs="Times New Roman"/>
          <w:szCs w:val="24"/>
        </w:rPr>
        <w:t xml:space="preserve">, 743 F.3d 1211, 1221 (9th Cir. 2014) (quoting </w:t>
      </w:r>
      <w:r w:rsidRPr="006A4CD7">
        <w:rPr>
          <w:rFonts w:cs="Times New Roman"/>
          <w:i/>
          <w:iCs/>
          <w:szCs w:val="24"/>
        </w:rPr>
        <w:t>Snipe</w:t>
      </w:r>
      <w:r w:rsidRPr="006A4CD7">
        <w:rPr>
          <w:rFonts w:cs="Times New Roman"/>
          <w:szCs w:val="24"/>
        </w:rPr>
        <w:t>, 515 F.3d at 952);</w:t>
      </w:r>
      <w:r w:rsidRPr="006A4CD7">
        <w:rPr>
          <w:rFonts w:cs="Times New Roman"/>
          <w:i/>
          <w:iCs/>
          <w:szCs w:val="24"/>
        </w:rPr>
        <w:t xml:space="preserve"> see also Ames v. King </w:t>
      </w:r>
      <w:proofErr w:type="spellStart"/>
      <w:r w:rsidRPr="006A4CD7">
        <w:rPr>
          <w:rFonts w:cs="Times New Roman"/>
          <w:i/>
          <w:iCs/>
          <w:szCs w:val="24"/>
        </w:rPr>
        <w:t>Cnty</w:t>
      </w:r>
      <w:proofErr w:type="spellEnd"/>
      <w:r w:rsidRPr="006A4CD7">
        <w:rPr>
          <w:rFonts w:cs="Times New Roman"/>
          <w:i/>
          <w:iCs/>
          <w:szCs w:val="24"/>
        </w:rPr>
        <w:t>.</w:t>
      </w:r>
      <w:r w:rsidRPr="006A4CD7">
        <w:rPr>
          <w:rFonts w:cs="Times New Roman"/>
          <w:szCs w:val="24"/>
        </w:rPr>
        <w:t xml:space="preserve">, 846 F.3d 340, 351 (9th Cir. 2017) (applying the exception);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573 F.3d 752, 763-66 (9th Cir. 2009) (explaining difference between emergency and related exigency exceptions).</w:t>
      </w:r>
    </w:p>
    <w:p w14:paraId="287159DE" w14:textId="77777777" w:rsidR="006A4CD7" w:rsidRPr="006A4CD7" w:rsidRDefault="006A4CD7" w:rsidP="0060759C">
      <w:pPr>
        <w:autoSpaceDE w:val="0"/>
        <w:autoSpaceDN w:val="0"/>
        <w:adjustRightInd w:val="0"/>
        <w:rPr>
          <w:rFonts w:cs="Times New Roman"/>
          <w:szCs w:val="24"/>
        </w:rPr>
      </w:pPr>
    </w:p>
    <w:p w14:paraId="21121ED6"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w:t>
      </w:r>
    </w:p>
    <w:p w14:paraId="1F916507" w14:textId="1F5F2B7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27DD8D0B" w14:textId="77777777" w:rsidR="006A4CD7" w:rsidRPr="006A4CD7" w:rsidRDefault="006A4CD7" w:rsidP="0060759C">
      <w:pPr>
        <w:autoSpaceDE w:val="0"/>
        <w:autoSpaceDN w:val="0"/>
        <w:adjustRightInd w:val="0"/>
        <w:rPr>
          <w:rFonts w:cs="Times New Roman"/>
          <w:szCs w:val="24"/>
        </w:rPr>
      </w:pPr>
    </w:p>
    <w:p w14:paraId="7978AE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5BCAD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proofErr w:type="spellStart"/>
      <w:r w:rsidRPr="006A4CD7">
        <w:rPr>
          <w:rFonts w:cs="Times New Roman"/>
          <w:i/>
          <w:iCs/>
          <w:szCs w:val="24"/>
        </w:rPr>
        <w:t>Larez</w:t>
      </w:r>
      <w:proofErr w:type="spellEnd"/>
      <w:r w:rsidRPr="006A4CD7">
        <w:rPr>
          <w:rFonts w:cs="Times New Roman"/>
          <w:i/>
          <w:iCs/>
          <w:szCs w:val="24"/>
        </w:rPr>
        <w:t xml:space="preserve">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Mueller v. </w:t>
      </w:r>
      <w:proofErr w:type="spellStart"/>
      <w:r w:rsidRPr="006A4CD7">
        <w:rPr>
          <w:rFonts w:cs="Times New Roman"/>
          <w:i/>
          <w:iCs/>
          <w:szCs w:val="24"/>
        </w:rPr>
        <w:t>Auker</w:t>
      </w:r>
      <w:proofErr w:type="spellEnd"/>
      <w:r w:rsidRPr="006A4CD7">
        <w:rPr>
          <w:rFonts w:cs="Times New Roman"/>
          <w:szCs w:val="24"/>
        </w:rPr>
        <w:t xml:space="preserve">, 700 F.3d 1180, 1193 (9th Cir. 2012) (placing burden on plaintiff to establish absence of imminent danger in claim of interference with parent-child relationship);  </w:t>
      </w:r>
      <w:proofErr w:type="spellStart"/>
      <w:r w:rsidRPr="006A4CD7">
        <w:rPr>
          <w:rFonts w:cs="Times New Roman"/>
          <w:i/>
          <w:iCs/>
          <w:szCs w:val="24"/>
        </w:rPr>
        <w:t>Pavao</w:t>
      </w:r>
      <w:proofErr w:type="spellEnd"/>
      <w:r w:rsidRPr="006A4CD7">
        <w:rPr>
          <w:rFonts w:cs="Times New Roman"/>
          <w:i/>
          <w:iCs/>
          <w:szCs w:val="24"/>
        </w:rPr>
        <w:t xml:space="preserve"> v. </w:t>
      </w:r>
      <w:proofErr w:type="spellStart"/>
      <w:r w:rsidRPr="006A4CD7">
        <w:rPr>
          <w:rFonts w:cs="Times New Roman"/>
          <w:i/>
          <w:iCs/>
          <w:szCs w:val="24"/>
        </w:rPr>
        <w:t>Pagay</w:t>
      </w:r>
      <w:proofErr w:type="spellEnd"/>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 xml:space="preserve">cf. Hopkins v. </w:t>
      </w:r>
      <w:proofErr w:type="spellStart"/>
      <w:r w:rsidRPr="006A4CD7">
        <w:rPr>
          <w:rFonts w:cs="Times New Roman"/>
          <w:i/>
          <w:iCs/>
          <w:szCs w:val="24"/>
        </w:rPr>
        <w:t>Bonvicino</w:t>
      </w:r>
      <w:proofErr w:type="spellEnd"/>
      <w:r w:rsidRPr="006A4CD7">
        <w:rPr>
          <w:rFonts w:cs="Times New Roman"/>
          <w:szCs w:val="24"/>
        </w:rPr>
        <w:t xml:space="preserve">, 573 F.3d 752, 764 (9th Cir. 2009) (placing burden on defendant to show existence of exigent circumstance at summary judgment stage). </w:t>
      </w:r>
    </w:p>
    <w:p w14:paraId="5268849B" w14:textId="77777777" w:rsidR="006A4CD7" w:rsidRPr="006A4CD7" w:rsidRDefault="006A4CD7" w:rsidP="0060759C">
      <w:pPr>
        <w:autoSpaceDE w:val="0"/>
        <w:autoSpaceDN w:val="0"/>
        <w:adjustRightInd w:val="0"/>
        <w:rPr>
          <w:rFonts w:cs="Times New Roman"/>
          <w:szCs w:val="24"/>
        </w:rPr>
      </w:pPr>
    </w:p>
    <w:p w14:paraId="0EB41AA9" w14:textId="77777777" w:rsidR="006A4CD7" w:rsidRPr="006A4CD7" w:rsidRDefault="006A4CD7" w:rsidP="0060759C">
      <w:pPr>
        <w:autoSpaceDE w:val="0"/>
        <w:autoSpaceDN w:val="0"/>
        <w:adjustRightInd w:val="0"/>
        <w:rPr>
          <w:rFonts w:cs="Times New Roman"/>
          <w:szCs w:val="24"/>
        </w:rPr>
      </w:pPr>
    </w:p>
    <w:p w14:paraId="2E6F6B89"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37D2BB5" w14:textId="77777777" w:rsidR="006A4CD7" w:rsidRPr="006A4CD7" w:rsidRDefault="006A4CD7" w:rsidP="0060759C">
      <w:pPr>
        <w:autoSpaceDE w:val="0"/>
        <w:autoSpaceDN w:val="0"/>
        <w:adjustRightInd w:val="0"/>
        <w:rPr>
          <w:rFonts w:cs="Times New Roman"/>
          <w:szCs w:val="24"/>
        </w:rPr>
      </w:pPr>
    </w:p>
    <w:p w14:paraId="7402766C" w14:textId="3D821541" w:rsidR="006A4CD7" w:rsidRPr="006A4CD7" w:rsidRDefault="006A4CD7" w:rsidP="00352D49">
      <w:pPr>
        <w:pStyle w:val="Heading2"/>
      </w:pPr>
      <w:r w:rsidRPr="006A4CD7">
        <w:br w:type="page"/>
      </w:r>
      <w:bookmarkStart w:id="139" w:name="_Toc117512433"/>
      <w:r w:rsidRPr="006A4CD7">
        <w:lastRenderedPageBreak/>
        <w:t xml:space="preserve">9.17A </w:t>
      </w:r>
      <w:r w:rsidR="00884DFA" w:rsidRPr="00884DFA">
        <w:t>Particular Rights—Fourth Amendment—Unreasonable Search— Judicial Deception</w:t>
      </w:r>
      <w:bookmarkEnd w:id="139"/>
    </w:p>
    <w:p w14:paraId="1D860BDE" w14:textId="77777777" w:rsidR="006A4CD7" w:rsidRPr="006A4CD7" w:rsidRDefault="006A4CD7" w:rsidP="000C5EAE"/>
    <w:p w14:paraId="3A81F6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  In this case, the plaintiff alleges the defendant[s] deprived the plaintiff of [his] [her] rights under the Fourth Amendment to the Constitution when the defendant[s] intentionally or in reckless disregard of the truth made one or more material misrepresentations or omissions in a search warrant affidavit submitted to a judge.</w:t>
      </w:r>
    </w:p>
    <w:p w14:paraId="26CFD9DA" w14:textId="77777777" w:rsidR="006A4CD7" w:rsidRPr="006A4CD7" w:rsidRDefault="006A4CD7" w:rsidP="0060759C">
      <w:pPr>
        <w:autoSpaceDE w:val="0"/>
        <w:autoSpaceDN w:val="0"/>
        <w:adjustRightInd w:val="0"/>
        <w:rPr>
          <w:rFonts w:cs="Times New Roman"/>
          <w:szCs w:val="24"/>
        </w:rPr>
      </w:pPr>
    </w:p>
    <w:p w14:paraId="0EE53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search of [his] [her] [person] [residence] [vehicle] [</w:t>
      </w:r>
      <w:r w:rsidRPr="006A4CD7">
        <w:rPr>
          <w:rFonts w:cs="Times New Roman"/>
          <w:i/>
          <w:iCs/>
          <w:szCs w:val="24"/>
          <w:u w:val="single"/>
        </w:rPr>
        <w:t>insert other object of search</w:t>
      </w:r>
      <w:r w:rsidRPr="006A4CD7">
        <w:rPr>
          <w:rFonts w:cs="Times New Roman"/>
          <w:szCs w:val="24"/>
        </w:rPr>
        <w:t>].  In general, a search of a [person] [residence] [vehicle] [</w:t>
      </w:r>
      <w:r w:rsidRPr="006A4CD7">
        <w:rPr>
          <w:rFonts w:cs="Times New Roman"/>
          <w:i/>
          <w:iCs/>
          <w:szCs w:val="24"/>
          <w:u w:val="single"/>
        </w:rPr>
        <w:t>insert other object of search</w:t>
      </w:r>
      <w:r w:rsidRPr="006A4CD7">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B944CCC" w14:textId="77777777" w:rsidR="006A4CD7" w:rsidRPr="006A4CD7" w:rsidRDefault="006A4CD7" w:rsidP="0060759C">
      <w:pPr>
        <w:autoSpaceDE w:val="0"/>
        <w:autoSpaceDN w:val="0"/>
        <w:adjustRightInd w:val="0"/>
        <w:rPr>
          <w:rFonts w:cs="Times New Roman"/>
          <w:szCs w:val="24"/>
        </w:rPr>
      </w:pPr>
    </w:p>
    <w:p w14:paraId="5352D7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the defendant[s] deprived the plaintiff of this Fourth Amendment</w:t>
      </w:r>
    </w:p>
    <w:p w14:paraId="2C1E1A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right, the plaintiff must prove the following additional elements by a preponderance of the</w:t>
      </w:r>
    </w:p>
    <w:p w14:paraId="19F528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w:t>
      </w:r>
    </w:p>
    <w:p w14:paraId="6D2037F3" w14:textId="77777777" w:rsidR="006A4CD7" w:rsidRPr="006A4CD7" w:rsidRDefault="006A4CD7" w:rsidP="0060759C">
      <w:pPr>
        <w:autoSpaceDE w:val="0"/>
        <w:autoSpaceDN w:val="0"/>
        <w:adjustRightInd w:val="0"/>
        <w:rPr>
          <w:rFonts w:cs="Times New Roman"/>
          <w:szCs w:val="24"/>
        </w:rPr>
      </w:pPr>
    </w:p>
    <w:p w14:paraId="080F69F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submitted to a judge a warrant affidavit that contained one or more misrepresentations or omissions material to the finding of probable cause; and</w:t>
      </w:r>
    </w:p>
    <w:p w14:paraId="526169AC" w14:textId="77777777" w:rsidR="006A4CD7" w:rsidRPr="006A4CD7" w:rsidRDefault="006A4CD7" w:rsidP="005E6F8C">
      <w:pPr>
        <w:autoSpaceDE w:val="0"/>
        <w:autoSpaceDN w:val="0"/>
        <w:adjustRightInd w:val="0"/>
        <w:ind w:left="1440" w:hanging="720"/>
        <w:rPr>
          <w:rFonts w:cs="Times New Roman"/>
          <w:szCs w:val="24"/>
        </w:rPr>
      </w:pPr>
    </w:p>
    <w:p w14:paraId="7E1FBAC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made those misrepresentations or omissions either intentionally or with reckless disregard for the truth.</w:t>
      </w:r>
    </w:p>
    <w:p w14:paraId="224C8510" w14:textId="77777777" w:rsidR="006A4CD7" w:rsidRPr="006A4CD7" w:rsidRDefault="006A4CD7" w:rsidP="0060759C">
      <w:pPr>
        <w:autoSpaceDE w:val="0"/>
        <w:autoSpaceDN w:val="0"/>
        <w:adjustRightInd w:val="0"/>
        <w:rPr>
          <w:rFonts w:cs="Times New Roman"/>
          <w:szCs w:val="24"/>
        </w:rPr>
      </w:pPr>
    </w:p>
    <w:p w14:paraId="6C996F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5558A180" w14:textId="77777777" w:rsidR="006A4CD7" w:rsidRPr="006A4CD7" w:rsidRDefault="006A4CD7" w:rsidP="0060759C">
      <w:pPr>
        <w:autoSpaceDE w:val="0"/>
        <w:autoSpaceDN w:val="0"/>
        <w:adjustRightInd w:val="0"/>
        <w:rPr>
          <w:rFonts w:cs="Times New Roman"/>
          <w:szCs w:val="24"/>
        </w:rPr>
      </w:pPr>
    </w:p>
    <w:p w14:paraId="443897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4A120D3D" w14:textId="77777777" w:rsidR="006A4CD7" w:rsidRPr="006A4CD7" w:rsidRDefault="006A4CD7" w:rsidP="0060759C">
      <w:pPr>
        <w:autoSpaceDE w:val="0"/>
        <w:autoSpaceDN w:val="0"/>
        <w:adjustRightInd w:val="0"/>
        <w:rPr>
          <w:rFonts w:cs="Times New Roman"/>
          <w:szCs w:val="24"/>
        </w:rPr>
      </w:pPr>
    </w:p>
    <w:p w14:paraId="3192BEF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5B3FEF6" w14:textId="77777777" w:rsidR="006A4CD7" w:rsidRPr="006A4CD7" w:rsidRDefault="006A4CD7" w:rsidP="005E6F8C"/>
    <w:p w14:paraId="454914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1F9C041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 Bravo v. City of Santa Maria</w:t>
      </w:r>
      <w:r w:rsidRPr="006A4CD7">
        <w:rPr>
          <w:rFonts w:cs="Times New Roman"/>
          <w:szCs w:val="24"/>
        </w:rPr>
        <w:t xml:space="preserve">, 665 F.3d 1076, 1083-88 (9th Cir. 2011) (stating elements of civil rights claim based on judicial deception in procuring search warrant); </w:t>
      </w:r>
      <w:r w:rsidRPr="006A4CD7">
        <w:rPr>
          <w:rFonts w:cs="Times New Roman"/>
          <w:i/>
          <w:iCs/>
          <w:szCs w:val="24"/>
        </w:rPr>
        <w:t>see</w:t>
      </w:r>
    </w:p>
    <w:p w14:paraId="3F55E2D0" w14:textId="05C4B874" w:rsidR="006A4CD7" w:rsidRPr="006A4CD7" w:rsidRDefault="000A337A" w:rsidP="0060759C">
      <w:pPr>
        <w:autoSpaceDE w:val="0"/>
        <w:autoSpaceDN w:val="0"/>
        <w:adjustRightInd w:val="0"/>
        <w:rPr>
          <w:rFonts w:cs="Times New Roman"/>
          <w:szCs w:val="24"/>
        </w:rPr>
      </w:pPr>
      <w:r w:rsidRPr="006A4CD7">
        <w:rPr>
          <w:rFonts w:cs="Times New Roman"/>
          <w:i/>
          <w:iCs/>
          <w:szCs w:val="24"/>
        </w:rPr>
        <w:lastRenderedPageBreak/>
        <w:t>also,</w:t>
      </w:r>
      <w:r w:rsidR="006A4CD7" w:rsidRPr="006A4CD7">
        <w:rPr>
          <w:rFonts w:cs="Times New Roman"/>
          <w:i/>
          <w:iCs/>
          <w:szCs w:val="24"/>
        </w:rPr>
        <w:t xml:space="preserve"> Smith v. Almada</w:t>
      </w:r>
      <w:r w:rsidR="006A4CD7" w:rsidRPr="006A4CD7">
        <w:rPr>
          <w:rFonts w:cs="Times New Roman"/>
          <w:szCs w:val="24"/>
        </w:rPr>
        <w:t xml:space="preserve">, 640 F.3d 931, 937 (9th Cir. 2011) (discussing false arrest claim based on judicial deception in procuring arrest warrant and also discussing materiality requirement); </w:t>
      </w:r>
      <w:r w:rsidR="006A4CD7" w:rsidRPr="006A4CD7">
        <w:rPr>
          <w:rFonts w:cs="Times New Roman"/>
          <w:i/>
          <w:iCs/>
          <w:szCs w:val="24"/>
        </w:rPr>
        <w:t>Blight v. City of Manteca</w:t>
      </w:r>
      <w:r w:rsidR="006A4CD7" w:rsidRPr="006A4CD7">
        <w:rPr>
          <w:rFonts w:cs="Times New Roman"/>
          <w:szCs w:val="24"/>
        </w:rPr>
        <w:t>, 944 F.3d 1061, 1069 (9th Cir. 2019) (determining no judicial deception in search warrant affidavit).</w:t>
      </w:r>
    </w:p>
    <w:p w14:paraId="5CEB1416" w14:textId="77777777" w:rsidR="006A4CD7" w:rsidRPr="006A4CD7" w:rsidRDefault="006A4CD7" w:rsidP="0060759C">
      <w:pPr>
        <w:autoSpaceDE w:val="0"/>
        <w:autoSpaceDN w:val="0"/>
        <w:adjustRightInd w:val="0"/>
        <w:rPr>
          <w:rFonts w:cs="Times New Roman"/>
          <w:szCs w:val="24"/>
        </w:rPr>
      </w:pPr>
    </w:p>
    <w:p w14:paraId="416E779E" w14:textId="77777777" w:rsidR="006A4CD7" w:rsidRPr="006A4CD7" w:rsidRDefault="006A4CD7" w:rsidP="0060759C">
      <w:pPr>
        <w:autoSpaceDE w:val="0"/>
        <w:autoSpaceDN w:val="0"/>
        <w:adjustRightInd w:val="0"/>
        <w:rPr>
          <w:rFonts w:cs="Times New Roman"/>
          <w:szCs w:val="24"/>
        </w:rPr>
      </w:pPr>
    </w:p>
    <w:p w14:paraId="45EFCA41"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1B2F01FF" w14:textId="1CFB47BB" w:rsidR="006A4CD7" w:rsidRPr="006A4CD7" w:rsidRDefault="006A4CD7" w:rsidP="00352D49">
      <w:pPr>
        <w:pStyle w:val="Heading2"/>
      </w:pPr>
      <w:r w:rsidRPr="006A4CD7">
        <w:br w:type="page"/>
      </w:r>
      <w:bookmarkStart w:id="140" w:name="_Toc117512434"/>
      <w:r w:rsidRPr="006A4CD7">
        <w:lastRenderedPageBreak/>
        <w:t xml:space="preserve">9.18 </w:t>
      </w:r>
      <w:r w:rsidR="00884DFA" w:rsidRPr="00884DFA">
        <w:t>Particular Rights—Fourth Amendment—Unreasonable Seizure of Property—Generally</w:t>
      </w:r>
      <w:bookmarkEnd w:id="140"/>
    </w:p>
    <w:p w14:paraId="756C5A11" w14:textId="77777777" w:rsidR="006A4CD7" w:rsidRPr="006A4CD7" w:rsidRDefault="006A4CD7" w:rsidP="0060759C">
      <w:pPr>
        <w:autoSpaceDE w:val="0"/>
        <w:autoSpaceDN w:val="0"/>
        <w:adjustRightInd w:val="0"/>
        <w:rPr>
          <w:rFonts w:cs="Times New Roman"/>
          <w:szCs w:val="24"/>
        </w:rPr>
      </w:pPr>
    </w:p>
    <w:p w14:paraId="58C8347D"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392720F" w14:textId="77777777" w:rsidR="006A4CD7" w:rsidRPr="006A4CD7" w:rsidRDefault="006A4CD7" w:rsidP="0060759C">
      <w:pPr>
        <w:autoSpaceDE w:val="0"/>
        <w:autoSpaceDN w:val="0"/>
        <w:adjustRightInd w:val="0"/>
        <w:rPr>
          <w:rFonts w:cs="Times New Roman"/>
          <w:szCs w:val="24"/>
        </w:rPr>
      </w:pPr>
    </w:p>
    <w:p w14:paraId="742E6A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property.  In order to prove the defendant[s] deprived the plaintiff of this Fourth Amendment right, the plaintiff must prove the following additional elements by a preponderance of the evidence:</w:t>
      </w:r>
    </w:p>
    <w:p w14:paraId="33B24A9F" w14:textId="77777777" w:rsidR="006A4CD7" w:rsidRPr="006A4CD7" w:rsidRDefault="006A4CD7" w:rsidP="0060759C">
      <w:pPr>
        <w:autoSpaceDE w:val="0"/>
        <w:autoSpaceDN w:val="0"/>
        <w:adjustRightInd w:val="0"/>
        <w:rPr>
          <w:rFonts w:cs="Times New Roman"/>
          <w:szCs w:val="24"/>
        </w:rPr>
      </w:pPr>
    </w:p>
    <w:p w14:paraId="59E5867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name[s] of applicable defendant[s]</w:t>
      </w:r>
      <w:r w:rsidRPr="006A4CD7">
        <w:rPr>
          <w:rFonts w:cs="Times New Roman"/>
          <w:szCs w:val="24"/>
        </w:rPr>
        <w:t>] seized the plaintiff’s property;</w:t>
      </w:r>
    </w:p>
    <w:p w14:paraId="55642865" w14:textId="77777777" w:rsidR="006A4CD7" w:rsidRPr="006A4CD7" w:rsidRDefault="006A4CD7" w:rsidP="005E6F8C">
      <w:pPr>
        <w:autoSpaceDE w:val="0"/>
        <w:autoSpaceDN w:val="0"/>
        <w:adjustRightInd w:val="0"/>
        <w:ind w:left="1440"/>
        <w:rPr>
          <w:rFonts w:cs="Times New Roman"/>
          <w:szCs w:val="24"/>
        </w:rPr>
      </w:pPr>
    </w:p>
    <w:p w14:paraId="7E6E8820" w14:textId="77777777" w:rsidR="005E6F8C"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property, [</w:t>
      </w:r>
      <w:r w:rsidRPr="006A4CD7">
        <w:rPr>
          <w:rFonts w:cs="Times New Roman"/>
          <w:i/>
          <w:iCs/>
          <w:szCs w:val="24"/>
          <w:u w:val="single"/>
        </w:rPr>
        <w:t>names of same person[s]</w:t>
      </w:r>
      <w:r w:rsidRPr="006A4CD7">
        <w:rPr>
          <w:rFonts w:cs="Times New Roman"/>
          <w:szCs w:val="24"/>
        </w:rPr>
        <w:t>] acted intentionally; and</w:t>
      </w:r>
    </w:p>
    <w:p w14:paraId="716920D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691EDE8E" w14:textId="77777777" w:rsidR="006A4CD7" w:rsidRPr="006A4CD7" w:rsidRDefault="006A4CD7" w:rsidP="0060759C">
      <w:pPr>
        <w:autoSpaceDE w:val="0"/>
        <w:autoSpaceDN w:val="0"/>
        <w:adjustRightInd w:val="0"/>
        <w:rPr>
          <w:rFonts w:cs="Times New Roman"/>
          <w:szCs w:val="24"/>
        </w:rPr>
      </w:pPr>
    </w:p>
    <w:p w14:paraId="604CDB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“seizes” the property of the plaintiff when the person takes possession of or controls the property in a manner that meaningfully interferes with the plaintiff’s right to possess the property.</w:t>
      </w:r>
    </w:p>
    <w:p w14:paraId="7F994F17" w14:textId="77777777" w:rsidR="006A4CD7" w:rsidRPr="006A4CD7" w:rsidRDefault="006A4CD7" w:rsidP="0060759C">
      <w:pPr>
        <w:autoSpaceDE w:val="0"/>
        <w:autoSpaceDN w:val="0"/>
        <w:adjustRightInd w:val="0"/>
        <w:rPr>
          <w:rFonts w:cs="Times New Roman"/>
          <w:szCs w:val="24"/>
        </w:rPr>
      </w:pPr>
    </w:p>
    <w:p w14:paraId="377C1CB8" w14:textId="7979612D" w:rsidR="006A4CD7" w:rsidRPr="006A4CD7" w:rsidRDefault="006A4CD7" w:rsidP="0060759C">
      <w:pPr>
        <w:autoSpaceDE w:val="0"/>
        <w:autoSpaceDN w:val="0"/>
        <w:adjustRightInd w:val="0"/>
        <w:rPr>
          <w:rFonts w:cs="Times New Roman"/>
          <w:i/>
          <w:iCs/>
          <w:szCs w:val="24"/>
          <w:u w:val="single"/>
        </w:rPr>
      </w:pPr>
      <w:r w:rsidRPr="006A4CD7">
        <w:rPr>
          <w:rFonts w:cs="Times New Roman"/>
          <w:szCs w:val="24"/>
        </w:rPr>
        <w:tab/>
        <w:t>[A person acts “</w:t>
      </w:r>
      <w:r w:rsidR="000A337A" w:rsidRPr="006A4CD7">
        <w:rPr>
          <w:rFonts w:cs="Times New Roman"/>
          <w:szCs w:val="24"/>
        </w:rPr>
        <w:t>intentionally” when</w:t>
      </w:r>
      <w:r w:rsidRPr="006A4CD7">
        <w:rPr>
          <w:rFonts w:cs="Times New Roman"/>
          <w:szCs w:val="24"/>
        </w:rPr>
        <w:t xml:space="preserve"> the person acts with a conscious objective to engage in particular conduct.  Therefore, the plaintiff must prove that the defendant intended to [</w:t>
      </w:r>
      <w:r w:rsidRPr="006A4CD7">
        <w:rPr>
          <w:rFonts w:cs="Times New Roman"/>
          <w:i/>
          <w:iCs/>
          <w:szCs w:val="24"/>
          <w:u w:val="single"/>
        </w:rPr>
        <w:t>insert</w:t>
      </w:r>
    </w:p>
    <w:p w14:paraId="2F667FF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0A47AD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7AE821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defendant intended to act, the plaintiff need not prove that the defendant intended to violate the</w:t>
      </w:r>
    </w:p>
    <w:p w14:paraId="36548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plaintiff’s Fourth Amendment rights.].]</w:t>
      </w:r>
    </w:p>
    <w:p w14:paraId="648FBEF3" w14:textId="77777777" w:rsidR="006A4CD7" w:rsidRPr="006A4CD7" w:rsidRDefault="006A4CD7" w:rsidP="0060759C">
      <w:pPr>
        <w:autoSpaceDE w:val="0"/>
        <w:autoSpaceDN w:val="0"/>
        <w:adjustRightInd w:val="0"/>
        <w:rPr>
          <w:rFonts w:cs="Times New Roman"/>
          <w:szCs w:val="24"/>
        </w:rPr>
      </w:pPr>
    </w:p>
    <w:p w14:paraId="799D53A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39E4226" w14:textId="77777777" w:rsidR="006A4CD7" w:rsidRPr="006A4CD7" w:rsidRDefault="006A4CD7" w:rsidP="0060759C">
      <w:pPr>
        <w:autoSpaceDE w:val="0"/>
        <w:autoSpaceDN w:val="0"/>
        <w:adjustRightInd w:val="0"/>
        <w:rPr>
          <w:rFonts w:cs="Times New Roman"/>
          <w:szCs w:val="24"/>
        </w:rPr>
      </w:pPr>
    </w:p>
    <w:p w14:paraId="095C6C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with an appropriate definition of an unreasonable seizure.  </w:t>
      </w:r>
      <w:r w:rsidRPr="006A4CD7">
        <w:rPr>
          <w:rFonts w:cs="Times New Roman"/>
          <w:i/>
          <w:iCs/>
          <w:szCs w:val="24"/>
        </w:rPr>
        <w:t xml:space="preserve">See </w:t>
      </w:r>
      <w:r w:rsidRPr="006A4CD7">
        <w:rPr>
          <w:rFonts w:cs="Times New Roman"/>
          <w:szCs w:val="24"/>
        </w:rPr>
        <w:t xml:space="preserve">Instruction 9.19 (Particular Rights—Fourth Amendment—Unreasonable Seizure of Property—Exceptions to Warrant Requirement). </w:t>
      </w:r>
    </w:p>
    <w:p w14:paraId="39BFC7CF" w14:textId="77777777" w:rsidR="006A4CD7" w:rsidRPr="006A4CD7" w:rsidRDefault="006A4CD7" w:rsidP="0060759C">
      <w:pPr>
        <w:autoSpaceDE w:val="0"/>
        <w:autoSpaceDN w:val="0"/>
        <w:adjustRightInd w:val="0"/>
        <w:rPr>
          <w:rFonts w:cs="Times New Roman"/>
          <w:szCs w:val="24"/>
        </w:rPr>
      </w:pPr>
    </w:p>
    <w:p w14:paraId="0FE42EFF" w14:textId="77777777" w:rsidR="00711209" w:rsidRDefault="006A4CD7" w:rsidP="0060759C">
      <w:pPr>
        <w:autoSpaceDE w:val="0"/>
        <w:autoSpaceDN w:val="0"/>
        <w:adjustRightInd w:val="0"/>
        <w:rPr>
          <w:rFonts w:cs="Times New Roman"/>
          <w:szCs w:val="24"/>
        </w:rPr>
      </w:pPr>
      <w:r w:rsidRPr="006A4CD7">
        <w:rPr>
          <w:rFonts w:cs="Times New Roman"/>
          <w:szCs w:val="24"/>
        </w:rPr>
        <w:tab/>
        <w:t xml:space="preserve">“A ‘seizure’ of property occurs when there is some meaningful interference with an individual’s possessory interests in that property.”  </w:t>
      </w:r>
      <w:proofErr w:type="spellStart"/>
      <w:r w:rsidRPr="006A4CD7">
        <w:rPr>
          <w:rFonts w:cs="Times New Roman"/>
          <w:i/>
          <w:iCs/>
          <w:szCs w:val="24"/>
        </w:rPr>
        <w:t>Lavan</w:t>
      </w:r>
      <w:proofErr w:type="spellEnd"/>
      <w:r w:rsidRPr="006A4CD7">
        <w:rPr>
          <w:rFonts w:cs="Times New Roman"/>
          <w:i/>
          <w:iCs/>
          <w:szCs w:val="24"/>
        </w:rPr>
        <w:t xml:space="preserve"> v. City of Los Angeles</w:t>
      </w:r>
      <w:r w:rsidRPr="006A4CD7">
        <w:rPr>
          <w:rFonts w:cs="Times New Roman"/>
          <w:szCs w:val="24"/>
        </w:rPr>
        <w:t xml:space="preserve">, 693 F.3d 1022, 1027, 1030-33 (9th Cir. 2012)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6A4CD7">
        <w:rPr>
          <w:rFonts w:cs="Times New Roman"/>
          <w:i/>
          <w:iCs/>
          <w:szCs w:val="24"/>
        </w:rPr>
        <w:t>see also</w:t>
      </w:r>
      <w:r w:rsidRPr="006A4CD7">
        <w:rPr>
          <w:rFonts w:cs="Times New Roman"/>
          <w:szCs w:val="24"/>
        </w:rPr>
        <w:t xml:space="preserve"> </w:t>
      </w:r>
      <w:r w:rsidRPr="006A4CD7">
        <w:rPr>
          <w:rFonts w:cs="Times New Roman"/>
          <w:i/>
          <w:iCs/>
          <w:szCs w:val="24"/>
        </w:rPr>
        <w:t>Patel v. City of Los Angeles.</w:t>
      </w:r>
      <w:r w:rsidRPr="006A4CD7">
        <w:rPr>
          <w:rFonts w:cs="Times New Roman"/>
          <w:szCs w:val="24"/>
        </w:rPr>
        <w:t>, 738 F.3d 1058, 1061-62 (9th Cir. 2013) (</w:t>
      </w:r>
      <w:proofErr w:type="spellStart"/>
      <w:r w:rsidRPr="006A4CD7">
        <w:rPr>
          <w:rFonts w:cs="Times New Roman"/>
          <w:szCs w:val="24"/>
        </w:rPr>
        <w:t>en</w:t>
      </w:r>
      <w:proofErr w:type="spellEnd"/>
      <w:r w:rsidRPr="006A4CD7">
        <w:rPr>
          <w:rFonts w:cs="Times New Roman"/>
          <w:szCs w:val="24"/>
        </w:rPr>
        <w:t xml:space="preserve"> banc) (citing </w:t>
      </w:r>
      <w:r w:rsidRPr="006A4CD7">
        <w:rPr>
          <w:rFonts w:cs="Times New Roman"/>
          <w:i/>
          <w:iCs/>
          <w:szCs w:val="24"/>
        </w:rPr>
        <w:t xml:space="preserve">Florida v. </w:t>
      </w:r>
      <w:proofErr w:type="spellStart"/>
      <w:r w:rsidRPr="006A4CD7">
        <w:rPr>
          <w:rFonts w:cs="Times New Roman"/>
          <w:i/>
          <w:iCs/>
          <w:szCs w:val="24"/>
        </w:rPr>
        <w:t>Jardines</w:t>
      </w:r>
      <w:proofErr w:type="spellEnd"/>
      <w:r w:rsidRPr="006A4CD7">
        <w:rPr>
          <w:rFonts w:cs="Times New Roman"/>
          <w:szCs w:val="24"/>
        </w:rPr>
        <w:t>, 133 S.</w:t>
      </w:r>
      <w:r w:rsidR="00926E8E">
        <w:rPr>
          <w:rFonts w:cs="Times New Roman"/>
          <w:szCs w:val="24"/>
        </w:rPr>
        <w:t xml:space="preserve"> </w:t>
      </w:r>
      <w:r w:rsidRPr="006A4CD7">
        <w:rPr>
          <w:rFonts w:cs="Times New Roman"/>
          <w:szCs w:val="24"/>
        </w:rPr>
        <w:t xml:space="preserve">Ct. 1409, 1418-19 (2013)) (Kagan, J., concurring)) (recognizing hotel’s property and privacy interest in guest records “are more than </w:t>
      </w:r>
    </w:p>
    <w:p w14:paraId="4BD7DC50" w14:textId="77777777" w:rsidR="00711209" w:rsidRDefault="00711209" w:rsidP="0060759C">
      <w:pPr>
        <w:autoSpaceDE w:val="0"/>
        <w:autoSpaceDN w:val="0"/>
        <w:adjustRightInd w:val="0"/>
        <w:rPr>
          <w:rFonts w:cs="Times New Roman"/>
          <w:szCs w:val="24"/>
        </w:rPr>
      </w:pPr>
    </w:p>
    <w:p w14:paraId="62D31C19" w14:textId="332BC3F4"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sufficient to trigger Fourth Amendment protection”).   </w:t>
      </w:r>
    </w:p>
    <w:p w14:paraId="310927C8" w14:textId="77777777" w:rsidR="00711209" w:rsidRPr="006A4CD7" w:rsidRDefault="00711209" w:rsidP="0060759C">
      <w:pPr>
        <w:autoSpaceDE w:val="0"/>
        <w:autoSpaceDN w:val="0"/>
        <w:adjustRightInd w:val="0"/>
        <w:rPr>
          <w:rFonts w:cs="Times New Roman"/>
          <w:szCs w:val="24"/>
        </w:rPr>
      </w:pPr>
    </w:p>
    <w:p w14:paraId="57E9D02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impoundment of an automobile is a seizure within the meaning of the Fourth Amendment.”  </w:t>
      </w:r>
      <w:r w:rsidRPr="006A4CD7">
        <w:rPr>
          <w:rFonts w:cs="Times New Roman"/>
          <w:i/>
          <w:iCs/>
          <w:szCs w:val="24"/>
        </w:rPr>
        <w:t>Miranda v. City of Cornelius</w:t>
      </w:r>
      <w:r w:rsidRPr="006A4CD7">
        <w:rPr>
          <w:rFonts w:cs="Times New Roman"/>
          <w:szCs w:val="24"/>
        </w:rPr>
        <w:t xml:space="preserve">, 429 F.3d 858, 862 (9th Cir. 2005).  A seizure lawful at its inception can nevertheless violate the Fourth Amendment if its manner of execution unreasonably infringes possessory interests.  </w:t>
      </w:r>
      <w:r w:rsidRPr="006A4CD7">
        <w:rPr>
          <w:rFonts w:cs="Times New Roman"/>
          <w:i/>
          <w:iCs/>
          <w:szCs w:val="24"/>
        </w:rPr>
        <w:t>Brewster v. Beck</w:t>
      </w:r>
      <w:r w:rsidRPr="006A4CD7">
        <w:rPr>
          <w:rFonts w:cs="Times New Roman"/>
          <w:szCs w:val="24"/>
        </w:rPr>
        <w:t xml:space="preserve">, 859 F.3d 1194, 1196-97 (9th Cir. 2017) (holding that 30-day impound of vehicle constitutes seizure that requires compliance with Fourth Amendment); </w:t>
      </w:r>
      <w:r w:rsidRPr="006A4CD7">
        <w:rPr>
          <w:rFonts w:cs="Times New Roman"/>
          <w:i/>
          <w:iCs/>
          <w:szCs w:val="24"/>
        </w:rPr>
        <w:t>See also Sandoval v. County of Sonoma</w:t>
      </w:r>
      <w:r w:rsidRPr="006A4CD7">
        <w:rPr>
          <w:rFonts w:cs="Times New Roman"/>
          <w:szCs w:val="24"/>
        </w:rPr>
        <w:t>, 912 F.3d 509, 516 (9th Cir. 2018)</w:t>
      </w:r>
    </w:p>
    <w:p w14:paraId="3FE390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(holding that community caretaking exception to warrant requirement does not categorically permit government officials to retain impounded private property).</w:t>
      </w:r>
    </w:p>
    <w:p w14:paraId="181871C6" w14:textId="77777777" w:rsidR="006A4CD7" w:rsidRPr="006A4CD7" w:rsidRDefault="006A4CD7" w:rsidP="0060759C">
      <w:pPr>
        <w:autoSpaceDE w:val="0"/>
        <w:autoSpaceDN w:val="0"/>
        <w:adjustRightInd w:val="0"/>
        <w:rPr>
          <w:rFonts w:cs="Times New Roman"/>
          <w:szCs w:val="24"/>
        </w:rPr>
      </w:pPr>
    </w:p>
    <w:p w14:paraId="7CD172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&amp; n.12 (9th Cir. 2012) (quoting </w:t>
      </w:r>
      <w:r w:rsidRPr="006A4CD7">
        <w:rPr>
          <w:rFonts w:cs="Times New Roman"/>
          <w:i/>
          <w:iCs/>
          <w:szCs w:val="24"/>
        </w:rPr>
        <w:t>Daniels v. Williams</w:t>
      </w:r>
      <w:r w:rsidRPr="006A4CD7">
        <w:rPr>
          <w:rFonts w:cs="Times New Roman"/>
          <w:szCs w:val="24"/>
        </w:rPr>
        <w:t xml:space="preserve">, 474 U.S. 327, 330 (1986)).  It is well settled that “negligent acts do not incur constitutional liability.”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137 S. Ct. 1539 (2017).  Specific intent to violate a person’s rights “is not a prerequisite to liability under § 1983.”</w:t>
      </w:r>
      <w:r w:rsidRPr="006A4CD7">
        <w:rPr>
          <w:rFonts w:cs="Times New Roman"/>
          <w:i/>
          <w:iCs/>
          <w:szCs w:val="24"/>
        </w:rPr>
        <w:t xml:space="preserve">  Caballero v. City of Concord</w:t>
      </w:r>
      <w:r w:rsidRPr="006A4CD7">
        <w:rPr>
          <w:rFonts w:cs="Times New Roman"/>
          <w:szCs w:val="24"/>
        </w:rPr>
        <w:t xml:space="preserve">, 956 F.2d 204, 206 (9th Cir. 1992).  </w:t>
      </w:r>
    </w:p>
    <w:p w14:paraId="0A2738B9" w14:textId="77777777" w:rsidR="006A4CD7" w:rsidRPr="006A4CD7" w:rsidRDefault="006A4CD7" w:rsidP="0060759C">
      <w:pPr>
        <w:autoSpaceDE w:val="0"/>
        <w:autoSpaceDN w:val="0"/>
        <w:adjustRightInd w:val="0"/>
        <w:rPr>
          <w:rFonts w:cs="Times New Roman"/>
          <w:szCs w:val="24"/>
        </w:rPr>
      </w:pPr>
    </w:p>
    <w:p w14:paraId="1DB7C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 Nelson v. City of Davis</w:t>
      </w:r>
      <w:r w:rsidRPr="006A4CD7">
        <w:rPr>
          <w:rFonts w:cs="Times New Roman"/>
          <w:szCs w:val="24"/>
        </w:rPr>
        <w:t>, 685 F.3d 867, 876-77 (9th Cir. 2012) (discussing intent and concluding that defendant officers intentionally seized plaintiff under the Fourth Amendment).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2E6E7A55" w14:textId="77777777" w:rsidR="006A4CD7" w:rsidRPr="006A4CD7" w:rsidRDefault="006A4CD7" w:rsidP="0060759C">
      <w:pPr>
        <w:autoSpaceDE w:val="0"/>
        <w:autoSpaceDN w:val="0"/>
        <w:adjustRightInd w:val="0"/>
        <w:rPr>
          <w:rFonts w:cs="Times New Roman"/>
          <w:szCs w:val="24"/>
        </w:rPr>
      </w:pPr>
    </w:p>
    <w:p w14:paraId="5F57E51F" w14:textId="77777777" w:rsidR="006A4CD7" w:rsidRPr="006A4CD7" w:rsidRDefault="006A4CD7" w:rsidP="0060759C">
      <w:pPr>
        <w:autoSpaceDE w:val="0"/>
        <w:autoSpaceDN w:val="0"/>
        <w:adjustRightInd w:val="0"/>
        <w:rPr>
          <w:rFonts w:cs="Times New Roman"/>
          <w:szCs w:val="24"/>
        </w:rPr>
      </w:pPr>
    </w:p>
    <w:p w14:paraId="49FDB2B9"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Apr. 2019</w:t>
      </w:r>
    </w:p>
    <w:p w14:paraId="24BE4298" w14:textId="77777777" w:rsidR="006A4CD7" w:rsidRPr="006A4CD7" w:rsidRDefault="006A4CD7" w:rsidP="0060759C">
      <w:pPr>
        <w:autoSpaceDE w:val="0"/>
        <w:autoSpaceDN w:val="0"/>
        <w:adjustRightInd w:val="0"/>
        <w:jc w:val="right"/>
        <w:rPr>
          <w:rFonts w:cs="Times New Roman"/>
          <w:szCs w:val="24"/>
        </w:rPr>
      </w:pPr>
    </w:p>
    <w:p w14:paraId="320D7D76" w14:textId="0E4B48F4" w:rsidR="006A4CD7" w:rsidRPr="006A4CD7" w:rsidRDefault="006A4CD7" w:rsidP="00352D49">
      <w:pPr>
        <w:pStyle w:val="Heading2"/>
      </w:pPr>
      <w:r w:rsidRPr="006A4CD7">
        <w:br w:type="page"/>
      </w:r>
      <w:bookmarkStart w:id="141" w:name="_Toc117512435"/>
      <w:r w:rsidRPr="006A4CD7">
        <w:lastRenderedPageBreak/>
        <w:t xml:space="preserve">9.19 </w:t>
      </w:r>
      <w:r w:rsidR="00884DFA" w:rsidRPr="00884DFA">
        <w:t>Particular Rights—Fourth Amendment—Unreasonable Seizure of Property—Exceptions to Warrant Requirement</w:t>
      </w:r>
      <w:bookmarkEnd w:id="141"/>
    </w:p>
    <w:p w14:paraId="4A92F334" w14:textId="77777777" w:rsidR="006A4CD7" w:rsidRPr="006A4CD7" w:rsidRDefault="006A4CD7" w:rsidP="0060759C">
      <w:pPr>
        <w:autoSpaceDE w:val="0"/>
        <w:autoSpaceDN w:val="0"/>
        <w:adjustRightInd w:val="0"/>
        <w:rPr>
          <w:rFonts w:cs="Times New Roman"/>
          <w:szCs w:val="24"/>
        </w:rPr>
      </w:pPr>
    </w:p>
    <w:p w14:paraId="5F88DF12" w14:textId="24CF86B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r w:rsidR="000A337A" w:rsidRPr="00A0399B">
        <w:rPr>
          <w:rFonts w:cs="Times New Roman"/>
          <w:szCs w:val="24"/>
        </w:rPr>
        <w:t>required,</w:t>
      </w:r>
      <w:r w:rsidR="006A5DE5" w:rsidRPr="00A0399B">
        <w:rPr>
          <w:rFonts w:cs="Times New Roman"/>
          <w:szCs w:val="24"/>
        </w:rPr>
        <w:t xml:space="preserve">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in order to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Use this instruction only in conjunction with the applicable elements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proofErr w:type="spellStart"/>
      <w:r w:rsidRPr="00A0399B">
        <w:rPr>
          <w:rFonts w:cs="Times New Roman"/>
          <w:i/>
          <w:iCs/>
          <w:szCs w:val="24"/>
        </w:rPr>
        <w:t>Lavan</w:t>
      </w:r>
      <w:proofErr w:type="spellEnd"/>
      <w:r w:rsidRPr="00A0399B">
        <w:rPr>
          <w:rFonts w:cs="Times New Roman"/>
          <w:i/>
          <w:iCs/>
          <w:szCs w:val="24"/>
        </w:rPr>
        <w:t xml:space="preserve">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lastRenderedPageBreak/>
        <w:tab/>
        <w:t>A plaintiff alleging a § 1983 claim based on an unreasonable seizure in violation</w:t>
      </w:r>
    </w:p>
    <w:p w14:paraId="10DB76F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proofErr w:type="spellStart"/>
      <w:r w:rsidRPr="00A0399B">
        <w:rPr>
          <w:rFonts w:cs="Times New Roman"/>
          <w:i/>
          <w:iCs/>
          <w:szCs w:val="24"/>
        </w:rPr>
        <w:t>Larez</w:t>
      </w:r>
      <w:proofErr w:type="spellEnd"/>
      <w:r w:rsidRPr="00A0399B">
        <w:rPr>
          <w:rFonts w:cs="Times New Roman"/>
          <w:i/>
          <w:iCs/>
          <w:szCs w:val="24"/>
        </w:rPr>
        <w:t xml:space="preserve">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 xml:space="preserve">Mueller v. </w:t>
      </w:r>
      <w:proofErr w:type="spellStart"/>
      <w:r w:rsidRPr="00A0399B">
        <w:rPr>
          <w:rFonts w:cs="Times New Roman"/>
          <w:i/>
          <w:iCs/>
          <w:szCs w:val="24"/>
        </w:rPr>
        <w:t>Auker</w:t>
      </w:r>
      <w:proofErr w:type="spellEnd"/>
      <w:r w:rsidRPr="00A0399B">
        <w:rPr>
          <w:rFonts w:cs="Times New Roman"/>
          <w:szCs w:val="24"/>
        </w:rPr>
        <w:t xml:space="preserve">, 700 F.3d 1180, 1193 (9th Cir. 2012) (placing burden on plaintiff to establish absence of imminent danger in claim of interference with parent-child relationship);  </w:t>
      </w:r>
      <w:proofErr w:type="spellStart"/>
      <w:r w:rsidRPr="00A0399B">
        <w:rPr>
          <w:rFonts w:cs="Times New Roman"/>
          <w:i/>
          <w:iCs/>
          <w:szCs w:val="24"/>
        </w:rPr>
        <w:t>Pavao</w:t>
      </w:r>
      <w:proofErr w:type="spellEnd"/>
      <w:r w:rsidRPr="00A0399B">
        <w:rPr>
          <w:rFonts w:cs="Times New Roman"/>
          <w:i/>
          <w:iCs/>
          <w:szCs w:val="24"/>
        </w:rPr>
        <w:t xml:space="preserve"> v. </w:t>
      </w:r>
      <w:proofErr w:type="spellStart"/>
      <w:r w:rsidRPr="00A0399B">
        <w:rPr>
          <w:rFonts w:cs="Times New Roman"/>
          <w:i/>
          <w:iCs/>
          <w:szCs w:val="24"/>
        </w:rPr>
        <w:t>Pagay</w:t>
      </w:r>
      <w:proofErr w:type="spellEnd"/>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 xml:space="preserve">cf. Hopkins v. </w:t>
      </w:r>
      <w:proofErr w:type="spellStart"/>
      <w:r w:rsidRPr="00A0399B">
        <w:rPr>
          <w:rFonts w:cs="Times New Roman"/>
          <w:i/>
          <w:iCs/>
          <w:szCs w:val="24"/>
        </w:rPr>
        <w:t>Bonvicino</w:t>
      </w:r>
      <w:proofErr w:type="spellEnd"/>
      <w:r w:rsidRPr="00A0399B">
        <w:rPr>
          <w:rFonts w:cs="Times New Roman"/>
          <w:szCs w:val="24"/>
        </w:rPr>
        <w:t xml:space="preserve">, 573 F.3d 752, 764 (9th Cir. 2009) (placing burden on defendant to show existence of exigent circumstance at summary judgment stage). </w:t>
      </w: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77777777" w:rsidR="006A5DE5" w:rsidRDefault="006A5DE5" w:rsidP="006A5DE5">
      <w:pPr>
        <w:jc w:val="right"/>
      </w:pPr>
      <w:r w:rsidRPr="00A0399B">
        <w:rPr>
          <w:rFonts w:cs="Times New Roman"/>
          <w:i/>
          <w:iCs/>
          <w:szCs w:val="24"/>
        </w:rPr>
        <w:t xml:space="preserve">Revised </w:t>
      </w:r>
      <w:r>
        <w:rPr>
          <w:rFonts w:cs="Times New Roman"/>
          <w:i/>
          <w:iCs/>
          <w:szCs w:val="24"/>
        </w:rPr>
        <w:t>Sept.</w:t>
      </w:r>
      <w:r w:rsidRPr="00A0399B">
        <w:rPr>
          <w:rFonts w:cs="Times New Roman"/>
          <w:i/>
          <w:iCs/>
          <w:szCs w:val="24"/>
        </w:rPr>
        <w:t xml:space="preserve"> 2021</w:t>
      </w:r>
    </w:p>
    <w:p w14:paraId="0E050AC8" w14:textId="340AE9EA"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4A7B3FF1" w14:textId="52D826BF" w:rsidR="006A4CD7" w:rsidRPr="006A4CD7" w:rsidRDefault="006A4CD7" w:rsidP="00352D49">
      <w:pPr>
        <w:pStyle w:val="Heading2"/>
      </w:pPr>
      <w:r w:rsidRPr="006A4CD7">
        <w:br w:type="page"/>
      </w:r>
      <w:bookmarkStart w:id="142" w:name="_Toc117512436"/>
      <w:r w:rsidRPr="006A4CD7">
        <w:lastRenderedPageBreak/>
        <w:t xml:space="preserve">9.20 </w:t>
      </w:r>
      <w:r w:rsidR="00884DFA" w:rsidRPr="00884DFA">
        <w:t>Particular Rights—Fourth Amendment—Unreasonable Seizure of Person—Generally</w:t>
      </w:r>
      <w:bookmarkEnd w:id="142"/>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person.  In order to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seized the plaintiff’s person;</w:t>
      </w:r>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A defendant “seizes” the plaintiff’s person when [he] [she] restrains the plaintiff’s liberty through coercion, physical force or a show of authority.  A person’s liberty is restrained when, under all of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In determining whether a reasonable person in the plaintiff’s position would have felt free to leave, consider all of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the number of officers present;</w:t>
      </w:r>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whether weapons were displayed;</w:t>
      </w:r>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setting;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r w:rsidRPr="006A4CD7">
        <w:rPr>
          <w:rFonts w:cs="Times New Roman"/>
          <w:i/>
          <w:iCs/>
          <w:szCs w:val="24"/>
          <w:u w:val="single"/>
        </w:rPr>
        <w:t>insert</w:t>
      </w:r>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5576AB7A" w:rsidR="00CD6158" w:rsidRPr="006A4CD7" w:rsidRDefault="00CD6158" w:rsidP="00CD6158">
      <w:pPr>
        <w:autoSpaceDE w:val="0"/>
        <w:autoSpaceDN w:val="0"/>
        <w:adjustRightInd w:val="0"/>
        <w:rPr>
          <w:rFonts w:cs="Times New Roman"/>
          <w:szCs w:val="24"/>
        </w:rPr>
      </w:pPr>
      <w:r w:rsidRPr="006A4CD7">
        <w:rPr>
          <w:rFonts w:cs="Times New Roman"/>
          <w:szCs w:val="24"/>
        </w:rPr>
        <w:t xml:space="preserve">defendant intended to </w:t>
      </w:r>
      <w:r w:rsidR="007453CD" w:rsidRPr="006A4CD7">
        <w:rPr>
          <w:rFonts w:cs="Times New Roman"/>
          <w:szCs w:val="24"/>
        </w:rPr>
        <w:t>act;</w:t>
      </w:r>
      <w:r w:rsidRPr="006A4CD7">
        <w:rPr>
          <w:rFonts w:cs="Times New Roman"/>
          <w:szCs w:val="24"/>
        </w:rPr>
        <w:t xml:space="preserve">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63070EF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 xml:space="preserve">See, e.g., Kirkpatrick v. </w:t>
      </w:r>
      <w:proofErr w:type="spellStart"/>
      <w:r w:rsidRPr="006A4CD7">
        <w:rPr>
          <w:rFonts w:cs="Times New Roman"/>
          <w:i/>
          <w:iCs/>
          <w:szCs w:val="24"/>
        </w:rPr>
        <w:t>Cnty</w:t>
      </w:r>
      <w:proofErr w:type="spellEnd"/>
      <w:r w:rsidRPr="006A4CD7">
        <w:rPr>
          <w:rFonts w:cs="Times New Roman"/>
          <w:i/>
          <w:iCs/>
          <w:szCs w:val="24"/>
        </w:rPr>
        <w:t>. of Washoe</w:t>
      </w:r>
      <w:r w:rsidRPr="006A4CD7">
        <w:rPr>
          <w:rFonts w:cs="Times New Roman"/>
          <w:szCs w:val="24"/>
        </w:rPr>
        <w:t>, 843 F.3d 784, 790-91 (9th Cir. 2016) (</w:t>
      </w:r>
      <w:proofErr w:type="spellStart"/>
      <w:r w:rsidRPr="006A4CD7">
        <w:rPr>
          <w:rFonts w:cs="Times New Roman"/>
          <w:szCs w:val="24"/>
        </w:rPr>
        <w:t>en</w:t>
      </w:r>
      <w:proofErr w:type="spellEnd"/>
      <w:r w:rsidRPr="006A4CD7">
        <w:rPr>
          <w:rFonts w:cs="Times New Roman"/>
          <w:szCs w:val="24"/>
        </w:rPr>
        <w:t xml:space="preserve">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 xml:space="preserve">see also </w:t>
      </w:r>
      <w:proofErr w:type="spellStart"/>
      <w:r w:rsidRPr="006A4CD7">
        <w:rPr>
          <w:rFonts w:cs="Times New Roman"/>
          <w:i/>
          <w:iCs/>
          <w:szCs w:val="24"/>
        </w:rPr>
        <w:t>Demaree</w:t>
      </w:r>
      <w:proofErr w:type="spellEnd"/>
      <w:r w:rsidRPr="006A4CD7">
        <w:rPr>
          <w:rFonts w:cs="Times New Roman"/>
          <w:i/>
          <w:iCs/>
          <w:szCs w:val="24"/>
        </w:rPr>
        <w:t xml:space="preserve"> v. Pederson</w:t>
      </w:r>
      <w:r w:rsidRPr="006A4CD7">
        <w:rPr>
          <w:rFonts w:cs="Times New Roman"/>
          <w:szCs w:val="24"/>
        </w:rPr>
        <w:t>, 880 F.3d 1066 (9th Cir. 2018</w:t>
      </w:r>
      <w:r w:rsidR="007453CD" w:rsidRPr="006A4CD7">
        <w:rPr>
          <w:rFonts w:cs="Times New Roman"/>
          <w:szCs w:val="24"/>
        </w:rPr>
        <w:t>).</w:t>
      </w:r>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 xml:space="preserve">see Rogers v. </w:t>
      </w:r>
      <w:proofErr w:type="spellStart"/>
      <w:r w:rsidRPr="006A4CD7">
        <w:rPr>
          <w:rFonts w:cs="Times New Roman"/>
          <w:i/>
          <w:iCs/>
          <w:szCs w:val="24"/>
        </w:rPr>
        <w:t>Cnty</w:t>
      </w:r>
      <w:proofErr w:type="spellEnd"/>
      <w:r w:rsidRPr="006A4CD7">
        <w:rPr>
          <w:rFonts w:cs="Times New Roman"/>
          <w:i/>
          <w:iCs/>
          <w:szCs w:val="24"/>
        </w:rPr>
        <w:t>.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 xml:space="preserve">see also Dees v. </w:t>
      </w:r>
      <w:proofErr w:type="spellStart"/>
      <w:r w:rsidRPr="006A4CD7">
        <w:rPr>
          <w:rFonts w:cs="Times New Roman"/>
          <w:i/>
          <w:iCs/>
          <w:szCs w:val="24"/>
        </w:rPr>
        <w:t>Cty</w:t>
      </w:r>
      <w:proofErr w:type="spellEnd"/>
      <w:r w:rsidRPr="006A4CD7">
        <w:rPr>
          <w:rFonts w:cs="Times New Roman"/>
          <w:i/>
          <w:iCs/>
          <w:szCs w:val="24"/>
        </w:rPr>
        <w:t>.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Morgan v. </w:t>
      </w:r>
      <w:proofErr w:type="spellStart"/>
      <w:r w:rsidRPr="006A4CD7">
        <w:rPr>
          <w:rFonts w:cs="Times New Roman"/>
          <w:i/>
          <w:iCs/>
          <w:szCs w:val="24"/>
        </w:rPr>
        <w:t>Woessner</w:t>
      </w:r>
      <w:proofErr w:type="spellEnd"/>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If the court is able to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proofErr w:type="spellStart"/>
      <w:r w:rsidRPr="006A4CD7">
        <w:rPr>
          <w:rFonts w:cs="Times New Roman"/>
          <w:i/>
          <w:iCs/>
          <w:szCs w:val="24"/>
        </w:rPr>
        <w:t>Billington</w:t>
      </w:r>
      <w:proofErr w:type="spellEnd"/>
      <w:r w:rsidRPr="006A4CD7">
        <w:rPr>
          <w:rFonts w:cs="Times New Roman"/>
          <w:i/>
          <w:iCs/>
          <w:szCs w:val="24"/>
        </w:rPr>
        <w:t xml:space="preserve">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proofErr w:type="spellStart"/>
      <w:r w:rsidRPr="006A4CD7">
        <w:rPr>
          <w:rFonts w:cs="Times New Roman"/>
          <w:i/>
          <w:iCs/>
          <w:szCs w:val="24"/>
        </w:rPr>
        <w:t>Brendlin</w:t>
      </w:r>
      <w:proofErr w:type="spellEnd"/>
      <w:r w:rsidRPr="006A4CD7">
        <w:rPr>
          <w:rFonts w:cs="Times New Roman"/>
          <w:i/>
          <w:iCs/>
          <w:szCs w:val="24"/>
        </w:rPr>
        <w:t xml:space="preserve">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2C327D65" w14:textId="52337FFE" w:rsidR="006A4CD7" w:rsidRPr="006A4CD7" w:rsidRDefault="006A4CD7" w:rsidP="00352D49">
      <w:pPr>
        <w:pStyle w:val="Heading2"/>
      </w:pPr>
      <w:bookmarkStart w:id="143" w:name="_Toc117512437"/>
      <w:r w:rsidRPr="006A4CD7">
        <w:lastRenderedPageBreak/>
        <w:t xml:space="preserve">9.21 </w:t>
      </w:r>
      <w:r w:rsidR="00884DFA" w:rsidRPr="00884DFA">
        <w:t>Particular Rights—Fourth Amendment—Unreasonable Seizure of Person—Exception to Warrant Requirement—</w:t>
      </w:r>
      <w:r w:rsidR="00884DFA" w:rsidRPr="00884DFA">
        <w:rPr>
          <w:i/>
          <w:iCs/>
        </w:rPr>
        <w:t>Terry</w:t>
      </w:r>
      <w:r w:rsidR="00884DFA" w:rsidRPr="00884DFA">
        <w:t xml:space="preserve"> Stop</w:t>
      </w:r>
      <w:bookmarkEnd w:id="143"/>
    </w:p>
    <w:p w14:paraId="54E0CF46" w14:textId="3641F9D2" w:rsidR="006A4CD7" w:rsidRPr="006A4CD7" w:rsidRDefault="006A4CD7" w:rsidP="0060759C">
      <w:pPr>
        <w:autoSpaceDE w:val="0"/>
        <w:autoSpaceDN w:val="0"/>
        <w:adjustRightInd w:val="0"/>
        <w:rPr>
          <w:rFonts w:cs="Times New Roman"/>
          <w:szCs w:val="24"/>
        </w:rPr>
      </w:pPr>
    </w:p>
    <w:p w14:paraId="2C4F1AC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In general, a seizure of a person for an investigatory stop is reasonable if, under all of the circumstances known to the officer[s] at the time:</w:t>
      </w:r>
    </w:p>
    <w:p w14:paraId="71C212C9" w14:textId="77777777" w:rsidR="005868E0" w:rsidRPr="00471D17" w:rsidRDefault="005868E0" w:rsidP="005868E0">
      <w:pPr>
        <w:autoSpaceDE w:val="0"/>
        <w:autoSpaceDN w:val="0"/>
        <w:adjustRightInd w:val="0"/>
        <w:rPr>
          <w:rFonts w:cs="Times New Roman"/>
          <w:szCs w:val="24"/>
        </w:rPr>
      </w:pPr>
    </w:p>
    <w:p w14:paraId="3D579D75"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654075D5"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74F54E8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01D2B5AA" w14:textId="77777777" w:rsidR="005868E0" w:rsidRPr="00471D17" w:rsidRDefault="005868E0" w:rsidP="005868E0">
      <w:pPr>
        <w:autoSpaceDE w:val="0"/>
        <w:autoSpaceDN w:val="0"/>
        <w:adjustRightInd w:val="0"/>
        <w:rPr>
          <w:rFonts w:cs="Times New Roman"/>
          <w:szCs w:val="24"/>
        </w:rPr>
      </w:pPr>
    </w:p>
    <w:p w14:paraId="0B8FF0C9"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2C150113" w14:textId="77777777" w:rsidR="005868E0" w:rsidRPr="00471D17" w:rsidRDefault="005868E0" w:rsidP="005868E0">
      <w:pPr>
        <w:autoSpaceDE w:val="0"/>
        <w:autoSpaceDN w:val="0"/>
        <w:adjustRightInd w:val="0"/>
        <w:rPr>
          <w:rFonts w:cs="Times New Roman"/>
          <w:szCs w:val="24"/>
        </w:rPr>
      </w:pPr>
    </w:p>
    <w:p w14:paraId="3CD70D43"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12485FE" w14:textId="77777777" w:rsidR="005868E0" w:rsidRPr="00471D17" w:rsidRDefault="005868E0" w:rsidP="005868E0">
      <w:pPr>
        <w:autoSpaceDE w:val="0"/>
        <w:autoSpaceDN w:val="0"/>
        <w:adjustRightInd w:val="0"/>
        <w:rPr>
          <w:rFonts w:cs="Times New Roman"/>
          <w:szCs w:val="24"/>
        </w:rPr>
      </w:pPr>
    </w:p>
    <w:p w14:paraId="1135176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all of the circumstances, including: </w:t>
      </w:r>
    </w:p>
    <w:p w14:paraId="3CCE76E5" w14:textId="77777777" w:rsidR="005868E0" w:rsidRPr="00471D17" w:rsidRDefault="005868E0" w:rsidP="005868E0">
      <w:pPr>
        <w:autoSpaceDE w:val="0"/>
        <w:autoSpaceDN w:val="0"/>
        <w:adjustRightInd w:val="0"/>
        <w:rPr>
          <w:rFonts w:cs="Times New Roman"/>
          <w:szCs w:val="24"/>
        </w:rPr>
      </w:pPr>
    </w:p>
    <w:p w14:paraId="57B411C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the intrusiveness of the stop, such as the methods the police used, the restriction on the plaintiff’s liberty, and the length of the stop;</w:t>
      </w:r>
    </w:p>
    <w:p w14:paraId="321B9A73" w14:textId="77777777" w:rsidR="005868E0" w:rsidRPr="00471D17" w:rsidRDefault="005868E0" w:rsidP="005868E0">
      <w:pPr>
        <w:autoSpaceDE w:val="0"/>
        <w:autoSpaceDN w:val="0"/>
        <w:adjustRightInd w:val="0"/>
        <w:rPr>
          <w:rFonts w:cs="Times New Roman"/>
          <w:szCs w:val="24"/>
        </w:rPr>
      </w:pPr>
    </w:p>
    <w:p w14:paraId="6800F15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0738507C" w14:textId="77777777" w:rsidR="005868E0" w:rsidRPr="00471D17" w:rsidRDefault="005868E0" w:rsidP="005868E0">
      <w:pPr>
        <w:autoSpaceDE w:val="0"/>
        <w:autoSpaceDN w:val="0"/>
        <w:adjustRightInd w:val="0"/>
        <w:rPr>
          <w:rFonts w:cs="Times New Roman"/>
          <w:szCs w:val="24"/>
        </w:rPr>
      </w:pPr>
    </w:p>
    <w:p w14:paraId="1674546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07D6C578" w14:textId="77777777" w:rsidR="005868E0" w:rsidRPr="00471D17" w:rsidRDefault="005868E0" w:rsidP="005868E0">
      <w:pPr>
        <w:autoSpaceDE w:val="0"/>
        <w:autoSpaceDN w:val="0"/>
        <w:adjustRightInd w:val="0"/>
        <w:rPr>
          <w:rFonts w:cs="Times New Roman"/>
          <w:szCs w:val="24"/>
        </w:rPr>
      </w:pPr>
    </w:p>
    <w:p w14:paraId="55623C19" w14:textId="77777777" w:rsidR="005868E0" w:rsidRPr="00471D17" w:rsidRDefault="005868E0" w:rsidP="005868E0">
      <w:pPr>
        <w:autoSpaceDE w:val="0"/>
        <w:autoSpaceDN w:val="0"/>
        <w:adjustRightInd w:val="0"/>
        <w:jc w:val="center"/>
        <w:rPr>
          <w:rFonts w:cs="Times New Roman"/>
          <w:b/>
          <w:bCs/>
          <w:szCs w:val="24"/>
        </w:rPr>
      </w:pPr>
      <w:r w:rsidRPr="00471D17">
        <w:rPr>
          <w:rFonts w:cs="Times New Roman"/>
          <w:b/>
          <w:bCs/>
          <w:szCs w:val="24"/>
        </w:rPr>
        <w:t>Comment</w:t>
      </w:r>
    </w:p>
    <w:p w14:paraId="34A86B11" w14:textId="77777777" w:rsidR="005868E0" w:rsidRPr="00471D17" w:rsidRDefault="005868E0" w:rsidP="005868E0">
      <w:pPr>
        <w:autoSpaceDE w:val="0"/>
        <w:autoSpaceDN w:val="0"/>
        <w:adjustRightInd w:val="0"/>
        <w:rPr>
          <w:rFonts w:cs="Times New Roman"/>
          <w:b/>
          <w:bCs/>
          <w:szCs w:val="24"/>
        </w:rPr>
      </w:pPr>
    </w:p>
    <w:p w14:paraId="3C2038CD"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Use this instruction only in conjunction with the applicable elements instructions, Instruction 9.3–9.8, and in conjunction with Instruction 9.20 (Particular Rights—Fourth Amendment—Unreasonable Seizure of Person—Generally).</w:t>
      </w:r>
    </w:p>
    <w:p w14:paraId="3B2FF135" w14:textId="77777777" w:rsidR="005868E0" w:rsidRPr="00471D17" w:rsidRDefault="005868E0" w:rsidP="005868E0">
      <w:pPr>
        <w:autoSpaceDE w:val="0"/>
        <w:autoSpaceDN w:val="0"/>
        <w:adjustRightInd w:val="0"/>
        <w:rPr>
          <w:rFonts w:cs="Times New Roman"/>
          <w:b/>
          <w:bCs/>
          <w:szCs w:val="24"/>
        </w:rPr>
      </w:pPr>
    </w:p>
    <w:p w14:paraId="4E4F32C9" w14:textId="77777777" w:rsidR="007453CD" w:rsidRDefault="005868E0" w:rsidP="005868E0">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proofErr w:type="spellStart"/>
      <w:r w:rsidRPr="00471D17">
        <w:rPr>
          <w:rFonts w:cs="Times New Roman"/>
          <w:i/>
          <w:iCs/>
          <w:szCs w:val="24"/>
        </w:rPr>
        <w:t>Melendres</w:t>
      </w:r>
      <w:proofErr w:type="spellEnd"/>
      <w:r w:rsidRPr="00471D17">
        <w:rPr>
          <w:rFonts w:cs="Times New Roman"/>
          <w:i/>
          <w:iCs/>
          <w:szCs w:val="24"/>
        </w:rPr>
        <w:t xml:space="preserve">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w:t>
      </w:r>
    </w:p>
    <w:p w14:paraId="394544D6" w14:textId="20D60A20" w:rsidR="005868E0" w:rsidRPr="00471D17" w:rsidRDefault="005868E0" w:rsidP="005868E0">
      <w:pPr>
        <w:autoSpaceDE w:val="0"/>
        <w:autoSpaceDN w:val="0"/>
        <w:adjustRightInd w:val="0"/>
        <w:rPr>
          <w:rFonts w:cs="Times New Roman"/>
          <w:szCs w:val="24"/>
        </w:rPr>
      </w:pPr>
      <w:r w:rsidRPr="00471D17">
        <w:rPr>
          <w:rFonts w:cs="Times New Roman"/>
          <w:szCs w:val="24"/>
        </w:rPr>
        <w:lastRenderedPageBreak/>
        <w:t xml:space="preserve">insurance.  </w:t>
      </w:r>
      <w:r w:rsidRPr="00471D17">
        <w:rPr>
          <w:rFonts w:cs="Times New Roman"/>
          <w:i/>
          <w:iCs/>
          <w:szCs w:val="24"/>
        </w:rPr>
        <w:t>Id</w:t>
      </w:r>
      <w:r w:rsidRPr="00471D17">
        <w:rPr>
          <w:rFonts w:cs="Times New Roman"/>
          <w:szCs w:val="24"/>
        </w:rPr>
        <w:t xml:space="preserve">. at 1615.  An officer may not conduct unrelated checks (such as a dog sniff) “in a way that prolongs the stop, absent the reasonable suspicion ordinarily demanded to justify detaining an individual.”  </w:t>
      </w:r>
      <w:r w:rsidRPr="00471D17">
        <w:rPr>
          <w:rFonts w:cs="Times New Roman"/>
          <w:i/>
          <w:iCs/>
          <w:szCs w:val="24"/>
        </w:rPr>
        <w:t>Id</w:t>
      </w:r>
      <w:r w:rsidRPr="00471D17">
        <w:rPr>
          <w:rFonts w:cs="Times New Roman"/>
          <w:szCs w:val="24"/>
        </w:rPr>
        <w:t>.</w:t>
      </w:r>
    </w:p>
    <w:p w14:paraId="316EA3A1" w14:textId="77777777" w:rsidR="005868E0" w:rsidRPr="00471D17" w:rsidRDefault="005868E0" w:rsidP="005868E0">
      <w:pPr>
        <w:autoSpaceDE w:val="0"/>
        <w:autoSpaceDN w:val="0"/>
        <w:adjustRightInd w:val="0"/>
        <w:rPr>
          <w:rFonts w:cs="Times New Roman"/>
          <w:szCs w:val="24"/>
        </w:rPr>
      </w:pPr>
    </w:p>
    <w:p w14:paraId="7C8821D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528 U.S. 119, 123 (2000).  Because the standard is objective, an officer need not</w:t>
      </w:r>
    </w:p>
    <w:p w14:paraId="0D862FF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 xml:space="preserve">United States v. </w:t>
      </w:r>
      <w:proofErr w:type="spellStart"/>
      <w:r w:rsidRPr="00471D17">
        <w:rPr>
          <w:rFonts w:cs="Times New Roman"/>
          <w:i/>
          <w:iCs/>
          <w:szCs w:val="24"/>
        </w:rPr>
        <w:t>Magallon</w:t>
      </w:r>
      <w:proofErr w:type="spellEnd"/>
      <w:r w:rsidRPr="00471D17">
        <w:rPr>
          <w:rFonts w:cs="Times New Roman"/>
          <w:i/>
          <w:iCs/>
          <w:szCs w:val="24"/>
        </w:rPr>
        <w:t>-Lopez</w:t>
      </w:r>
      <w:r w:rsidRPr="00471D17">
        <w:rPr>
          <w:rFonts w:cs="Times New Roman"/>
          <w:szCs w:val="24"/>
        </w:rPr>
        <w:t>, 817 F.3d 671,</w:t>
      </w:r>
    </w:p>
    <w:p w14:paraId="6FEAAC88"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18E9D82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471D17">
        <w:rPr>
          <w:rFonts w:cs="Times New Roman"/>
          <w:b/>
          <w:bCs/>
          <w:i/>
          <w:iCs/>
          <w:color w:val="000000"/>
        </w:rPr>
        <w:t>.</w:t>
      </w:r>
    </w:p>
    <w:p w14:paraId="5E15A4EF" w14:textId="77777777" w:rsidR="005868E0" w:rsidRPr="00471D17" w:rsidRDefault="005868E0" w:rsidP="005868E0">
      <w:pPr>
        <w:autoSpaceDE w:val="0"/>
        <w:autoSpaceDN w:val="0"/>
        <w:adjustRightInd w:val="0"/>
        <w:rPr>
          <w:rFonts w:cs="Times New Roman"/>
          <w:szCs w:val="24"/>
        </w:rPr>
      </w:pPr>
    </w:p>
    <w:p w14:paraId="7F65461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in light of the circumstances.  </w:t>
      </w:r>
      <w:r w:rsidRPr="00471D17">
        <w:rPr>
          <w:rFonts w:cs="Times New Roman"/>
          <w:i/>
          <w:iCs/>
          <w:szCs w:val="24"/>
        </w:rPr>
        <w:t>Id</w:t>
      </w:r>
      <w:r w:rsidRPr="00471D17">
        <w:rPr>
          <w:rFonts w:cs="Times New Roman"/>
          <w:szCs w:val="24"/>
        </w:rPr>
        <w:t xml:space="preserve">. </w:t>
      </w:r>
    </w:p>
    <w:p w14:paraId="6B3E64A0" w14:textId="77777777" w:rsidR="005868E0" w:rsidRPr="00471D17" w:rsidRDefault="005868E0" w:rsidP="005868E0">
      <w:pPr>
        <w:autoSpaceDE w:val="0"/>
        <w:autoSpaceDN w:val="0"/>
        <w:adjustRightInd w:val="0"/>
        <w:rPr>
          <w:rFonts w:cs="Times New Roman"/>
          <w:b/>
          <w:bCs/>
          <w:szCs w:val="24"/>
        </w:rPr>
      </w:pPr>
    </w:p>
    <w:p w14:paraId="53A7359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50C028F0" w14:textId="77777777" w:rsidR="005868E0" w:rsidRPr="00471D17" w:rsidRDefault="005868E0" w:rsidP="005868E0">
      <w:pPr>
        <w:autoSpaceDE w:val="0"/>
        <w:autoSpaceDN w:val="0"/>
        <w:adjustRightInd w:val="0"/>
        <w:rPr>
          <w:rFonts w:cs="Times New Roman"/>
          <w:b/>
          <w:bCs/>
          <w:szCs w:val="24"/>
        </w:rPr>
      </w:pPr>
    </w:p>
    <w:p w14:paraId="76EF70C7"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5AC66A38" w14:textId="77777777" w:rsidR="005868E0" w:rsidRPr="00471D17" w:rsidRDefault="005868E0" w:rsidP="005868E0">
      <w:pPr>
        <w:autoSpaceDE w:val="0"/>
        <w:autoSpaceDN w:val="0"/>
        <w:adjustRightInd w:val="0"/>
        <w:rPr>
          <w:rFonts w:cs="Times New Roman"/>
          <w:b/>
          <w:bCs/>
          <w:szCs w:val="24"/>
        </w:rPr>
      </w:pPr>
    </w:p>
    <w:p w14:paraId="08E5BDC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70AEA0E2" w14:textId="77777777" w:rsidR="005868E0" w:rsidRPr="00471D17" w:rsidRDefault="005868E0" w:rsidP="005868E0">
      <w:pPr>
        <w:autoSpaceDE w:val="0"/>
        <w:autoSpaceDN w:val="0"/>
        <w:adjustRightInd w:val="0"/>
        <w:rPr>
          <w:rFonts w:cs="Times New Roman"/>
          <w:b/>
          <w:bCs/>
          <w:szCs w:val="24"/>
        </w:rPr>
      </w:pPr>
    </w:p>
    <w:p w14:paraId="765EE846" w14:textId="77777777" w:rsidR="005868E0" w:rsidRPr="00471D17" w:rsidRDefault="005868E0" w:rsidP="005868E0">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xml:space="preserve">, 843 F.2d 1228, 1231 (9th Cir. 1988)).  The analysis depends on the “totality of the circumstances” and is “fact-specific.”  </w:t>
      </w:r>
      <w:r w:rsidRPr="00471D17">
        <w:rPr>
          <w:rFonts w:cs="Times New Roman"/>
          <w:i/>
          <w:iCs/>
          <w:szCs w:val="24"/>
        </w:rPr>
        <w:t>Id.</w:t>
      </w:r>
    </w:p>
    <w:p w14:paraId="3201AE1B" w14:textId="77777777" w:rsidR="005868E0" w:rsidRPr="00471D17" w:rsidRDefault="005868E0" w:rsidP="005868E0">
      <w:pPr>
        <w:autoSpaceDE w:val="0"/>
        <w:autoSpaceDN w:val="0"/>
        <w:adjustRightInd w:val="0"/>
        <w:rPr>
          <w:rFonts w:cs="Times New Roman"/>
          <w:i/>
          <w:iCs/>
          <w:szCs w:val="24"/>
        </w:rPr>
      </w:pPr>
    </w:p>
    <w:p w14:paraId="05811236" w14:textId="0023AB80" w:rsidR="005868E0" w:rsidRPr="00471D17" w:rsidRDefault="005868E0" w:rsidP="005868E0">
      <w:pPr>
        <w:autoSpaceDE w:val="0"/>
        <w:autoSpaceDN w:val="0"/>
        <w:adjustRightInd w:val="0"/>
        <w:ind w:left="720" w:right="720"/>
        <w:jc w:val="both"/>
        <w:rPr>
          <w:rFonts w:cs="Times New Roman"/>
          <w:b/>
          <w:bCs/>
          <w:szCs w:val="24"/>
        </w:rPr>
      </w:pPr>
      <w:r w:rsidRPr="00471D17">
        <w:rPr>
          <w:rFonts w:cs="Times New Roman"/>
          <w:szCs w:val="24"/>
        </w:rPr>
        <w:lastRenderedPageBreak/>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xml:space="preserve">, where the “suspects” are cooperative, those same actions may not constitute an arrest where the suspect is </w:t>
      </w:r>
      <w:r w:rsidR="000A337A" w:rsidRPr="00471D17">
        <w:rPr>
          <w:rFonts w:cs="Times New Roman"/>
          <w:szCs w:val="24"/>
        </w:rPr>
        <w:t>uncooperative,</w:t>
      </w:r>
      <w:r w:rsidRPr="00471D17">
        <w:rPr>
          <w:rFonts w:cs="Times New Roman"/>
          <w:szCs w:val="24"/>
        </w:rPr>
        <w:t xml:space="preserve"> or the police have specific reasons to believe that a serious threat to the safety of the officers exists.  “The relevant inquiry is always one of reasonableness under the circumstances.”</w:t>
      </w:r>
    </w:p>
    <w:p w14:paraId="43A45146" w14:textId="77777777" w:rsidR="005868E0" w:rsidRPr="00471D17" w:rsidRDefault="005868E0" w:rsidP="005868E0">
      <w:pPr>
        <w:autoSpaceDE w:val="0"/>
        <w:autoSpaceDN w:val="0"/>
        <w:adjustRightInd w:val="0"/>
        <w:rPr>
          <w:rFonts w:cs="Times New Roman"/>
          <w:b/>
          <w:bCs/>
          <w:szCs w:val="24"/>
        </w:rPr>
      </w:pPr>
    </w:p>
    <w:p w14:paraId="11CEB1FD" w14:textId="77777777" w:rsidR="005868E0" w:rsidRPr="00471D17" w:rsidRDefault="005868E0" w:rsidP="005868E0">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418EFC4B" w14:textId="77777777" w:rsidR="005868E0" w:rsidRPr="00471D17" w:rsidRDefault="005868E0" w:rsidP="005868E0">
      <w:pPr>
        <w:autoSpaceDE w:val="0"/>
        <w:autoSpaceDN w:val="0"/>
        <w:adjustRightInd w:val="0"/>
        <w:rPr>
          <w:rFonts w:cs="Times New Roman"/>
          <w:szCs w:val="24"/>
        </w:rPr>
      </w:pPr>
    </w:p>
    <w:p w14:paraId="75206525" w14:textId="23D2869C"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w:t>
      </w:r>
      <w:proofErr w:type="spellStart"/>
      <w:r w:rsidRPr="00471D17">
        <w:rPr>
          <w:rFonts w:cs="Times New Roman"/>
          <w:i/>
          <w:iCs/>
          <w:szCs w:val="24"/>
        </w:rPr>
        <w:t>Reynaga</w:t>
      </w:r>
      <w:proofErr w:type="spellEnd"/>
      <w:r w:rsidRPr="00471D17">
        <w:rPr>
          <w:rFonts w:cs="Times New Roman"/>
          <w:i/>
          <w:iCs/>
          <w:szCs w:val="24"/>
        </w:rPr>
        <w:t xml:space="preserve">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 xml:space="preserve">at 938. </w:t>
      </w:r>
    </w:p>
    <w:p w14:paraId="76D53E5D" w14:textId="77777777" w:rsidR="005868E0" w:rsidRPr="00471D17" w:rsidRDefault="005868E0" w:rsidP="005868E0">
      <w:pPr>
        <w:autoSpaceDE w:val="0"/>
        <w:autoSpaceDN w:val="0"/>
        <w:adjustRightInd w:val="0"/>
        <w:rPr>
          <w:rFonts w:cs="Times New Roman"/>
          <w:szCs w:val="24"/>
        </w:rPr>
      </w:pPr>
    </w:p>
    <w:p w14:paraId="6DC674C9" w14:textId="77777777" w:rsidR="005868E0" w:rsidRPr="00471D17" w:rsidRDefault="005868E0" w:rsidP="005868E0">
      <w:pPr>
        <w:autoSpaceDE w:val="0"/>
        <w:autoSpaceDN w:val="0"/>
        <w:adjustRightInd w:val="0"/>
        <w:rPr>
          <w:rFonts w:cs="Times New Roman"/>
          <w:szCs w:val="24"/>
        </w:rPr>
      </w:pPr>
    </w:p>
    <w:p w14:paraId="717B3EB9" w14:textId="77777777" w:rsidR="005868E0" w:rsidRDefault="005868E0" w:rsidP="005868E0">
      <w:pPr>
        <w:jc w:val="right"/>
      </w:pPr>
      <w:r w:rsidRPr="00471D17">
        <w:rPr>
          <w:rFonts w:cs="Times New Roman"/>
          <w:i/>
          <w:iCs/>
          <w:szCs w:val="24"/>
        </w:rPr>
        <w:t xml:space="preserve">Revised </w:t>
      </w:r>
      <w:r>
        <w:rPr>
          <w:rFonts w:cs="Times New Roman"/>
          <w:i/>
          <w:iCs/>
          <w:szCs w:val="24"/>
        </w:rPr>
        <w:t>June 2021</w:t>
      </w:r>
    </w:p>
    <w:p w14:paraId="7D8F6058" w14:textId="77777777" w:rsidR="006A4CD7" w:rsidRPr="006A4CD7" w:rsidRDefault="006A4CD7" w:rsidP="0060759C">
      <w:pPr>
        <w:autoSpaceDE w:val="0"/>
        <w:autoSpaceDN w:val="0"/>
        <w:adjustRightInd w:val="0"/>
        <w:rPr>
          <w:rFonts w:cs="Times New Roman"/>
          <w:szCs w:val="24"/>
        </w:rPr>
      </w:pPr>
    </w:p>
    <w:p w14:paraId="00701E43" w14:textId="77777777" w:rsidR="006A4CD7" w:rsidRPr="006A4CD7" w:rsidRDefault="006A4CD7" w:rsidP="0060759C">
      <w:pPr>
        <w:autoSpaceDE w:val="0"/>
        <w:autoSpaceDN w:val="0"/>
        <w:adjustRightInd w:val="0"/>
        <w:rPr>
          <w:rFonts w:cs="Times New Roman"/>
          <w:szCs w:val="24"/>
        </w:rPr>
      </w:pPr>
    </w:p>
    <w:p w14:paraId="6845A16A" w14:textId="1D825F30" w:rsidR="006A4CD7" w:rsidRPr="006A4CD7" w:rsidRDefault="006A4CD7" w:rsidP="0060759C">
      <w:pPr>
        <w:autoSpaceDE w:val="0"/>
        <w:autoSpaceDN w:val="0"/>
        <w:adjustRightInd w:val="0"/>
        <w:jc w:val="right"/>
        <w:rPr>
          <w:rFonts w:cs="Times New Roman"/>
          <w:szCs w:val="24"/>
        </w:rPr>
      </w:pPr>
    </w:p>
    <w:p w14:paraId="524E5EBD" w14:textId="4052AEDD" w:rsidR="006A4CD7" w:rsidRPr="006A4CD7" w:rsidRDefault="006A4CD7" w:rsidP="00352D49">
      <w:pPr>
        <w:pStyle w:val="Heading2"/>
      </w:pPr>
      <w:r w:rsidRPr="006A4CD7">
        <w:br w:type="page"/>
      </w:r>
      <w:bookmarkStart w:id="144" w:name="_Toc117512438"/>
      <w:r w:rsidRPr="006A4CD7">
        <w:lastRenderedPageBreak/>
        <w:t xml:space="preserve">9.22 </w:t>
      </w:r>
      <w:r w:rsidR="00884DFA" w:rsidRPr="00884DFA">
        <w:t>Particular Rights—Fourth Amendment—Unreasonable Search—Exception to Warrant Requirement—</w:t>
      </w:r>
      <w:r w:rsidR="00884DFA" w:rsidRPr="00884DFA">
        <w:rPr>
          <w:i/>
          <w:iCs/>
        </w:rPr>
        <w:t>Terry</w:t>
      </w:r>
      <w:r w:rsidR="00884DFA" w:rsidRPr="00884DFA">
        <w:t xml:space="preserve"> Frisk</w:t>
      </w:r>
      <w:bookmarkEnd w:id="144"/>
    </w:p>
    <w:p w14:paraId="239547F0" w14:textId="77777777" w:rsidR="006A4CD7" w:rsidRPr="006A4CD7" w:rsidRDefault="006A4CD7" w:rsidP="0060759C">
      <w:pPr>
        <w:autoSpaceDE w:val="0"/>
        <w:autoSpaceDN w:val="0"/>
        <w:adjustRightInd w:val="0"/>
        <w:jc w:val="right"/>
        <w:rPr>
          <w:rFonts w:cs="Times New Roman"/>
          <w:szCs w:val="24"/>
        </w:rPr>
      </w:pPr>
    </w:p>
    <w:p w14:paraId="30F57C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54B280CA" w14:textId="77777777" w:rsidR="006A4CD7" w:rsidRPr="006A4CD7" w:rsidRDefault="006A4CD7" w:rsidP="0060759C">
      <w:pPr>
        <w:autoSpaceDE w:val="0"/>
        <w:autoSpaceDN w:val="0"/>
        <w:adjustRightInd w:val="0"/>
        <w:rPr>
          <w:rFonts w:cs="Times New Roman"/>
          <w:szCs w:val="24"/>
        </w:rPr>
      </w:pPr>
    </w:p>
    <w:p w14:paraId="5F03AB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for weapons is permissible if, under all the circumstances known to the officer[s] at the time:</w:t>
      </w:r>
    </w:p>
    <w:p w14:paraId="2AD78A2C" w14:textId="77777777" w:rsidR="006A4CD7" w:rsidRPr="006A4CD7" w:rsidRDefault="006A4CD7" w:rsidP="0060759C">
      <w:pPr>
        <w:autoSpaceDE w:val="0"/>
        <w:autoSpaceDN w:val="0"/>
        <w:adjustRightInd w:val="0"/>
        <w:rPr>
          <w:rFonts w:cs="Times New Roman"/>
          <w:szCs w:val="24"/>
        </w:rPr>
      </w:pPr>
    </w:p>
    <w:p w14:paraId="29DC7BB3"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officer[s] had a reasonable suspicion that the person was armed and presently dangerous to the officer[s] or to others; and</w:t>
      </w:r>
    </w:p>
    <w:p w14:paraId="0A8240F8" w14:textId="77777777" w:rsidR="006A4CD7" w:rsidRPr="006A4CD7" w:rsidRDefault="006A4CD7" w:rsidP="000C514A">
      <w:pPr>
        <w:autoSpaceDE w:val="0"/>
        <w:autoSpaceDN w:val="0"/>
        <w:adjustRightInd w:val="0"/>
        <w:ind w:left="1440" w:hanging="720"/>
        <w:rPr>
          <w:rFonts w:cs="Times New Roman"/>
          <w:szCs w:val="24"/>
        </w:rPr>
      </w:pPr>
    </w:p>
    <w:p w14:paraId="420333C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scope of the search was strictly limited to that which is necessary for the discovery of weapons.</w:t>
      </w:r>
    </w:p>
    <w:p w14:paraId="0FE5156F" w14:textId="77777777" w:rsidR="006A4CD7" w:rsidRPr="006A4CD7" w:rsidRDefault="006A4CD7" w:rsidP="0060759C">
      <w:pPr>
        <w:autoSpaceDE w:val="0"/>
        <w:autoSpaceDN w:val="0"/>
        <w:adjustRightInd w:val="0"/>
        <w:rPr>
          <w:rFonts w:cs="Times New Roman"/>
          <w:szCs w:val="24"/>
        </w:rPr>
      </w:pPr>
    </w:p>
    <w:p w14:paraId="6273FE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16E99B79" w14:textId="77777777" w:rsidR="006A4CD7" w:rsidRPr="006A4CD7" w:rsidRDefault="006A4CD7" w:rsidP="0060759C">
      <w:pPr>
        <w:autoSpaceDE w:val="0"/>
        <w:autoSpaceDN w:val="0"/>
        <w:adjustRightInd w:val="0"/>
        <w:jc w:val="right"/>
        <w:rPr>
          <w:rFonts w:cs="Times New Roman"/>
          <w:szCs w:val="24"/>
        </w:rPr>
      </w:pPr>
    </w:p>
    <w:p w14:paraId="1AFE361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6EE97A" w14:textId="77777777" w:rsidR="006A4CD7" w:rsidRPr="006A4CD7" w:rsidRDefault="006A4CD7" w:rsidP="0060759C">
      <w:pPr>
        <w:autoSpaceDE w:val="0"/>
        <w:autoSpaceDN w:val="0"/>
        <w:adjustRightInd w:val="0"/>
        <w:jc w:val="center"/>
        <w:rPr>
          <w:rFonts w:cs="Times New Roman"/>
          <w:szCs w:val="24"/>
        </w:rPr>
      </w:pPr>
    </w:p>
    <w:p w14:paraId="2AFFB9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police officer may conduct a </w:t>
      </w:r>
      <w:proofErr w:type="spellStart"/>
      <w:r w:rsidRPr="006A4CD7">
        <w:rPr>
          <w:rFonts w:cs="Times New Roman"/>
          <w:szCs w:val="24"/>
        </w:rPr>
        <w:t>patdown</w:t>
      </w:r>
      <w:proofErr w:type="spellEnd"/>
      <w:r w:rsidRPr="006A4CD7">
        <w:rPr>
          <w:rFonts w:cs="Times New Roman"/>
          <w:szCs w:val="24"/>
        </w:rPr>
        <w:t xml:space="preserve"> search to determine whether a person is carrying a weapon when the officer has a reasonable suspicion that the person is armed and presently dangerous to the officer or to others. </w:t>
      </w:r>
      <w:r w:rsidRPr="006A4CD7">
        <w:rPr>
          <w:rFonts w:cs="Times New Roman"/>
          <w:i/>
          <w:iCs/>
          <w:szCs w:val="24"/>
        </w:rPr>
        <w:t xml:space="preserve"> Terry v. Ohio</w:t>
      </w:r>
      <w:r w:rsidRPr="006A4CD7">
        <w:rPr>
          <w:rFonts w:cs="Times New Roman"/>
          <w:szCs w:val="24"/>
        </w:rPr>
        <w:t xml:space="preserve">, 392 U.S. 1, 24 (1983).  “The purpose of this limited search is not to discover evidence of crime, but to allow the officer to pursue his investigation without fear of violence . . . .” </w:t>
      </w:r>
      <w:r w:rsidRPr="006A4CD7">
        <w:rPr>
          <w:rFonts w:cs="Times New Roman"/>
          <w:i/>
          <w:iCs/>
          <w:szCs w:val="24"/>
        </w:rPr>
        <w:t xml:space="preserve"> Adams v. Williams</w:t>
      </w:r>
      <w:r w:rsidRPr="006A4CD7">
        <w:rPr>
          <w:rFonts w:cs="Times New Roman"/>
          <w:szCs w:val="24"/>
        </w:rPr>
        <w:t xml:space="preserve">, 407 U.S. 143, 146 (1972).  Thus, the scope of the search “must be strictly ‘limited to that which is necessary for the discovery of weapons which might be used to harm the officer or others nearby.’”  </w:t>
      </w:r>
      <w:r w:rsidRPr="006A4CD7">
        <w:rPr>
          <w:rFonts w:cs="Times New Roman"/>
          <w:i/>
          <w:iCs/>
          <w:szCs w:val="24"/>
        </w:rPr>
        <w:t>Minnesota v. Dickerson</w:t>
      </w:r>
      <w:r w:rsidRPr="006A4CD7">
        <w:rPr>
          <w:rFonts w:cs="Times New Roman"/>
          <w:szCs w:val="24"/>
        </w:rPr>
        <w:t xml:space="preserve">, 508 U.S. 366, 373 (1993) (quoting </w:t>
      </w:r>
      <w:r w:rsidRPr="006A4CD7">
        <w:rPr>
          <w:rFonts w:cs="Times New Roman"/>
          <w:i/>
          <w:iCs/>
          <w:szCs w:val="24"/>
        </w:rPr>
        <w:t>Terry</w:t>
      </w:r>
      <w:r w:rsidRPr="006A4CD7">
        <w:rPr>
          <w:rFonts w:cs="Times New Roman"/>
          <w:szCs w:val="24"/>
        </w:rPr>
        <w:t>, 392 U.S. at 24).</w:t>
      </w:r>
    </w:p>
    <w:p w14:paraId="2F71999F" w14:textId="77777777" w:rsidR="006A4CD7" w:rsidRPr="006A4CD7" w:rsidRDefault="006A4CD7" w:rsidP="0060759C">
      <w:pPr>
        <w:autoSpaceDE w:val="0"/>
        <w:autoSpaceDN w:val="0"/>
        <w:adjustRightInd w:val="0"/>
        <w:rPr>
          <w:rFonts w:cs="Times New Roman"/>
          <w:szCs w:val="24"/>
        </w:rPr>
      </w:pPr>
    </w:p>
    <w:p w14:paraId="341F41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Reasonable suspicion is an objective standard, which requires consideration of the totality of the circumstances. </w:t>
      </w:r>
      <w:r w:rsidRPr="006A4CD7">
        <w:rPr>
          <w:rFonts w:cs="Times New Roman"/>
          <w:i/>
          <w:iCs/>
          <w:szCs w:val="24"/>
        </w:rPr>
        <w:t>Terry</w:t>
      </w:r>
      <w:r w:rsidRPr="006A4CD7">
        <w:rPr>
          <w:rFonts w:cs="Times New Roman"/>
          <w:szCs w:val="24"/>
        </w:rPr>
        <w:t>, 392 U.S. at 28.</w:t>
      </w:r>
    </w:p>
    <w:p w14:paraId="2E1CE1B0" w14:textId="77777777" w:rsidR="006A4CD7" w:rsidRPr="006A4CD7" w:rsidRDefault="006A4CD7" w:rsidP="0060759C">
      <w:pPr>
        <w:autoSpaceDE w:val="0"/>
        <w:autoSpaceDN w:val="0"/>
        <w:adjustRightInd w:val="0"/>
        <w:rPr>
          <w:rFonts w:cs="Times New Roman"/>
          <w:szCs w:val="24"/>
        </w:rPr>
      </w:pPr>
    </w:p>
    <w:p w14:paraId="2EFAD55D" w14:textId="48A5E448" w:rsidR="006A4CD7" w:rsidRPr="000A337A" w:rsidRDefault="006A4CD7" w:rsidP="000A337A">
      <w:pPr>
        <w:autoSpaceDE w:val="0"/>
        <w:autoSpaceDN w:val="0"/>
        <w:adjustRightInd w:val="0"/>
        <w:ind w:left="720" w:right="720"/>
        <w:rPr>
          <w:rFonts w:cs="Times New Roman"/>
          <w:szCs w:val="24"/>
        </w:rPr>
      </w:pPr>
      <w:r w:rsidRPr="006A4CD7">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67D82E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Thomas v. Dillard</w:t>
      </w:r>
      <w:r w:rsidRPr="006A4CD7">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6A4CD7">
        <w:rPr>
          <w:rFonts w:cs="Times New Roman"/>
          <w:i/>
          <w:iCs/>
          <w:szCs w:val="24"/>
        </w:rPr>
        <w:t>Id</w:t>
      </w:r>
      <w:r w:rsidRPr="006A4CD7">
        <w:rPr>
          <w:rFonts w:cs="Times New Roman"/>
          <w:szCs w:val="24"/>
        </w:rPr>
        <w:t>. at 878.</w:t>
      </w:r>
    </w:p>
    <w:p w14:paraId="6B7D8712" w14:textId="77777777" w:rsidR="006A4CD7" w:rsidRPr="006A4CD7" w:rsidRDefault="006A4CD7" w:rsidP="0060759C">
      <w:pPr>
        <w:autoSpaceDE w:val="0"/>
        <w:autoSpaceDN w:val="0"/>
        <w:adjustRightInd w:val="0"/>
        <w:rPr>
          <w:rFonts w:cs="Times New Roman"/>
          <w:szCs w:val="24"/>
        </w:rPr>
      </w:pPr>
    </w:p>
    <w:p w14:paraId="49B3A6D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lawful frisk does not always flow from a justified stop.”  </w:t>
      </w:r>
      <w:r w:rsidRPr="006A4CD7">
        <w:rPr>
          <w:rFonts w:cs="Times New Roman"/>
          <w:i/>
          <w:iCs/>
          <w:szCs w:val="24"/>
        </w:rPr>
        <w:t>United States v. Thomas</w:t>
      </w:r>
      <w:r w:rsidRPr="006A4CD7">
        <w:rPr>
          <w:rFonts w:cs="Times New Roman"/>
          <w:szCs w:val="24"/>
        </w:rPr>
        <w:t xml:space="preserve">, 863 F.2d 622, 628 (9th Cir. 1988).  Rather, “[e]ach element, the stop and the frisk, must be analyzed separately; the reasonableness of each must be independently determined.” </w:t>
      </w:r>
      <w:r w:rsidRPr="006A4CD7">
        <w:rPr>
          <w:rFonts w:cs="Times New Roman"/>
          <w:i/>
          <w:iCs/>
          <w:szCs w:val="24"/>
        </w:rPr>
        <w:t xml:space="preserve"> Id</w:t>
      </w:r>
      <w:r w:rsidRPr="006A4CD7">
        <w:rPr>
          <w:rFonts w:cs="Times New Roman"/>
          <w:szCs w:val="24"/>
        </w:rPr>
        <w:t xml:space="preserve">.  For </w:t>
      </w:r>
      <w:r w:rsidRPr="006A4CD7">
        <w:rPr>
          <w:rFonts w:cs="Times New Roman"/>
          <w:i/>
          <w:iCs/>
          <w:szCs w:val="24"/>
        </w:rPr>
        <w:t xml:space="preserve">Terry </w:t>
      </w:r>
      <w:r w:rsidRPr="006A4CD7">
        <w:rPr>
          <w:rFonts w:cs="Times New Roman"/>
          <w:szCs w:val="24"/>
        </w:rPr>
        <w:t>stops, use Instruction 9.21 (Particular Rights—Fourth Amendment—Unreasonable Seizure of Person—Exception to Warrant Requirement—</w:t>
      </w:r>
      <w:r w:rsidRPr="006A4CD7">
        <w:rPr>
          <w:rFonts w:cs="Times New Roman"/>
          <w:i/>
          <w:iCs/>
          <w:szCs w:val="24"/>
        </w:rPr>
        <w:t>Terry</w:t>
      </w:r>
      <w:r w:rsidRPr="006A4CD7">
        <w:rPr>
          <w:rFonts w:cs="Times New Roman"/>
          <w:szCs w:val="24"/>
        </w:rPr>
        <w:t xml:space="preserve"> Stop).</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7B94EC27" w14:textId="0AAAE63F" w:rsidR="006A4CD7" w:rsidRPr="006A4CD7" w:rsidRDefault="006A4CD7" w:rsidP="00352D49">
      <w:pPr>
        <w:pStyle w:val="Heading2"/>
      </w:pPr>
      <w:r w:rsidRPr="006A4CD7">
        <w:br w:type="page"/>
      </w:r>
      <w:bookmarkStart w:id="145" w:name="_Toc117512439"/>
      <w:r w:rsidRPr="006A4CD7">
        <w:lastRenderedPageBreak/>
        <w:t xml:space="preserve">9.23 </w:t>
      </w:r>
      <w:r w:rsidR="00884DFA" w:rsidRPr="00884DFA">
        <w:t>Particular Rights—Fourth Amendment—Unreasonable Seizure of Person—Probable Cause Arrest</w:t>
      </w:r>
      <w:bookmarkEnd w:id="145"/>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0F6A5E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w:t>
      </w:r>
      <w:proofErr w:type="spellStart"/>
      <w:r w:rsidRPr="006A4CD7">
        <w:rPr>
          <w:rFonts w:cs="Times New Roman"/>
          <w:i/>
          <w:iCs/>
          <w:szCs w:val="24"/>
        </w:rPr>
        <w:t>Gravelet-Blondin</w:t>
      </w:r>
      <w:proofErr w:type="spellEnd"/>
      <w:r w:rsidRPr="006A4CD7">
        <w:rPr>
          <w:rFonts w:cs="Times New Roman"/>
          <w:i/>
          <w:iCs/>
          <w:szCs w:val="24"/>
        </w:rPr>
        <w:t xml:space="preserve">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 xml:space="preserve">District of Columbia v. </w:t>
      </w:r>
      <w:proofErr w:type="spellStart"/>
      <w:r w:rsidRPr="006A4CD7">
        <w:rPr>
          <w:rFonts w:cs="Times New Roman"/>
          <w:i/>
          <w:iCs/>
          <w:szCs w:val="24"/>
        </w:rPr>
        <w:t>Wesby</w:t>
      </w:r>
      <w:proofErr w:type="spellEnd"/>
      <w:r w:rsidRPr="006A4CD7">
        <w:rPr>
          <w:rFonts w:cs="Times New Roman"/>
          <w:szCs w:val="24"/>
        </w:rPr>
        <w:t>, 138 S.</w:t>
      </w:r>
      <w:r w:rsidR="007453CD">
        <w:rPr>
          <w:rFonts w:cs="Times New Roman"/>
          <w:szCs w:val="24"/>
        </w:rPr>
        <w:t xml:space="preserve"> </w:t>
      </w:r>
      <w:r w:rsidRPr="006A4CD7">
        <w:rPr>
          <w:rFonts w:cs="Times New Roman"/>
          <w:szCs w:val="24"/>
        </w:rPr>
        <w:t>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Devenpeck</w:t>
      </w:r>
      <w:proofErr w:type="spellEnd"/>
      <w:r w:rsidRPr="006A4CD7">
        <w:rPr>
          <w:rFonts w:cs="Times New Roman"/>
          <w:i/>
          <w:iCs/>
          <w:szCs w:val="24"/>
        </w:rPr>
        <w:t xml:space="preserve">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2CDDE4F4" w14:textId="77777777" w:rsidR="00711209"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w:t>
      </w:r>
    </w:p>
    <w:p w14:paraId="5851445D" w14:textId="4747E9B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lastRenderedPageBreak/>
        <w:t>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That is to say, his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proofErr w:type="spellStart"/>
      <w:r w:rsidRPr="006A4CD7">
        <w:rPr>
          <w:rFonts w:cs="Times New Roman"/>
          <w:i/>
          <w:iCs/>
          <w:szCs w:val="24"/>
        </w:rPr>
        <w:t>Devenpeck</w:t>
      </w:r>
      <w:proofErr w:type="spellEnd"/>
      <w:r w:rsidRPr="006A4CD7">
        <w:rPr>
          <w:rFonts w:cs="Times New Roman"/>
          <w:i/>
          <w:iCs/>
          <w:szCs w:val="24"/>
        </w:rPr>
        <w:t xml:space="preserve">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 xml:space="preserve">United States v. </w:t>
      </w:r>
      <w:proofErr w:type="spellStart"/>
      <w:r w:rsidRPr="006A4CD7">
        <w:rPr>
          <w:rFonts w:cs="Times New Roman"/>
          <w:i/>
          <w:iCs/>
          <w:szCs w:val="24"/>
        </w:rPr>
        <w:t>Struckman</w:t>
      </w:r>
      <w:proofErr w:type="spellEnd"/>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“‘[S]</w:t>
      </w:r>
      <w:proofErr w:type="spellStart"/>
      <w:r w:rsidRPr="006A4CD7">
        <w:rPr>
          <w:rFonts w:cs="Times New Roman"/>
          <w:szCs w:val="24"/>
        </w:rPr>
        <w:t>tate</w:t>
      </w:r>
      <w:proofErr w:type="spellEnd"/>
      <w:r w:rsidRPr="006A4CD7">
        <w:rPr>
          <w:rFonts w:cs="Times New Roman"/>
          <w:szCs w:val="24"/>
        </w:rPr>
        <w:t xml:space="preserv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Hopkins v. </w:t>
      </w:r>
      <w:proofErr w:type="spellStart"/>
      <w:r w:rsidRPr="006A4CD7">
        <w:rPr>
          <w:rFonts w:cs="Times New Roman"/>
          <w:i/>
          <w:iCs/>
          <w:szCs w:val="24"/>
        </w:rPr>
        <w:t>Bonvicino</w:t>
      </w:r>
      <w:proofErr w:type="spellEnd"/>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59142780" w14:textId="4FBD9FD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903 F.3d 943, 949 (9th Cir. 2018) (affirming summary judgment in favor of plaintiff middle school students unreasonably arrested without probable cause).</w:t>
      </w: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In </w:t>
      </w:r>
      <w:proofErr w:type="spellStart"/>
      <w:r w:rsidRPr="006A4CD7">
        <w:rPr>
          <w:rFonts w:cs="Times New Roman"/>
          <w:i/>
          <w:iCs/>
          <w:szCs w:val="24"/>
        </w:rPr>
        <w:t>Reynaga</w:t>
      </w:r>
      <w:proofErr w:type="spellEnd"/>
      <w:r w:rsidRPr="006A4CD7">
        <w:rPr>
          <w:rFonts w:cs="Times New Roman"/>
          <w:i/>
          <w:iCs/>
          <w:szCs w:val="24"/>
        </w:rPr>
        <w:t xml:space="preserve">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746C7978" w14:textId="32A39EA5" w:rsidR="006A4CD7" w:rsidRPr="006A4CD7" w:rsidRDefault="006A4CD7" w:rsidP="00352D49">
      <w:pPr>
        <w:pStyle w:val="Heading2"/>
      </w:pPr>
      <w:r w:rsidRPr="006A4CD7">
        <w:br w:type="page"/>
      </w:r>
      <w:bookmarkStart w:id="146" w:name="_Toc117512440"/>
      <w:r w:rsidRPr="006A4CD7">
        <w:lastRenderedPageBreak/>
        <w:t xml:space="preserve">9.24 </w:t>
      </w:r>
      <w:r w:rsidR="00884DFA" w:rsidRPr="00884DFA">
        <w:t>Particular Rights—Fourth Amendment—Unreasonable Seizure of Person—Detention During Execution of Search Warrant</w:t>
      </w:r>
      <w:bookmarkEnd w:id="146"/>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period of time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the officer[s] detained the plaintiff unreasonably in this case, consider all of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the severity of the suspected crime or other circumstances that led to the search warrant;</w:t>
      </w:r>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whether the plaintiff was the subject of the investigation that led to the search warrant;</w:t>
      </w:r>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whether the plaintiff posed an immediate threat to the safety of the officer[s] or to others or to the ability of the officer[s] to conduct the search safely;</w:t>
      </w:r>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whether the plaintiff was actively resisting arrest or attempting to flee;</w:t>
      </w:r>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whether the detention of the plaintiff was unnecessarily painful, degrading, prolonged, or involved an undue invasion of privacy;</w:t>
      </w:r>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6778B32C" w:rsid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1C7E7C0C" w14:textId="77777777" w:rsidR="003810EF" w:rsidRPr="006A4CD7" w:rsidRDefault="003810EF" w:rsidP="0060759C">
      <w:pPr>
        <w:autoSpaceDE w:val="0"/>
        <w:autoSpaceDN w:val="0"/>
        <w:adjustRightInd w:val="0"/>
        <w:rPr>
          <w:rFonts w:cs="Times New Roman"/>
          <w:szCs w:val="24"/>
        </w:rPr>
      </w:pPr>
    </w:p>
    <w:p w14:paraId="784999F2" w14:textId="77777777" w:rsidR="007453CD" w:rsidRDefault="006A4CD7" w:rsidP="0060759C">
      <w:pPr>
        <w:autoSpaceDE w:val="0"/>
        <w:autoSpaceDN w:val="0"/>
        <w:adjustRightInd w:val="0"/>
        <w:rPr>
          <w:rFonts w:cs="Times New Roman"/>
          <w:i/>
          <w:iCs/>
          <w:szCs w:val="24"/>
        </w:rPr>
      </w:pPr>
      <w:r w:rsidRPr="006A4CD7">
        <w:rPr>
          <w:rFonts w:cs="Times New Roman"/>
          <w:szCs w:val="24"/>
        </w:rPr>
        <w:tab/>
        <w:t xml:space="preserve">This instruction is based on the district court’s jury instructions approved in </w:t>
      </w:r>
      <w:proofErr w:type="spellStart"/>
      <w:r w:rsidRPr="006A4CD7">
        <w:rPr>
          <w:rFonts w:cs="Times New Roman"/>
          <w:i/>
          <w:iCs/>
          <w:szCs w:val="24"/>
        </w:rPr>
        <w:t>Muehler</w:t>
      </w:r>
      <w:proofErr w:type="spellEnd"/>
      <w:r w:rsidRPr="006A4CD7">
        <w:rPr>
          <w:rFonts w:cs="Times New Roman"/>
          <w:i/>
          <w:iCs/>
          <w:szCs w:val="24"/>
        </w:rPr>
        <w:t xml:space="preserve"> v. </w:t>
      </w:r>
    </w:p>
    <w:p w14:paraId="2205B048" w14:textId="7EA76E91"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Mena</w:t>
      </w:r>
      <w:r w:rsidRPr="006A4CD7">
        <w:rPr>
          <w:rFonts w:cs="Times New Roman"/>
          <w:szCs w:val="24"/>
        </w:rPr>
        <w:t xml:space="preserve">, 544 U.S. 93, 104 n.2, 108 (2005) (Stevens, J., concurring).  In </w:t>
      </w:r>
      <w:proofErr w:type="spellStart"/>
      <w:r w:rsidRPr="006A4CD7">
        <w:rPr>
          <w:rFonts w:cs="Times New Roman"/>
          <w:i/>
          <w:iCs/>
          <w:szCs w:val="24"/>
        </w:rPr>
        <w:t>Muehler</w:t>
      </w:r>
      <w:proofErr w:type="spellEnd"/>
      <w:r w:rsidRPr="006A4CD7">
        <w:rPr>
          <w:rFonts w:cs="Times New Roman"/>
          <w:szCs w:val="24"/>
        </w:rPr>
        <w:t xml:space="preserve">, the Supreme 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r w:rsidRPr="006A4CD7">
        <w:rPr>
          <w:rFonts w:cs="Times New Roman"/>
          <w:szCs w:val="24"/>
        </w:rPr>
        <w:t>had</w:t>
      </w:r>
    </w:p>
    <w:p w14:paraId="4F488190" w14:textId="77777777" w:rsidR="006A4CD7" w:rsidRPr="006A4CD7" w:rsidRDefault="006A4CD7" w:rsidP="0060759C">
      <w:pPr>
        <w:autoSpaceDE w:val="0"/>
        <w:autoSpaceDN w:val="0"/>
        <w:adjustRightInd w:val="0"/>
        <w:rPr>
          <w:rFonts w:cs="Times New Roman"/>
          <w:szCs w:val="24"/>
        </w:rPr>
      </w:pPr>
    </w:p>
    <w:p w14:paraId="2B9F4F20" w14:textId="5E95FAD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in the event that incriminating evidence is found”; “minimizing the risk of harm to the officers”; and facilitating “the orderly completion of the search,” as detainees’ “self-interest may induce them to open locked doors or locked containers to avoid the use of force </w:t>
      </w:r>
      <w:r w:rsidR="003810EF" w:rsidRPr="006A4CD7">
        <w:rPr>
          <w:rFonts w:cs="Times New Roman"/>
          <w:szCs w:val="24"/>
        </w:rPr>
        <w:t>. . ..</w:t>
      </w:r>
      <w:r w:rsidRPr="006A4CD7">
        <w:rPr>
          <w:rFonts w:cs="Times New Roman"/>
          <w:szCs w:val="24"/>
        </w:rPr>
        <w:t xml:space="preserve">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2F1604D4"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t>
      </w:r>
      <w:r w:rsidR="003810EF" w:rsidRPr="006A4CD7">
        <w:rPr>
          <w:rFonts w:cs="Times New Roman"/>
          <w:szCs w:val="24"/>
        </w:rPr>
        <w:t>warrants and</w:t>
      </w:r>
      <w:r w:rsidRPr="006A4CD7">
        <w:rPr>
          <w:rFonts w:cs="Times New Roman"/>
          <w:szCs w:val="24"/>
        </w:rPr>
        <w:t xml:space="preserve"> does not give law enforcement officers the categorical authority to detain home occupants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particular circumstances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proofErr w:type="spellStart"/>
      <w:r w:rsidRPr="006A4CD7">
        <w:rPr>
          <w:rFonts w:cs="Times New Roman"/>
          <w:i/>
          <w:iCs/>
          <w:szCs w:val="24"/>
        </w:rPr>
        <w:t>Muehler</w:t>
      </w:r>
      <w:proofErr w:type="spellEnd"/>
      <w:r w:rsidRPr="006A4CD7">
        <w:rPr>
          <w:rFonts w:cs="Times New Roman"/>
          <w:i/>
          <w:iCs/>
          <w:szCs w:val="24"/>
        </w:rPr>
        <w:t xml:space="preserve">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that “[t]o determine whether a detention incident to a search is constitutionally reasonable, [a court should] balance the law enforcement interests served by the detention against the public’s privacy interests.”  435 F.3d 1054, 1065-66 (9th Cir. 2006).  “[D]</w:t>
      </w:r>
      <w:proofErr w:type="spellStart"/>
      <w:r w:rsidRPr="006A4CD7">
        <w:rPr>
          <w:rFonts w:cs="Times New Roman"/>
          <w:szCs w:val="24"/>
        </w:rPr>
        <w:t>etaining</w:t>
      </w:r>
      <w:proofErr w:type="spellEnd"/>
      <w:r w:rsidRPr="006A4CD7">
        <w:rPr>
          <w:rFonts w:cs="Times New Roman"/>
          <w:szCs w:val="24"/>
        </w:rPr>
        <w:t xml:space="preserve">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4C738B7E"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w:t>
      </w:r>
      <w:r w:rsidR="003810EF" w:rsidRPr="006A4CD7">
        <w:rPr>
          <w:rFonts w:cs="Times New Roman"/>
          <w:szCs w:val="24"/>
        </w:rPr>
        <w:t>search and</w:t>
      </w:r>
      <w:r w:rsidRPr="006A4CD7">
        <w:rPr>
          <w:rFonts w:cs="Times New Roman"/>
          <w:szCs w:val="24"/>
        </w:rPr>
        <w:t xml:space="preserve"> require no further justification.  The police do not, however, have unfettered authority to detain a building’s occupants in any way they see fit.  </w:t>
      </w:r>
      <w:proofErr w:type="spellStart"/>
      <w:r w:rsidRPr="006A4CD7">
        <w:rPr>
          <w:rFonts w:cs="Times New Roman"/>
          <w:i/>
          <w:iCs/>
          <w:szCs w:val="24"/>
        </w:rPr>
        <w:t>Muehler</w:t>
      </w:r>
      <w:proofErr w:type="spellEnd"/>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xml:space="preserve">, 532 F.3d 1025, 1026 (9th Cir. 2008) (per </w:t>
      </w:r>
      <w:proofErr w:type="spellStart"/>
      <w:r w:rsidRPr="006A4CD7">
        <w:rPr>
          <w:rFonts w:cs="Times New Roman"/>
          <w:szCs w:val="24"/>
        </w:rPr>
        <w:t>curiam</w:t>
      </w:r>
      <w:proofErr w:type="spellEnd"/>
      <w:r w:rsidRPr="006A4CD7">
        <w:rPr>
          <w:rFonts w:cs="Times New Roman"/>
          <w:szCs w:val="24"/>
        </w:rPr>
        <w:t>)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3BFDD7F0" w14:textId="77777777" w:rsidR="007453CD"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(holding that </w:t>
      </w:r>
    </w:p>
    <w:p w14:paraId="0161D9EC" w14:textId="3AA3E10F" w:rsidR="006A4CD7" w:rsidRPr="006A4CD7" w:rsidRDefault="006A4CD7" w:rsidP="0060759C">
      <w:pPr>
        <w:autoSpaceDE w:val="0"/>
        <w:autoSpaceDN w:val="0"/>
        <w:adjustRightInd w:val="0"/>
        <w:rPr>
          <w:rFonts w:cs="Times New Roman"/>
          <w:b/>
          <w:bCs/>
          <w:szCs w:val="24"/>
        </w:rPr>
      </w:pPr>
      <w:r w:rsidRPr="006A4CD7">
        <w:rPr>
          <w:rFonts w:cs="Times New Roman"/>
          <w:szCs w:val="24"/>
        </w:rPr>
        <w:lastRenderedPageBreak/>
        <w:t xml:space="preserve">detention of person one mile from premises, who had left premises before search began, was not sufficiently connected to search of premises).  “Confining an officer’s authority to detain under </w:t>
      </w:r>
      <w:r w:rsidRPr="006A4CD7">
        <w:rPr>
          <w:rFonts w:cs="Times New Roman"/>
          <w:i/>
          <w:iCs/>
          <w:szCs w:val="24"/>
        </w:rPr>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00C0D0C4" w14:textId="00728846" w:rsidR="00137962" w:rsidRDefault="006A4CD7" w:rsidP="00352D49">
      <w:pPr>
        <w:pStyle w:val="Heading2"/>
      </w:pPr>
      <w:r w:rsidRPr="006A4CD7">
        <w:br w:type="page"/>
      </w:r>
      <w:bookmarkStart w:id="147" w:name="_Toc117512441"/>
      <w:r w:rsidRPr="006A4CD7">
        <w:lastRenderedPageBreak/>
        <w:t xml:space="preserve">9.25 </w:t>
      </w:r>
      <w:r w:rsidR="00884DFA" w:rsidRPr="00884DFA">
        <w:t>Particular Rights—Fourth Amendment—Unreasonable</w:t>
      </w:r>
      <w:bookmarkEnd w:id="147"/>
      <w:r w:rsidR="00884DFA" w:rsidRPr="00884DFA">
        <w:t xml:space="preserve"> </w:t>
      </w:r>
    </w:p>
    <w:p w14:paraId="4A698E95" w14:textId="52AF106F" w:rsidR="006A4CD7" w:rsidRPr="006A4CD7" w:rsidRDefault="00884DFA" w:rsidP="00352D49">
      <w:pPr>
        <w:pStyle w:val="Heading2"/>
      </w:pPr>
      <w:bookmarkStart w:id="148" w:name="_Toc117512442"/>
      <w:r w:rsidRPr="00884DFA">
        <w:t>Seizure of Person—Excessive Force</w:t>
      </w:r>
      <w:bookmarkEnd w:id="148"/>
    </w:p>
    <w:p w14:paraId="4E8FCD42" w14:textId="77777777" w:rsidR="006A4CD7" w:rsidRPr="006A4CD7" w:rsidRDefault="006A4CD7" w:rsidP="00D722C8"/>
    <w:p w14:paraId="2692C508" w14:textId="77777777" w:rsidR="00137962" w:rsidRPr="00137962" w:rsidRDefault="00305894" w:rsidP="00137962">
      <w:pPr>
        <w:autoSpaceDE w:val="0"/>
        <w:autoSpaceDN w:val="0"/>
        <w:adjustRightInd w:val="0"/>
        <w:rPr>
          <w:rFonts w:cs="Times New Roman"/>
          <w:szCs w:val="24"/>
        </w:rPr>
      </w:pPr>
      <w:r w:rsidRPr="00305894">
        <w:rPr>
          <w:rFonts w:cs="Times New Roman"/>
          <w:szCs w:val="24"/>
        </w:rPr>
        <w:tab/>
      </w:r>
      <w:r w:rsidR="00137962" w:rsidRPr="00137962">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00137962" w:rsidRPr="00137962">
        <w:rPr>
          <w:rFonts w:cs="Times New Roman"/>
          <w:i/>
          <w:iCs/>
          <w:szCs w:val="24"/>
          <w:u w:val="single"/>
        </w:rPr>
        <w:t>insert factual basis of claim</w:t>
      </w:r>
      <w:r w:rsidR="00137962" w:rsidRPr="00137962">
        <w:rPr>
          <w:rFonts w:cs="Times New Roman"/>
          <w:szCs w:val="24"/>
        </w:rPr>
        <w:t>].</w:t>
      </w:r>
    </w:p>
    <w:p w14:paraId="679D8D09" w14:textId="77777777" w:rsidR="00137962" w:rsidRPr="00137962" w:rsidRDefault="00137962" w:rsidP="00137962">
      <w:pPr>
        <w:autoSpaceDE w:val="0"/>
        <w:autoSpaceDN w:val="0"/>
        <w:adjustRightInd w:val="0"/>
        <w:rPr>
          <w:rFonts w:cs="Times New Roman"/>
          <w:szCs w:val="24"/>
        </w:rPr>
      </w:pPr>
    </w:p>
    <w:p w14:paraId="223876E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6B362D38" w14:textId="77777777" w:rsidR="00137962" w:rsidRPr="00137962" w:rsidRDefault="00137962" w:rsidP="00137962">
      <w:pPr>
        <w:autoSpaceDE w:val="0"/>
        <w:autoSpaceDN w:val="0"/>
        <w:adjustRightInd w:val="0"/>
        <w:rPr>
          <w:rFonts w:cs="Times New Roman"/>
          <w:szCs w:val="24"/>
        </w:rPr>
      </w:pPr>
    </w:p>
    <w:p w14:paraId="1871AB1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determining whether the officer used excessive force in this case, consider all of the circumstances known to the officer on the scene, including:</w:t>
      </w:r>
    </w:p>
    <w:p w14:paraId="5BBE556B" w14:textId="77777777" w:rsidR="00137962" w:rsidRPr="00137962" w:rsidRDefault="00137962" w:rsidP="00137962">
      <w:pPr>
        <w:autoSpaceDE w:val="0"/>
        <w:autoSpaceDN w:val="0"/>
        <w:adjustRightInd w:val="0"/>
        <w:rPr>
          <w:rFonts w:cs="Times New Roman"/>
          <w:szCs w:val="24"/>
        </w:rPr>
      </w:pPr>
    </w:p>
    <w:p w14:paraId="2FDFDA91"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the nature of the crime or other circumstances known to the officer[s] at the time force was applied;</w:t>
      </w:r>
    </w:p>
    <w:p w14:paraId="39D0A758" w14:textId="77777777" w:rsidR="00137962" w:rsidRPr="00137962" w:rsidRDefault="00137962" w:rsidP="00137962">
      <w:pPr>
        <w:autoSpaceDE w:val="0"/>
        <w:autoSpaceDN w:val="0"/>
        <w:adjustRightInd w:val="0"/>
        <w:rPr>
          <w:rFonts w:cs="Times New Roman"/>
          <w:szCs w:val="24"/>
        </w:rPr>
      </w:pPr>
    </w:p>
    <w:p w14:paraId="14B0BD6D"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whether the [plaintiff] [decedent] posed an immediate threat to the safety of the officer[s] or to others;</w:t>
      </w:r>
    </w:p>
    <w:p w14:paraId="5B5FCBFF" w14:textId="77777777" w:rsidR="00137962" w:rsidRPr="00137962" w:rsidRDefault="00137962" w:rsidP="00137962">
      <w:pPr>
        <w:autoSpaceDE w:val="0"/>
        <w:autoSpaceDN w:val="0"/>
        <w:adjustRightInd w:val="0"/>
        <w:rPr>
          <w:rFonts w:cs="Times New Roman"/>
          <w:szCs w:val="24"/>
        </w:rPr>
      </w:pPr>
    </w:p>
    <w:p w14:paraId="0521E7D5"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whether the plaintiff was actively resisting arrest or attempting to evade arrest by flight;]</w:t>
      </w:r>
    </w:p>
    <w:p w14:paraId="00C782F7" w14:textId="77777777" w:rsidR="00137962" w:rsidRPr="00137962" w:rsidRDefault="00137962" w:rsidP="00137962">
      <w:pPr>
        <w:autoSpaceDE w:val="0"/>
        <w:autoSpaceDN w:val="0"/>
        <w:adjustRightInd w:val="0"/>
        <w:rPr>
          <w:rFonts w:cs="Times New Roman"/>
          <w:szCs w:val="24"/>
        </w:rPr>
      </w:pPr>
    </w:p>
    <w:p w14:paraId="00F7F42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the amount of time the officer had to determine the type and amount of force that reasonably appeared necessary, and any changing circumstances during that period;</w:t>
      </w:r>
    </w:p>
    <w:p w14:paraId="435D6AE2" w14:textId="77777777" w:rsidR="00137962" w:rsidRPr="00137962" w:rsidRDefault="00137962" w:rsidP="00137962">
      <w:pPr>
        <w:autoSpaceDE w:val="0"/>
        <w:autoSpaceDN w:val="0"/>
        <w:adjustRightInd w:val="0"/>
        <w:rPr>
          <w:rFonts w:cs="Times New Roman"/>
          <w:szCs w:val="24"/>
        </w:rPr>
      </w:pPr>
    </w:p>
    <w:p w14:paraId="71DA3DB8"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(5)</w:t>
      </w:r>
      <w:r w:rsidRPr="00137962">
        <w:rPr>
          <w:rFonts w:cs="Times New Roman"/>
          <w:szCs w:val="24"/>
        </w:rPr>
        <w:tab/>
        <w:t>the type and amount of force used;</w:t>
      </w:r>
    </w:p>
    <w:p w14:paraId="5C7EB6BA" w14:textId="77777777" w:rsidR="00137962" w:rsidRPr="00137962" w:rsidRDefault="00137962" w:rsidP="00137962">
      <w:pPr>
        <w:autoSpaceDE w:val="0"/>
        <w:autoSpaceDN w:val="0"/>
        <w:adjustRightInd w:val="0"/>
        <w:rPr>
          <w:rFonts w:cs="Times New Roman"/>
          <w:szCs w:val="24"/>
        </w:rPr>
      </w:pPr>
    </w:p>
    <w:p w14:paraId="0434D338"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[(6)</w:t>
      </w:r>
      <w:r w:rsidRPr="00137962">
        <w:rPr>
          <w:rFonts w:cs="Times New Roman"/>
          <w:szCs w:val="24"/>
        </w:rPr>
        <w:tab/>
        <w:t>the availability of alternative methods [to take the plaintiff into custody] [to subdue the plaintiff;]]</w:t>
      </w:r>
    </w:p>
    <w:p w14:paraId="7997B00E" w14:textId="77777777" w:rsidR="00137962" w:rsidRPr="00137962" w:rsidRDefault="00137962" w:rsidP="00137962">
      <w:pPr>
        <w:autoSpaceDE w:val="0"/>
        <w:autoSpaceDN w:val="0"/>
        <w:adjustRightInd w:val="0"/>
        <w:rPr>
          <w:rFonts w:cs="Times New Roman"/>
          <w:szCs w:val="24"/>
        </w:rPr>
      </w:pPr>
    </w:p>
    <w:p w14:paraId="4B4A097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[(7)</w:t>
      </w:r>
      <w:r w:rsidRPr="00137962">
        <w:rPr>
          <w:rFonts w:cs="Times New Roman"/>
          <w:szCs w:val="24"/>
        </w:rPr>
        <w:tab/>
        <w:t xml:space="preserve">the number of lives at risk (motorists, pedestrians, police officers) and the parties’ relative culpability; </w:t>
      </w:r>
      <w:r w:rsidRPr="00137962">
        <w:rPr>
          <w:rFonts w:cs="Times New Roman"/>
          <w:i/>
          <w:iCs/>
          <w:szCs w:val="24"/>
        </w:rPr>
        <w:t>i.e.</w:t>
      </w:r>
      <w:r w:rsidRPr="00137962">
        <w:rPr>
          <w:rFonts w:cs="Times New Roman"/>
          <w:szCs w:val="24"/>
        </w:rPr>
        <w:t>,</w:t>
      </w:r>
      <w:r w:rsidRPr="00137962">
        <w:rPr>
          <w:rFonts w:cs="Times New Roman"/>
          <w:i/>
          <w:iCs/>
          <w:szCs w:val="24"/>
        </w:rPr>
        <w:t xml:space="preserve"> </w:t>
      </w:r>
      <w:r w:rsidRPr="00137962">
        <w:rPr>
          <w:rFonts w:cs="Times New Roman"/>
          <w:szCs w:val="24"/>
        </w:rPr>
        <w:t>which party created the dangerous situation, and which party is more innocent;]</w:t>
      </w:r>
    </w:p>
    <w:p w14:paraId="7258ED5E" w14:textId="77777777" w:rsidR="00137962" w:rsidRPr="00137962" w:rsidRDefault="00137962" w:rsidP="00137962">
      <w:pPr>
        <w:autoSpaceDE w:val="0"/>
        <w:autoSpaceDN w:val="0"/>
        <w:adjustRightInd w:val="0"/>
        <w:rPr>
          <w:rFonts w:cs="Times New Roman"/>
          <w:szCs w:val="24"/>
        </w:rPr>
      </w:pPr>
    </w:p>
    <w:p w14:paraId="58972DA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[(8)</w:t>
      </w:r>
      <w:r w:rsidRPr="00137962">
        <w:rPr>
          <w:rFonts w:cs="Times New Roman"/>
          <w:szCs w:val="24"/>
        </w:rPr>
        <w:tab/>
        <w:t>whether it was practical for the officer[s] to give warning of the imminent use of force, and whether such warning was given;]</w:t>
      </w:r>
    </w:p>
    <w:p w14:paraId="3ABE4458" w14:textId="77777777" w:rsidR="00137962" w:rsidRPr="00137962" w:rsidRDefault="00137962" w:rsidP="00137962">
      <w:pPr>
        <w:autoSpaceDE w:val="0"/>
        <w:autoSpaceDN w:val="0"/>
        <w:adjustRightInd w:val="0"/>
        <w:rPr>
          <w:rFonts w:cs="Times New Roman"/>
          <w:szCs w:val="24"/>
        </w:rPr>
      </w:pPr>
    </w:p>
    <w:p w14:paraId="3050A90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[(9)</w:t>
      </w:r>
      <w:r w:rsidRPr="00137962">
        <w:rPr>
          <w:rFonts w:cs="Times New Roman"/>
          <w:szCs w:val="24"/>
        </w:rPr>
        <w:tab/>
        <w:t>whether the officer[s] [was] [were] responding to a domestic violence disturbance;]</w:t>
      </w:r>
    </w:p>
    <w:p w14:paraId="217243B2" w14:textId="77777777" w:rsidR="00137962" w:rsidRPr="00137962" w:rsidRDefault="00137962" w:rsidP="00137962">
      <w:pPr>
        <w:autoSpaceDE w:val="0"/>
        <w:autoSpaceDN w:val="0"/>
        <w:adjustRightInd w:val="0"/>
        <w:rPr>
          <w:rFonts w:cs="Times New Roman"/>
          <w:szCs w:val="24"/>
        </w:rPr>
      </w:pPr>
    </w:p>
    <w:p w14:paraId="379BD3B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lastRenderedPageBreak/>
        <w:tab/>
        <w:t>[(10)</w:t>
      </w:r>
      <w:r w:rsidRPr="00137962">
        <w:rPr>
          <w:rFonts w:cs="Times New Roman"/>
          <w:szCs w:val="24"/>
        </w:rPr>
        <w:tab/>
        <w:t>whether it should have been apparent to the officer[s] that the person [he] [she] [they] used force against was emotionally disturbed;]</w:t>
      </w:r>
    </w:p>
    <w:p w14:paraId="7014E079" w14:textId="77777777" w:rsidR="00137962" w:rsidRPr="00137962" w:rsidRDefault="00137962" w:rsidP="00137962">
      <w:pPr>
        <w:autoSpaceDE w:val="0"/>
        <w:autoSpaceDN w:val="0"/>
        <w:adjustRightInd w:val="0"/>
        <w:rPr>
          <w:rFonts w:cs="Times New Roman"/>
          <w:szCs w:val="24"/>
        </w:rPr>
      </w:pPr>
    </w:p>
    <w:p w14:paraId="6BF4847B"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[(11)</w:t>
      </w:r>
      <w:r w:rsidRPr="00137962">
        <w:rPr>
          <w:rFonts w:cs="Times New Roman"/>
          <w:szCs w:val="24"/>
        </w:rPr>
        <w:tab/>
        <w:t>whether a reasonable officer would have or should have accurately perceived a mistaken fact;]</w:t>
      </w:r>
    </w:p>
    <w:p w14:paraId="1E8B4CB6" w14:textId="77777777" w:rsidR="00137962" w:rsidRPr="00137962" w:rsidRDefault="00137962" w:rsidP="00137962">
      <w:pPr>
        <w:autoSpaceDE w:val="0"/>
        <w:autoSpaceDN w:val="0"/>
        <w:adjustRightInd w:val="0"/>
        <w:rPr>
          <w:rFonts w:cs="Times New Roman"/>
          <w:szCs w:val="24"/>
        </w:rPr>
      </w:pPr>
    </w:p>
    <w:p w14:paraId="610A967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[(12)</w:t>
      </w:r>
      <w:r w:rsidRPr="00137962">
        <w:rPr>
          <w:rFonts w:cs="Times New Roman"/>
          <w:szCs w:val="24"/>
        </w:rPr>
        <w:tab/>
        <w:t>whether there was probable cause for a reasonable officer to believe that the suspect had committed a crime involving the infliction or threatened infliction of serious physical harm; and]</w:t>
      </w:r>
    </w:p>
    <w:p w14:paraId="6E3C3856" w14:textId="77777777" w:rsidR="00137962" w:rsidRPr="00137962" w:rsidRDefault="00137962" w:rsidP="00137962">
      <w:pPr>
        <w:autoSpaceDE w:val="0"/>
        <w:autoSpaceDN w:val="0"/>
        <w:adjustRightInd w:val="0"/>
        <w:rPr>
          <w:rFonts w:cs="Times New Roman"/>
          <w:szCs w:val="24"/>
        </w:rPr>
      </w:pPr>
    </w:p>
    <w:p w14:paraId="174A2FE9"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[(13)</w:t>
      </w:r>
      <w:r w:rsidRPr="00137962">
        <w:rPr>
          <w:rFonts w:cs="Times New Roman"/>
          <w:szCs w:val="24"/>
        </w:rPr>
        <w:tab/>
      </w:r>
      <w:r w:rsidRPr="00137962">
        <w:rPr>
          <w:rFonts w:cs="Times New Roman"/>
          <w:i/>
          <w:iCs/>
          <w:szCs w:val="24"/>
          <w:u w:val="single"/>
        </w:rPr>
        <w:t>insert other factors particular to the case.</w:t>
      </w:r>
      <w:r w:rsidRPr="00137962">
        <w:rPr>
          <w:rFonts w:cs="Times New Roman"/>
          <w:szCs w:val="24"/>
        </w:rPr>
        <w:t>]</w:t>
      </w:r>
    </w:p>
    <w:p w14:paraId="141CAA14" w14:textId="77777777" w:rsidR="00137962" w:rsidRPr="00137962" w:rsidRDefault="00137962" w:rsidP="00137962">
      <w:pPr>
        <w:autoSpaceDE w:val="0"/>
        <w:autoSpaceDN w:val="0"/>
        <w:adjustRightInd w:val="0"/>
        <w:rPr>
          <w:rFonts w:cs="Times New Roman"/>
          <w:szCs w:val="24"/>
        </w:rPr>
      </w:pPr>
    </w:p>
    <w:p w14:paraId="2AB5901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12659F7F" w14:textId="77777777" w:rsidR="00137962" w:rsidRPr="00137962" w:rsidRDefault="00137962" w:rsidP="00137962">
      <w:pPr>
        <w:autoSpaceDE w:val="0"/>
        <w:autoSpaceDN w:val="0"/>
        <w:adjustRightInd w:val="0"/>
        <w:jc w:val="right"/>
        <w:rPr>
          <w:rFonts w:cs="Times New Roman"/>
          <w:szCs w:val="24"/>
        </w:rPr>
      </w:pPr>
    </w:p>
    <w:p w14:paraId="5FA47625" w14:textId="77777777" w:rsidR="00137962" w:rsidRPr="00137962" w:rsidRDefault="00137962" w:rsidP="00137962">
      <w:pPr>
        <w:autoSpaceDE w:val="0"/>
        <w:autoSpaceDN w:val="0"/>
        <w:adjustRightInd w:val="0"/>
        <w:jc w:val="center"/>
        <w:rPr>
          <w:rFonts w:cs="Times New Roman"/>
          <w:szCs w:val="24"/>
        </w:rPr>
      </w:pPr>
      <w:r w:rsidRPr="00137962">
        <w:rPr>
          <w:rFonts w:cs="Times New Roman"/>
          <w:b/>
          <w:bCs/>
          <w:szCs w:val="24"/>
        </w:rPr>
        <w:t>Comment</w:t>
      </w:r>
    </w:p>
    <w:p w14:paraId="43554D52" w14:textId="77777777" w:rsidR="00137962" w:rsidRPr="00137962" w:rsidRDefault="00137962" w:rsidP="00137962">
      <w:pPr>
        <w:autoSpaceDE w:val="0"/>
        <w:autoSpaceDN w:val="0"/>
        <w:adjustRightInd w:val="0"/>
        <w:jc w:val="right"/>
        <w:rPr>
          <w:rFonts w:cs="Times New Roman"/>
          <w:szCs w:val="24"/>
        </w:rPr>
      </w:pPr>
    </w:p>
    <w:p w14:paraId="3A84218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7A05F5C0" w14:textId="77777777" w:rsidR="00137962" w:rsidRPr="00137962" w:rsidRDefault="00137962" w:rsidP="00137962">
      <w:pPr>
        <w:autoSpaceDE w:val="0"/>
        <w:autoSpaceDN w:val="0"/>
        <w:adjustRightInd w:val="0"/>
        <w:rPr>
          <w:rFonts w:cs="Times New Roman"/>
          <w:szCs w:val="24"/>
        </w:rPr>
      </w:pPr>
    </w:p>
    <w:p w14:paraId="51B1C72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general, all claims of excessive force, whether deadly or not, should be analyzed under the objective reasonableness standard of the Fourth Amendment as applied in </w:t>
      </w:r>
      <w:r w:rsidRPr="00137962">
        <w:rPr>
          <w:rFonts w:cs="Times New Roman"/>
          <w:i/>
          <w:iCs/>
          <w:szCs w:val="24"/>
        </w:rPr>
        <w:t>Scott v. Harris</w:t>
      </w:r>
      <w:r w:rsidRPr="00137962">
        <w:rPr>
          <w:rFonts w:cs="Times New Roman"/>
          <w:szCs w:val="24"/>
        </w:rPr>
        <w:t>, 550</w:t>
      </w:r>
      <w:r w:rsidRPr="00137962">
        <w:rPr>
          <w:rFonts w:cs="Times New Roman"/>
          <w:i/>
          <w:iCs/>
          <w:szCs w:val="24"/>
        </w:rPr>
        <w:t xml:space="preserve"> </w:t>
      </w:r>
      <w:r w:rsidRPr="00137962">
        <w:rPr>
          <w:rFonts w:cs="Times New Roman"/>
          <w:szCs w:val="24"/>
        </w:rPr>
        <w:t>U.S. 372, 381-85 (2007),</w:t>
      </w:r>
      <w:r w:rsidRPr="00137962">
        <w:rPr>
          <w:rFonts w:cs="Times New Roman"/>
          <w:i/>
          <w:iCs/>
          <w:szCs w:val="24"/>
        </w:rPr>
        <w:t xml:space="preserve"> Graham v. Connor</w:t>
      </w:r>
      <w:r w:rsidRPr="00137962">
        <w:rPr>
          <w:rFonts w:cs="Times New Roman"/>
          <w:szCs w:val="24"/>
        </w:rPr>
        <w:t xml:space="preserve">, 490 U.S. 386, 397 (1989), </w:t>
      </w:r>
      <w:r w:rsidRPr="00137962">
        <w:rPr>
          <w:rFonts w:cs="Times New Roman"/>
          <w:i/>
          <w:iCs/>
          <w:szCs w:val="24"/>
        </w:rPr>
        <w:t>Tennessee v. Garner</w:t>
      </w:r>
      <w:r w:rsidRPr="00137962">
        <w:rPr>
          <w:rFonts w:cs="Times New Roman"/>
          <w:szCs w:val="24"/>
        </w:rPr>
        <w:t xml:space="preserve">, 471 U.S. 1, 7-12 (1985), and </w:t>
      </w:r>
      <w:proofErr w:type="spellStart"/>
      <w:r w:rsidRPr="00137962">
        <w:rPr>
          <w:rFonts w:cs="Times New Roman"/>
          <w:i/>
          <w:iCs/>
          <w:szCs w:val="24"/>
        </w:rPr>
        <w:t>Nehad</w:t>
      </w:r>
      <w:proofErr w:type="spellEnd"/>
      <w:r w:rsidRPr="00137962">
        <w:rPr>
          <w:rFonts w:cs="Times New Roman"/>
          <w:i/>
          <w:iCs/>
          <w:szCs w:val="24"/>
        </w:rPr>
        <w:t xml:space="preserve"> v. Browder</w:t>
      </w:r>
      <w:r w:rsidRPr="00137962">
        <w:rPr>
          <w:rFonts w:cs="Times New Roman"/>
          <w:szCs w:val="24"/>
        </w:rPr>
        <w:t>, 929 F.3d 1125, 1132 (9th Cir. 2019).  The objective reasonableness of such conduct is assessed by balancing the nature and</w:t>
      </w:r>
    </w:p>
    <w:p w14:paraId="2C32F01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quality of the intrusion on Fourth Amendment rights against the government’s countervailing</w:t>
      </w:r>
    </w:p>
    <w:p w14:paraId="3930E3DE"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interest in the force used.  </w:t>
      </w:r>
      <w:r w:rsidRPr="00137962">
        <w:rPr>
          <w:rFonts w:cs="Times New Roman"/>
          <w:i/>
          <w:iCs/>
          <w:szCs w:val="24"/>
        </w:rPr>
        <w:t>Estate of Aguirre v. County of Riverside</w:t>
      </w:r>
      <w:r w:rsidRPr="00137962">
        <w:rPr>
          <w:rFonts w:cs="Times New Roman"/>
          <w:szCs w:val="24"/>
        </w:rPr>
        <w:t>, 29 F.4th 624, 628 (9th Cir.</w:t>
      </w:r>
    </w:p>
    <w:p w14:paraId="5CD48DAC" w14:textId="77777777" w:rsidR="00142840" w:rsidRDefault="00137962" w:rsidP="00137962">
      <w:pPr>
        <w:autoSpaceDE w:val="0"/>
        <w:autoSpaceDN w:val="0"/>
        <w:adjustRightInd w:val="0"/>
        <w:rPr>
          <w:rFonts w:cs="Times New Roman"/>
          <w:szCs w:val="24"/>
        </w:rPr>
      </w:pPr>
      <w:r w:rsidRPr="00137962">
        <w:rPr>
          <w:rFonts w:cs="Times New Roman"/>
          <w:szCs w:val="24"/>
        </w:rPr>
        <w:t xml:space="preserve">2022) (quoting </w:t>
      </w:r>
      <w:r w:rsidRPr="00137962">
        <w:rPr>
          <w:rFonts w:cs="Times New Roman"/>
          <w:i/>
          <w:iCs/>
          <w:szCs w:val="24"/>
        </w:rPr>
        <w:t>Graham</w:t>
      </w:r>
      <w:r w:rsidRPr="00137962">
        <w:rPr>
          <w:rFonts w:cs="Times New Roman"/>
          <w:szCs w:val="24"/>
        </w:rPr>
        <w:t xml:space="preserve">, 490 U.S. at 396).  </w:t>
      </w:r>
    </w:p>
    <w:p w14:paraId="392750EF" w14:textId="77777777" w:rsidR="00142840" w:rsidRDefault="00142840" w:rsidP="00137962">
      <w:pPr>
        <w:autoSpaceDE w:val="0"/>
        <w:autoSpaceDN w:val="0"/>
        <w:adjustRightInd w:val="0"/>
        <w:rPr>
          <w:rFonts w:cs="Times New Roman"/>
          <w:szCs w:val="24"/>
        </w:rPr>
      </w:pPr>
    </w:p>
    <w:p w14:paraId="23A282C2" w14:textId="614BEF47" w:rsidR="00137962" w:rsidRPr="00137962" w:rsidRDefault="00137962" w:rsidP="00137962">
      <w:pPr>
        <w:autoSpaceDE w:val="0"/>
        <w:autoSpaceDN w:val="0"/>
        <w:adjustRightInd w:val="0"/>
        <w:rPr>
          <w:rFonts w:cs="Times New Roman"/>
          <w:szCs w:val="24"/>
        </w:rPr>
      </w:pPr>
      <w:r w:rsidRPr="00137962">
        <w:rPr>
          <w:rFonts w:cs="Times New Roman"/>
          <w:szCs w:val="24"/>
        </w:rPr>
        <w:t>Moreover,</w:t>
      </w:r>
    </w:p>
    <w:p w14:paraId="2C7F0E6A" w14:textId="77777777" w:rsidR="00137962" w:rsidRPr="00137962" w:rsidRDefault="00137962" w:rsidP="00137962">
      <w:pPr>
        <w:autoSpaceDE w:val="0"/>
        <w:autoSpaceDN w:val="0"/>
        <w:adjustRightInd w:val="0"/>
        <w:rPr>
          <w:rFonts w:cs="Times New Roman"/>
          <w:szCs w:val="24"/>
        </w:rPr>
      </w:pPr>
    </w:p>
    <w:p w14:paraId="2158CC5B" w14:textId="77777777" w:rsidR="00137962" w:rsidRPr="00137962" w:rsidRDefault="00137962" w:rsidP="00137962">
      <w:pPr>
        <w:autoSpaceDE w:val="0"/>
        <w:autoSpaceDN w:val="0"/>
        <w:adjustRightInd w:val="0"/>
        <w:ind w:left="720" w:right="720"/>
        <w:rPr>
          <w:rFonts w:cs="Times New Roman"/>
          <w:szCs w:val="24"/>
        </w:rPr>
      </w:pPr>
      <w:r w:rsidRPr="00137962">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137962">
        <w:rPr>
          <w:rFonts w:cs="Times New Roman"/>
          <w:i/>
          <w:iCs/>
          <w:szCs w:val="24"/>
        </w:rPr>
        <w:t xml:space="preserve"> Graham</w:t>
      </w:r>
      <w:r w:rsidRPr="00137962">
        <w:rPr>
          <w:rFonts w:cs="Times New Roman"/>
          <w:szCs w:val="24"/>
        </w:rPr>
        <w:t xml:space="preserve">, 490 U.S. at 396.  “The ‘reasonableness’ of a particular use of force must be judged from the perspective of a reasonable officer on the scene, rather than with the 20/20 vision of hindsight.”  </w:t>
      </w:r>
      <w:r w:rsidRPr="00137962">
        <w:rPr>
          <w:rFonts w:cs="Times New Roman"/>
          <w:i/>
          <w:iCs/>
          <w:szCs w:val="24"/>
        </w:rPr>
        <w:t>Id.</w:t>
      </w:r>
      <w:r w:rsidRPr="00137962">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137962">
        <w:rPr>
          <w:rFonts w:cs="Times New Roman"/>
          <w:i/>
          <w:iCs/>
          <w:szCs w:val="24"/>
        </w:rPr>
        <w:t xml:space="preserve"> Id.</w:t>
      </w:r>
      <w:r w:rsidRPr="00137962">
        <w:rPr>
          <w:rFonts w:cs="Times New Roman"/>
          <w:szCs w:val="24"/>
        </w:rPr>
        <w:t xml:space="preserve"> at 396-97.</w:t>
      </w:r>
    </w:p>
    <w:p w14:paraId="66A47C59" w14:textId="77777777" w:rsidR="00137962" w:rsidRPr="00137962" w:rsidRDefault="00137962" w:rsidP="00137962">
      <w:pPr>
        <w:autoSpaceDE w:val="0"/>
        <w:autoSpaceDN w:val="0"/>
        <w:adjustRightInd w:val="0"/>
        <w:rPr>
          <w:rFonts w:cs="Times New Roman"/>
          <w:szCs w:val="24"/>
        </w:rPr>
      </w:pPr>
    </w:p>
    <w:p w14:paraId="4F43528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Wilkinson v. Torres</w:t>
      </w:r>
      <w:r w:rsidRPr="00137962">
        <w:rPr>
          <w:rFonts w:cs="Times New Roman"/>
          <w:szCs w:val="24"/>
        </w:rPr>
        <w:t>, 610 F.3d 546, 550 (9th Cir. 2010).</w:t>
      </w:r>
    </w:p>
    <w:p w14:paraId="64C0CF1D" w14:textId="77777777" w:rsidR="00137962" w:rsidRPr="00137962" w:rsidRDefault="00137962" w:rsidP="00137962">
      <w:pPr>
        <w:autoSpaceDE w:val="0"/>
        <w:autoSpaceDN w:val="0"/>
        <w:adjustRightInd w:val="0"/>
        <w:rPr>
          <w:rFonts w:cs="Times New Roman"/>
          <w:szCs w:val="24"/>
        </w:rPr>
      </w:pPr>
    </w:p>
    <w:p w14:paraId="53D68AD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lastRenderedPageBreak/>
        <w:tab/>
        <w:t xml:space="preserve">As the Ninth Circuit has noted, the Supreme Court did not limit the </w:t>
      </w:r>
    </w:p>
    <w:p w14:paraId="689924E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reasonableness inquiry to the factors set forth in </w:t>
      </w:r>
      <w:r w:rsidRPr="00137962">
        <w:rPr>
          <w:rFonts w:cs="Times New Roman"/>
          <w:i/>
          <w:iCs/>
          <w:szCs w:val="24"/>
        </w:rPr>
        <w:t>Graham</w:t>
      </w:r>
      <w:r w:rsidRPr="00137962">
        <w:rPr>
          <w:rFonts w:cs="Times New Roman"/>
          <w:szCs w:val="24"/>
        </w:rPr>
        <w:t>:</w:t>
      </w:r>
    </w:p>
    <w:p w14:paraId="77BCDBDB" w14:textId="77777777" w:rsidR="00137962" w:rsidRPr="00137962" w:rsidRDefault="00137962" w:rsidP="00137962">
      <w:pPr>
        <w:autoSpaceDE w:val="0"/>
        <w:autoSpaceDN w:val="0"/>
        <w:adjustRightInd w:val="0"/>
        <w:ind w:left="720" w:right="720"/>
        <w:rPr>
          <w:rFonts w:cs="Times New Roman"/>
          <w:szCs w:val="24"/>
        </w:rPr>
      </w:pPr>
      <w:r w:rsidRPr="00137962">
        <w:rPr>
          <w:rFonts w:cs="Times New Roman"/>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234B5693" w14:textId="77777777" w:rsidR="00137962" w:rsidRPr="00137962" w:rsidRDefault="00137962" w:rsidP="00137962">
      <w:pPr>
        <w:autoSpaceDE w:val="0"/>
        <w:autoSpaceDN w:val="0"/>
        <w:adjustRightInd w:val="0"/>
        <w:rPr>
          <w:rFonts w:cs="Times New Roman"/>
          <w:szCs w:val="24"/>
        </w:rPr>
      </w:pPr>
    </w:p>
    <w:p w14:paraId="1C44FC2D" w14:textId="77777777" w:rsidR="00137962" w:rsidRPr="00137962" w:rsidRDefault="00137962" w:rsidP="00137962">
      <w:pPr>
        <w:autoSpaceDE w:val="0"/>
        <w:autoSpaceDN w:val="0"/>
        <w:adjustRightInd w:val="0"/>
        <w:rPr>
          <w:rFonts w:cs="Times New Roman"/>
          <w:i/>
          <w:iCs/>
          <w:szCs w:val="24"/>
        </w:rPr>
      </w:pPr>
      <w:r w:rsidRPr="00137962">
        <w:rPr>
          <w:rFonts w:cs="Times New Roman"/>
          <w:i/>
          <w:iCs/>
          <w:szCs w:val="24"/>
        </w:rPr>
        <w:t>Smith v. City of Hemet</w:t>
      </w:r>
      <w:r w:rsidRPr="00137962">
        <w:rPr>
          <w:rFonts w:cs="Times New Roman"/>
          <w:szCs w:val="24"/>
        </w:rPr>
        <w:t>, 394 F.3d 689, 701 (9th Cir. 2005) (citation and internal quotation marks omitted).</w:t>
      </w:r>
      <w:r w:rsidRPr="00137962">
        <w:rPr>
          <w:rFonts w:cs="Times New Roman"/>
          <w:i/>
          <w:iCs/>
          <w:szCs w:val="24"/>
        </w:rPr>
        <w:t xml:space="preserve">  </w:t>
      </w:r>
    </w:p>
    <w:p w14:paraId="1D8B1BB9" w14:textId="77777777" w:rsidR="00137962" w:rsidRPr="00137962" w:rsidRDefault="00137962" w:rsidP="00137962">
      <w:pPr>
        <w:autoSpaceDE w:val="0"/>
        <w:autoSpaceDN w:val="0"/>
        <w:adjustRightInd w:val="0"/>
        <w:rPr>
          <w:rFonts w:cs="Times New Roman"/>
          <w:i/>
          <w:iCs/>
          <w:szCs w:val="24"/>
        </w:rPr>
      </w:pPr>
    </w:p>
    <w:p w14:paraId="7CB345B8"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ab/>
      </w:r>
      <w:r w:rsidRPr="00137962">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137962">
        <w:rPr>
          <w:rFonts w:cs="Times New Roman"/>
          <w:i/>
          <w:iCs/>
          <w:szCs w:val="24"/>
        </w:rPr>
        <w:t>Brewer v. City of Napa</w:t>
      </w:r>
      <w:r w:rsidRPr="00137962">
        <w:rPr>
          <w:rFonts w:cs="Times New Roman"/>
          <w:szCs w:val="24"/>
        </w:rPr>
        <w:t>, 210 F.3d 1093, 1096-97 (9th Cir. 2000).  Importantly, although officers must consider the availability of other, less</w:t>
      </w:r>
    </w:p>
    <w:p w14:paraId="0486A8E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intrusive means, officers “need not avail themselves of the least intrusive means of responding to</w:t>
      </w:r>
    </w:p>
    <w:p w14:paraId="3D0B09A0"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an exigent situation; they need only act within that range of conduct we identify as reasonable.”</w:t>
      </w:r>
    </w:p>
    <w:p w14:paraId="6B7D1930"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 xml:space="preserve">Hughes v. </w:t>
      </w:r>
      <w:proofErr w:type="spellStart"/>
      <w:r w:rsidRPr="00137962">
        <w:rPr>
          <w:rFonts w:cs="Times New Roman"/>
          <w:i/>
          <w:iCs/>
          <w:szCs w:val="24"/>
        </w:rPr>
        <w:t>Kisela</w:t>
      </w:r>
      <w:proofErr w:type="spellEnd"/>
      <w:r w:rsidRPr="00137962">
        <w:rPr>
          <w:rFonts w:cs="Times New Roman"/>
          <w:szCs w:val="24"/>
        </w:rPr>
        <w:t xml:space="preserve">, 841 F.3d 1081, 1087 (9th Cir. 2016) (quoting </w:t>
      </w:r>
      <w:r w:rsidRPr="00137962">
        <w:rPr>
          <w:rFonts w:cs="Times New Roman"/>
          <w:i/>
          <w:iCs/>
          <w:szCs w:val="24"/>
        </w:rPr>
        <w:t>Scott v. Henrich</w:t>
      </w:r>
      <w:r w:rsidRPr="00137962">
        <w:rPr>
          <w:rFonts w:cs="Times New Roman"/>
          <w:szCs w:val="24"/>
        </w:rPr>
        <w:t>, 39 F.3d 912,</w:t>
      </w:r>
    </w:p>
    <w:p w14:paraId="393C2D0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915 (9th Cir. 1995)); </w:t>
      </w:r>
      <w:r w:rsidRPr="00137962">
        <w:rPr>
          <w:rFonts w:cs="Times New Roman"/>
          <w:i/>
          <w:iCs/>
          <w:szCs w:val="24"/>
        </w:rPr>
        <w:t>see also Williamson v. City of National City</w:t>
      </w:r>
      <w:r w:rsidRPr="00137962">
        <w:rPr>
          <w:rFonts w:cs="Times New Roman"/>
          <w:szCs w:val="24"/>
        </w:rPr>
        <w:t xml:space="preserve">, 23 F.4th 1146, 1151 (9th Cir. 2022) (quoting </w:t>
      </w:r>
      <w:r w:rsidRPr="00137962">
        <w:rPr>
          <w:rFonts w:cs="Times New Roman"/>
          <w:i/>
          <w:iCs/>
          <w:szCs w:val="24"/>
        </w:rPr>
        <w:t>Lowry v. City of San Diego</w:t>
      </w:r>
      <w:r w:rsidRPr="00137962">
        <w:rPr>
          <w:rFonts w:cs="Times New Roman"/>
          <w:szCs w:val="24"/>
        </w:rPr>
        <w:t xml:space="preserve">, 858 F.3d 1248, 1259 (9th Cir. 2017) (“It is . . . well-established that police officers ‘are not required to use the least intrusive degree of force possible.’”); </w:t>
      </w:r>
      <w:r w:rsidRPr="00137962">
        <w:rPr>
          <w:rFonts w:cs="Times New Roman"/>
          <w:i/>
          <w:iCs/>
          <w:szCs w:val="24"/>
        </w:rPr>
        <w:t xml:space="preserve">see also </w:t>
      </w:r>
      <w:proofErr w:type="spellStart"/>
      <w:r w:rsidRPr="00137962">
        <w:rPr>
          <w:rFonts w:cs="Times New Roman"/>
          <w:i/>
          <w:iCs/>
          <w:szCs w:val="24"/>
        </w:rPr>
        <w:t>O’Doan</w:t>
      </w:r>
      <w:proofErr w:type="spellEnd"/>
      <w:r w:rsidRPr="00137962">
        <w:rPr>
          <w:rFonts w:cs="Times New Roman"/>
          <w:i/>
          <w:iCs/>
          <w:szCs w:val="24"/>
        </w:rPr>
        <w:t xml:space="preserve"> v. Sanford</w:t>
      </w:r>
      <w:r w:rsidRPr="00137962">
        <w:rPr>
          <w:rFonts w:cs="Times New Roman"/>
          <w:szCs w:val="24"/>
        </w:rPr>
        <w:t>, 991 F.3d 1027, 1037 (2021) (listing factors).</w:t>
      </w:r>
    </w:p>
    <w:p w14:paraId="5497BF8E" w14:textId="77777777" w:rsidR="00137962" w:rsidRPr="00137962" w:rsidRDefault="00137962" w:rsidP="00137962">
      <w:pPr>
        <w:autoSpaceDE w:val="0"/>
        <w:autoSpaceDN w:val="0"/>
        <w:adjustRightInd w:val="0"/>
        <w:rPr>
          <w:rFonts w:cs="Times New Roman"/>
          <w:szCs w:val="24"/>
        </w:rPr>
      </w:pPr>
    </w:p>
    <w:p w14:paraId="388C0B66" w14:textId="77777777" w:rsidR="00801DE7" w:rsidRPr="00144BFA" w:rsidRDefault="00137962" w:rsidP="00801DE7">
      <w:pPr>
        <w:autoSpaceDE w:val="0"/>
        <w:autoSpaceDN w:val="0"/>
        <w:adjustRightInd w:val="0"/>
        <w:rPr>
          <w:rFonts w:cs="Times New Roman"/>
          <w:szCs w:val="24"/>
        </w:rPr>
      </w:pPr>
      <w:r w:rsidRPr="00137962">
        <w:rPr>
          <w:rFonts w:cs="Times New Roman"/>
          <w:szCs w:val="24"/>
        </w:rPr>
        <w:tab/>
        <w:t xml:space="preserve">The Ninth Circuit has repeatedly emphasized that the most important factor is “whether the suspect posed an immediate threat to the safety of the officers or others.”  </w:t>
      </w:r>
      <w:r w:rsidRPr="00137962">
        <w:rPr>
          <w:rFonts w:cs="Times New Roman"/>
          <w:i/>
          <w:iCs/>
          <w:szCs w:val="24"/>
        </w:rPr>
        <w:t xml:space="preserve">See, e.g., S.B. v. </w:t>
      </w:r>
      <w:proofErr w:type="spellStart"/>
      <w:r w:rsidRPr="00137962">
        <w:rPr>
          <w:rFonts w:cs="Times New Roman"/>
          <w:i/>
          <w:iCs/>
          <w:szCs w:val="24"/>
        </w:rPr>
        <w:t>Cty</w:t>
      </w:r>
      <w:proofErr w:type="spellEnd"/>
      <w:r w:rsidRPr="00137962">
        <w:rPr>
          <w:rFonts w:cs="Times New Roman"/>
          <w:i/>
          <w:iCs/>
          <w:szCs w:val="24"/>
        </w:rPr>
        <w:t>. of San Diego</w:t>
      </w:r>
      <w:r w:rsidRPr="00137962">
        <w:rPr>
          <w:rFonts w:cs="Times New Roman"/>
          <w:szCs w:val="24"/>
        </w:rPr>
        <w:t xml:space="preserve">, 864 F.3d 1010, 1013 (9th Cir. 2017) (internal quotation marks omitted); </w:t>
      </w:r>
      <w:proofErr w:type="spellStart"/>
      <w:r w:rsidRPr="00137962">
        <w:rPr>
          <w:rFonts w:cs="Times New Roman"/>
          <w:i/>
          <w:iCs/>
          <w:szCs w:val="24"/>
        </w:rPr>
        <w:t>Orn</w:t>
      </w:r>
      <w:proofErr w:type="spellEnd"/>
      <w:r w:rsidRPr="00137962">
        <w:rPr>
          <w:rFonts w:cs="Times New Roman"/>
          <w:i/>
          <w:iCs/>
          <w:szCs w:val="24"/>
        </w:rPr>
        <w:t xml:space="preserve"> v. City of Tacoma</w:t>
      </w:r>
      <w:r w:rsidRPr="00137962">
        <w:rPr>
          <w:rFonts w:cs="Times New Roman"/>
          <w:szCs w:val="24"/>
        </w:rPr>
        <w:t>, 949 F.3d 1167 (9th Cir. 2020);</w:t>
      </w:r>
      <w:r w:rsidRPr="00137962">
        <w:rPr>
          <w:rFonts w:cs="Times New Roman"/>
          <w:i/>
          <w:iCs/>
          <w:szCs w:val="24"/>
        </w:rPr>
        <w:t xml:space="preserve"> </w:t>
      </w:r>
      <w:proofErr w:type="spellStart"/>
      <w:r w:rsidRPr="00137962">
        <w:rPr>
          <w:rFonts w:cs="Times New Roman"/>
          <w:i/>
          <w:iCs/>
          <w:szCs w:val="24"/>
        </w:rPr>
        <w:t>Tuuamalemalo</w:t>
      </w:r>
      <w:proofErr w:type="spellEnd"/>
      <w:r w:rsidRPr="00137962">
        <w:rPr>
          <w:rFonts w:cs="Times New Roman"/>
          <w:i/>
          <w:iCs/>
          <w:szCs w:val="24"/>
        </w:rPr>
        <w:t xml:space="preserve"> v. Greene</w:t>
      </w:r>
      <w:r w:rsidRPr="00137962">
        <w:rPr>
          <w:rFonts w:cs="Times New Roman"/>
          <w:szCs w:val="24"/>
        </w:rPr>
        <w:t xml:space="preserve">, 946 F.3d 471, 477 (9th Cir. 2019) (concluding that “use of a chokehold on a non-resisting restrained person violates the Fourth Amendment”).  </w:t>
      </w:r>
      <w:r w:rsidR="00801DE7" w:rsidRPr="00144BFA">
        <w:rPr>
          <w:rFonts w:cs="Times New Roman"/>
          <w:szCs w:val="24"/>
        </w:rPr>
        <w:t>However, in circumstances involving intermediate force, meaning</w:t>
      </w:r>
    </w:p>
    <w:p w14:paraId="6F9E086A" w14:textId="77777777" w:rsidR="00801DE7" w:rsidRPr="00144BFA" w:rsidRDefault="00801DE7" w:rsidP="00801DE7">
      <w:pPr>
        <w:autoSpaceDE w:val="0"/>
        <w:autoSpaceDN w:val="0"/>
        <w:adjustRightInd w:val="0"/>
        <w:rPr>
          <w:rFonts w:cs="Times New Roman"/>
          <w:szCs w:val="24"/>
        </w:rPr>
      </w:pPr>
      <w:r w:rsidRPr="00144BFA">
        <w:rPr>
          <w:rFonts w:cs="Times New Roman"/>
          <w:szCs w:val="24"/>
        </w:rPr>
        <w:t xml:space="preserve">“force capable of inflicting significant pain and causing serious injury,” </w:t>
      </w:r>
      <w:proofErr w:type="spellStart"/>
      <w:r w:rsidRPr="00144BFA">
        <w:rPr>
          <w:rFonts w:cs="Times New Roman"/>
          <w:i/>
          <w:iCs/>
          <w:szCs w:val="24"/>
        </w:rPr>
        <w:t>Seidner</w:t>
      </w:r>
      <w:proofErr w:type="spellEnd"/>
      <w:r w:rsidRPr="00144BFA">
        <w:rPr>
          <w:rFonts w:cs="Times New Roman"/>
          <w:szCs w:val="24"/>
        </w:rPr>
        <w:t xml:space="preserve">, </w:t>
      </w:r>
      <w:r>
        <w:rPr>
          <w:rFonts w:cs="Times New Roman"/>
          <w:szCs w:val="24"/>
        </w:rPr>
        <w:t>39 F.4</w:t>
      </w:r>
      <w:r w:rsidRPr="00752A7B">
        <w:rPr>
          <w:rFonts w:cs="Times New Roman"/>
          <w:szCs w:val="24"/>
        </w:rPr>
        <w:t>th</w:t>
      </w:r>
      <w:r>
        <w:rPr>
          <w:rFonts w:cs="Times New Roman"/>
          <w:szCs w:val="24"/>
        </w:rPr>
        <w:t xml:space="preserve"> at 399</w:t>
      </w:r>
      <w:r w:rsidRPr="00144BFA">
        <w:rPr>
          <w:rFonts w:cs="Times New Roman"/>
          <w:szCs w:val="24"/>
        </w:rPr>
        <w:t xml:space="preserve"> (quoting </w:t>
      </w:r>
      <w:r w:rsidRPr="00144BFA">
        <w:rPr>
          <w:rFonts w:cs="Times New Roman"/>
          <w:i/>
          <w:iCs/>
          <w:szCs w:val="24"/>
        </w:rPr>
        <w:t>Young v. County of Los Angeles</w:t>
      </w:r>
      <w:r w:rsidRPr="00144BFA">
        <w:rPr>
          <w:rFonts w:cs="Times New Roman"/>
          <w:szCs w:val="24"/>
        </w:rPr>
        <w:t xml:space="preserve">, 655 F.3d 1156, 1161 (9th Cir. 2011)), an officer’s use of force may be lawful even if the suspect poses no risk to the officer or anyone else, </w:t>
      </w:r>
      <w:r w:rsidRPr="00144BFA">
        <w:rPr>
          <w:rFonts w:cs="Times New Roman"/>
          <w:i/>
          <w:iCs/>
          <w:szCs w:val="24"/>
        </w:rPr>
        <w:t xml:space="preserve">see id. </w:t>
      </w:r>
      <w:r w:rsidRPr="00144BFA">
        <w:rPr>
          <w:rFonts w:cs="Times New Roman"/>
          <w:szCs w:val="24"/>
        </w:rPr>
        <w:t xml:space="preserve">at </w:t>
      </w:r>
      <w:r>
        <w:rPr>
          <w:rFonts w:cs="Times New Roman"/>
          <w:szCs w:val="24"/>
        </w:rPr>
        <w:t>601</w:t>
      </w:r>
      <w:r w:rsidRPr="00144BFA">
        <w:rPr>
          <w:rFonts w:cs="Times New Roman"/>
          <w:szCs w:val="24"/>
        </w:rPr>
        <w:t xml:space="preserve"> (holding that whether officer’s use of intermediate force was excessive was question for jury to decide even though “there can be no dispute” that suspect posed no risk to officer).</w:t>
      </w:r>
    </w:p>
    <w:p w14:paraId="1CB5CBD6" w14:textId="77777777" w:rsidR="00801DE7" w:rsidRPr="00144BFA" w:rsidRDefault="00801DE7" w:rsidP="00801DE7">
      <w:pPr>
        <w:autoSpaceDE w:val="0"/>
        <w:autoSpaceDN w:val="0"/>
        <w:adjustRightInd w:val="0"/>
        <w:rPr>
          <w:rFonts w:cs="Times New Roman"/>
          <w:szCs w:val="24"/>
        </w:rPr>
      </w:pPr>
    </w:p>
    <w:p w14:paraId="1668D680" w14:textId="105FD4A6" w:rsidR="00801DE7" w:rsidRPr="00801DE7" w:rsidRDefault="00801DE7" w:rsidP="00801DE7">
      <w:pPr>
        <w:autoSpaceDE w:val="0"/>
        <w:autoSpaceDN w:val="0"/>
        <w:adjustRightInd w:val="0"/>
        <w:ind w:firstLine="720"/>
        <w:rPr>
          <w:rFonts w:cs="Times New Roman"/>
          <w:szCs w:val="24"/>
        </w:rPr>
      </w:pPr>
      <w:r w:rsidRPr="00144BFA">
        <w:rPr>
          <w:rFonts w:cs="Times New Roman"/>
          <w:szCs w:val="24"/>
        </w:rPr>
        <w:t xml:space="preserve">The jury must consider “the type and amount of force,” </w:t>
      </w:r>
      <w:r>
        <w:rPr>
          <w:rFonts w:cs="Times New Roman"/>
          <w:i/>
          <w:iCs/>
          <w:szCs w:val="24"/>
        </w:rPr>
        <w:t>i</w:t>
      </w:r>
      <w:r w:rsidRPr="00801DE7">
        <w:rPr>
          <w:rFonts w:cs="Times New Roman"/>
          <w:i/>
          <w:iCs/>
          <w:szCs w:val="24"/>
        </w:rPr>
        <w:t>d</w:t>
      </w:r>
      <w:r w:rsidRPr="00801DE7">
        <w:rPr>
          <w:rFonts w:cs="Times New Roman"/>
          <w:szCs w:val="24"/>
        </w:rPr>
        <w:t xml:space="preserve">. </w:t>
      </w:r>
      <w:r w:rsidRPr="00144BFA">
        <w:rPr>
          <w:rFonts w:cs="Times New Roman"/>
          <w:szCs w:val="24"/>
        </w:rPr>
        <w:t xml:space="preserve">at </w:t>
      </w:r>
      <w:r>
        <w:rPr>
          <w:rFonts w:cs="Times New Roman"/>
          <w:szCs w:val="24"/>
        </w:rPr>
        <w:t>596</w:t>
      </w:r>
      <w:r w:rsidRPr="00144BFA">
        <w:rPr>
          <w:rFonts w:cs="Times New Roman"/>
          <w:szCs w:val="24"/>
        </w:rPr>
        <w:t xml:space="preserve">, which may be quantified. </w:t>
      </w:r>
      <w:r>
        <w:rPr>
          <w:rFonts w:cs="Times New Roman"/>
          <w:szCs w:val="24"/>
        </w:rPr>
        <w:t xml:space="preserve"> </w:t>
      </w:r>
      <w:r w:rsidRPr="00144BFA">
        <w:rPr>
          <w:rFonts w:cs="Times New Roman"/>
          <w:szCs w:val="24"/>
        </w:rPr>
        <w:t xml:space="preserve">“Some uses of force can be quantified categorically. </w:t>
      </w:r>
      <w:r>
        <w:rPr>
          <w:rFonts w:cs="Times New Roman"/>
          <w:szCs w:val="24"/>
        </w:rPr>
        <w:t xml:space="preserve"> </w:t>
      </w:r>
      <w:r w:rsidRPr="00144BFA">
        <w:rPr>
          <w:rFonts w:cs="Times New Roman"/>
          <w:szCs w:val="24"/>
        </w:rPr>
        <w:t>The best</w:t>
      </w:r>
      <w:r>
        <w:rPr>
          <w:rFonts w:cs="Times New Roman"/>
          <w:szCs w:val="24"/>
        </w:rPr>
        <w:t xml:space="preserve"> </w:t>
      </w:r>
      <w:r w:rsidRPr="00144BFA">
        <w:rPr>
          <w:rFonts w:cs="Times New Roman"/>
          <w:szCs w:val="24"/>
        </w:rPr>
        <w:t>example is shooting a firearm, which by definition is ‘deadly force’: force that</w:t>
      </w:r>
      <w:r w:rsidRPr="00801DE7">
        <w:rPr>
          <w:rFonts w:cs="Times New Roman"/>
          <w:szCs w:val="24"/>
        </w:rPr>
        <w:t xml:space="preserve"> </w:t>
      </w:r>
      <w:r w:rsidRPr="00144BFA">
        <w:rPr>
          <w:rFonts w:cs="Times New Roman"/>
          <w:szCs w:val="24"/>
        </w:rPr>
        <w:t>‘creates a substantial risk of causing death or serious bodily injury.’”</w:t>
      </w:r>
      <w:r>
        <w:rPr>
          <w:rFonts w:cs="Times New Roman"/>
          <w:szCs w:val="24"/>
        </w:rPr>
        <w:t xml:space="preserve"> </w:t>
      </w:r>
      <w:r w:rsidRPr="00144BFA">
        <w:rPr>
          <w:rFonts w:cs="Times New Roman"/>
          <w:szCs w:val="24"/>
        </w:rPr>
        <w:t xml:space="preserve"> </w:t>
      </w:r>
      <w:r w:rsidRPr="00801DE7">
        <w:rPr>
          <w:rFonts w:cs="Times New Roman"/>
          <w:i/>
          <w:iCs/>
          <w:szCs w:val="24"/>
        </w:rPr>
        <w:t>Id</w:t>
      </w:r>
      <w:r w:rsidRPr="00801DE7">
        <w:rPr>
          <w:rFonts w:cs="Times New Roman"/>
          <w:szCs w:val="24"/>
        </w:rPr>
        <w:t xml:space="preserve">.  </w:t>
      </w:r>
      <w:r w:rsidRPr="00144BFA">
        <w:rPr>
          <w:rFonts w:cs="Times New Roman"/>
          <w:szCs w:val="24"/>
        </w:rPr>
        <w:t xml:space="preserve">“Most often, however, quantifying a particular use of force requires consideration of the ‘specific factual circumstances’ surrounding the event.” </w:t>
      </w:r>
      <w:r>
        <w:rPr>
          <w:rFonts w:cs="Times New Roman"/>
          <w:szCs w:val="24"/>
        </w:rPr>
        <w:t xml:space="preserve"> </w:t>
      </w:r>
      <w:r w:rsidRPr="00801DE7">
        <w:rPr>
          <w:rFonts w:cs="Times New Roman"/>
          <w:i/>
          <w:iCs/>
          <w:szCs w:val="24"/>
        </w:rPr>
        <w:t>Id</w:t>
      </w:r>
      <w:r w:rsidRPr="00801DE7">
        <w:rPr>
          <w:rFonts w:cs="Times New Roman"/>
          <w:szCs w:val="24"/>
        </w:rPr>
        <w:t xml:space="preserve">.  </w:t>
      </w:r>
      <w:r w:rsidRPr="00144BFA">
        <w:rPr>
          <w:rFonts w:cs="Times New Roman"/>
          <w:szCs w:val="24"/>
        </w:rPr>
        <w:t xml:space="preserve">“For example, [the Ninth Circuit] has classified deployment of a police dog as both a severe use of force and a moderate use of force depending on the suspect's condition when the dog was ordered to attack, how long the attack lasted, and whether the dog was within its handler's control.”  </w:t>
      </w:r>
      <w:r w:rsidRPr="00801DE7">
        <w:rPr>
          <w:rFonts w:cs="Times New Roman"/>
          <w:i/>
          <w:iCs/>
          <w:szCs w:val="24"/>
        </w:rPr>
        <w:t>Id</w:t>
      </w:r>
      <w:r w:rsidRPr="00801DE7">
        <w:rPr>
          <w:rFonts w:cs="Times New Roman"/>
          <w:szCs w:val="24"/>
        </w:rPr>
        <w:t xml:space="preserve">.  </w:t>
      </w:r>
      <w:r w:rsidRPr="00144BFA">
        <w:rPr>
          <w:rFonts w:cs="Times New Roman"/>
          <w:szCs w:val="24"/>
        </w:rPr>
        <w:t>Similarly, “physical contact like hitting and shoving” and “roadblocks” are each “a type of force that must be quantified in reference to the surrounding circumstances.”</w:t>
      </w:r>
      <w:r>
        <w:rPr>
          <w:rFonts w:cs="Times New Roman"/>
          <w:szCs w:val="24"/>
        </w:rPr>
        <w:t xml:space="preserve"> </w:t>
      </w:r>
      <w:r w:rsidRPr="00144BFA">
        <w:rPr>
          <w:rFonts w:cs="Times New Roman"/>
          <w:szCs w:val="24"/>
        </w:rPr>
        <w:t xml:space="preserve"> </w:t>
      </w:r>
      <w:r w:rsidRPr="00801DE7">
        <w:rPr>
          <w:rFonts w:cs="Times New Roman"/>
          <w:i/>
          <w:iCs/>
          <w:szCs w:val="24"/>
        </w:rPr>
        <w:t>Id</w:t>
      </w:r>
      <w:r w:rsidRPr="00801DE7">
        <w:rPr>
          <w:rFonts w:cs="Times New Roman"/>
          <w:szCs w:val="24"/>
        </w:rPr>
        <w:t xml:space="preserve">. </w:t>
      </w:r>
      <w:r w:rsidRPr="00144BFA">
        <w:rPr>
          <w:rFonts w:cs="Times New Roman"/>
          <w:szCs w:val="24"/>
        </w:rPr>
        <w:t xml:space="preserve">at </w:t>
      </w:r>
      <w:r>
        <w:rPr>
          <w:rFonts w:cs="Times New Roman"/>
          <w:szCs w:val="24"/>
        </w:rPr>
        <w:t xml:space="preserve">597. </w:t>
      </w:r>
      <w:r w:rsidRPr="00144BFA">
        <w:rPr>
          <w:rFonts w:cs="Times New Roman"/>
          <w:szCs w:val="24"/>
        </w:rPr>
        <w:t xml:space="preserve"> In </w:t>
      </w:r>
      <w:proofErr w:type="spellStart"/>
      <w:r w:rsidRPr="00801DE7">
        <w:rPr>
          <w:rFonts w:cs="Times New Roman"/>
          <w:i/>
          <w:iCs/>
          <w:szCs w:val="24"/>
        </w:rPr>
        <w:t>Seidner</w:t>
      </w:r>
      <w:proofErr w:type="spellEnd"/>
      <w:r w:rsidRPr="00144BFA">
        <w:rPr>
          <w:rFonts w:cs="Times New Roman"/>
          <w:szCs w:val="24"/>
        </w:rPr>
        <w:t xml:space="preserve">, the Ninth Circuit held that an officer who used his patrol car to block a suspect </w:t>
      </w:r>
      <w:r w:rsidRPr="00144BFA">
        <w:rPr>
          <w:rFonts w:cs="Times New Roman"/>
          <w:szCs w:val="24"/>
        </w:rPr>
        <w:lastRenderedPageBreak/>
        <w:t xml:space="preserve">fleeing on his bicycle had used “intermediate force,” defined as “force </w:t>
      </w:r>
      <w:r w:rsidRPr="00801DE7">
        <w:rPr>
          <w:rFonts w:cs="Times New Roman"/>
          <w:i/>
          <w:iCs/>
          <w:szCs w:val="24"/>
        </w:rPr>
        <w:t>capable</w:t>
      </w:r>
      <w:r w:rsidRPr="00801DE7">
        <w:rPr>
          <w:rFonts w:cs="Times New Roman"/>
          <w:szCs w:val="24"/>
        </w:rPr>
        <w:t xml:space="preserve"> </w:t>
      </w:r>
      <w:r w:rsidRPr="00144BFA">
        <w:rPr>
          <w:rFonts w:cs="Times New Roman"/>
          <w:szCs w:val="24"/>
        </w:rPr>
        <w:t>of inflicting significant pain and causing serious injury.”</w:t>
      </w:r>
      <w:r>
        <w:rPr>
          <w:rFonts w:cs="Times New Roman"/>
          <w:szCs w:val="24"/>
        </w:rPr>
        <w:t xml:space="preserve"> </w:t>
      </w:r>
      <w:r w:rsidRPr="00144BFA">
        <w:rPr>
          <w:rFonts w:cs="Times New Roman"/>
          <w:szCs w:val="24"/>
        </w:rPr>
        <w:t xml:space="preserve"> </w:t>
      </w:r>
      <w:r w:rsidRPr="00801DE7">
        <w:rPr>
          <w:rFonts w:cs="Times New Roman"/>
          <w:i/>
          <w:iCs/>
          <w:szCs w:val="24"/>
        </w:rPr>
        <w:t>Id</w:t>
      </w:r>
      <w:r w:rsidRPr="00801DE7">
        <w:rPr>
          <w:rFonts w:cs="Times New Roman"/>
          <w:szCs w:val="24"/>
        </w:rPr>
        <w:t xml:space="preserve">. </w:t>
      </w:r>
      <w:r w:rsidRPr="00144BFA">
        <w:rPr>
          <w:rFonts w:cs="Times New Roman"/>
          <w:szCs w:val="24"/>
        </w:rPr>
        <w:t xml:space="preserve">at </w:t>
      </w:r>
      <w:r>
        <w:rPr>
          <w:rFonts w:cs="Times New Roman"/>
          <w:szCs w:val="24"/>
        </w:rPr>
        <w:t>599</w:t>
      </w:r>
      <w:r w:rsidRPr="00144BFA">
        <w:rPr>
          <w:rFonts w:cs="Times New Roman"/>
          <w:szCs w:val="24"/>
        </w:rPr>
        <w:t xml:space="preserve">. </w:t>
      </w:r>
      <w:r>
        <w:rPr>
          <w:rFonts w:cs="Times New Roman"/>
          <w:szCs w:val="24"/>
        </w:rPr>
        <w:t xml:space="preserve"> </w:t>
      </w:r>
      <w:r w:rsidRPr="00144BFA">
        <w:rPr>
          <w:rFonts w:cs="Times New Roman"/>
          <w:szCs w:val="24"/>
        </w:rPr>
        <w:t>The court declined to create “a blanket rule that using a vehicle to block the path of a quickly moving cyclist, without allowing sufficient distance for the cyclist to avoid a collision, constitutes deadly force,” because “[n]</w:t>
      </w:r>
      <w:proofErr w:type="spellStart"/>
      <w:r w:rsidRPr="00144BFA">
        <w:rPr>
          <w:rFonts w:cs="Times New Roman"/>
          <w:szCs w:val="24"/>
        </w:rPr>
        <w:t>ot</w:t>
      </w:r>
      <w:proofErr w:type="spellEnd"/>
      <w:r w:rsidRPr="00144BFA">
        <w:rPr>
          <w:rFonts w:cs="Times New Roman"/>
          <w:szCs w:val="24"/>
        </w:rPr>
        <w:t xml:space="preserve"> all roadblocks used [to stop cyclists] present the same level of risk, and the extent of the ‘risk of harm and the actual harm experienced’ are essential inquiries in determining whether an officer’s actions</w:t>
      </w:r>
      <w:r>
        <w:rPr>
          <w:rFonts w:cs="Times New Roman"/>
          <w:szCs w:val="24"/>
        </w:rPr>
        <w:t xml:space="preserve"> </w:t>
      </w:r>
      <w:r w:rsidRPr="00144BFA">
        <w:rPr>
          <w:rFonts w:cs="Times New Roman"/>
          <w:szCs w:val="24"/>
        </w:rPr>
        <w:t xml:space="preserve">were reasonable under the Fourth Amendment.” </w:t>
      </w:r>
      <w:r>
        <w:rPr>
          <w:rFonts w:cs="Times New Roman"/>
          <w:szCs w:val="24"/>
        </w:rPr>
        <w:t xml:space="preserve"> </w:t>
      </w:r>
      <w:r w:rsidRPr="00801DE7">
        <w:rPr>
          <w:rFonts w:cs="Times New Roman"/>
          <w:i/>
          <w:iCs/>
          <w:szCs w:val="24"/>
        </w:rPr>
        <w:t>Id</w:t>
      </w:r>
      <w:r w:rsidRPr="00801DE7">
        <w:rPr>
          <w:rFonts w:cs="Times New Roman"/>
          <w:szCs w:val="24"/>
        </w:rPr>
        <w:t>.</w:t>
      </w:r>
    </w:p>
    <w:p w14:paraId="5B807436" w14:textId="77777777" w:rsidR="00801DE7" w:rsidRDefault="00801DE7" w:rsidP="00801DE7">
      <w:pPr>
        <w:autoSpaceDE w:val="0"/>
        <w:autoSpaceDN w:val="0"/>
        <w:adjustRightInd w:val="0"/>
        <w:rPr>
          <w:rFonts w:cs="Times New Roman"/>
          <w:i/>
          <w:iCs/>
          <w:szCs w:val="24"/>
        </w:rPr>
      </w:pPr>
    </w:p>
    <w:p w14:paraId="2F16EAAA" w14:textId="6A4A874E" w:rsidR="00801DE7" w:rsidRPr="00144BFA" w:rsidRDefault="00137962" w:rsidP="00801DE7">
      <w:pPr>
        <w:autoSpaceDE w:val="0"/>
        <w:autoSpaceDN w:val="0"/>
        <w:adjustRightInd w:val="0"/>
        <w:ind w:firstLine="720"/>
        <w:rPr>
          <w:rFonts w:cs="Times New Roman"/>
          <w:szCs w:val="24"/>
        </w:rPr>
      </w:pPr>
      <w:r w:rsidRPr="00137962">
        <w:rPr>
          <w:rFonts w:cs="Times New Roman"/>
          <w:szCs w:val="24"/>
        </w:rPr>
        <w:t>If it is clear that a suspect does not pose an immediate threat to the</w:t>
      </w:r>
      <w:r w:rsidR="00801DE7">
        <w:rPr>
          <w:rFonts w:cs="Times New Roman"/>
          <w:szCs w:val="24"/>
        </w:rPr>
        <w:t xml:space="preserve"> </w:t>
      </w:r>
      <w:r w:rsidRPr="00137962">
        <w:rPr>
          <w:rFonts w:cs="Times New Roman"/>
          <w:szCs w:val="24"/>
        </w:rPr>
        <w:t>safety of officers or others, it does not matter (</w:t>
      </w:r>
      <w:proofErr w:type="spellStart"/>
      <w:r w:rsidRPr="00137962">
        <w:rPr>
          <w:rFonts w:cs="Times New Roman"/>
          <w:szCs w:val="24"/>
        </w:rPr>
        <w:t>i</w:t>
      </w:r>
      <w:proofErr w:type="spellEnd"/>
      <w:r w:rsidRPr="00137962">
        <w:rPr>
          <w:rFonts w:cs="Times New Roman"/>
          <w:szCs w:val="24"/>
        </w:rPr>
        <w:t>) if the officers know the suspect is armed, (ii)</w:t>
      </w:r>
      <w:r w:rsidR="00801DE7">
        <w:rPr>
          <w:rFonts w:cs="Times New Roman"/>
          <w:szCs w:val="24"/>
        </w:rPr>
        <w:t xml:space="preserve"> </w:t>
      </w:r>
      <w:r w:rsidRPr="00137962">
        <w:rPr>
          <w:rFonts w:cs="Times New Roman"/>
          <w:szCs w:val="24"/>
        </w:rPr>
        <w:t xml:space="preserve">whether the suspect previously engaged in violent conduct, or (iii) the nature of the suspected crime.  </w:t>
      </w:r>
      <w:r w:rsidRPr="00801DE7">
        <w:rPr>
          <w:rFonts w:cs="Times New Roman"/>
          <w:i/>
          <w:iCs/>
          <w:szCs w:val="24"/>
        </w:rPr>
        <w:t>See Andrews v. City of Henderson</w:t>
      </w:r>
      <w:r w:rsidRPr="00137962">
        <w:rPr>
          <w:rFonts w:cs="Times New Roman"/>
          <w:szCs w:val="24"/>
        </w:rPr>
        <w:t>, 35 F.4th 710, 719 (9th Cir. 2022)</w:t>
      </w:r>
      <w:r w:rsidRPr="00801DE7">
        <w:rPr>
          <w:rFonts w:cs="Times New Roman"/>
          <w:szCs w:val="24"/>
        </w:rPr>
        <w:t xml:space="preserve"> (stating that officers violate Fourth Amendment when, without providing warning and without</w:t>
      </w:r>
      <w:r w:rsidRPr="00137962">
        <w:rPr>
          <w:rFonts w:cs="Times New Roman"/>
          <w:szCs w:val="24"/>
        </w:rPr>
        <w:t xml:space="preserve"> </w:t>
      </w:r>
      <w:r w:rsidRPr="00801DE7">
        <w:rPr>
          <w:rFonts w:cs="Times New Roman"/>
          <w:szCs w:val="24"/>
        </w:rPr>
        <w:t>attempting less-violent means of effecting an arrest, they tackle and pile on top of relatively</w:t>
      </w:r>
      <w:r w:rsidRPr="00137962">
        <w:rPr>
          <w:rFonts w:cs="Times New Roman"/>
          <w:szCs w:val="24"/>
        </w:rPr>
        <w:t xml:space="preserve"> </w:t>
      </w:r>
      <w:r w:rsidRPr="00801DE7">
        <w:rPr>
          <w:rFonts w:cs="Times New Roman"/>
          <w:szCs w:val="24"/>
        </w:rPr>
        <w:t xml:space="preserve">calm, non-resisting suspect who poses little immediate threat of safety).  </w:t>
      </w:r>
      <w:r w:rsidRPr="00137962">
        <w:rPr>
          <w:rFonts w:cs="Times New Roman"/>
          <w:szCs w:val="24"/>
        </w:rPr>
        <w:t>If deadly force is used</w:t>
      </w:r>
      <w:r w:rsidR="00801DE7">
        <w:rPr>
          <w:rFonts w:cs="Times New Roman"/>
          <w:szCs w:val="24"/>
        </w:rPr>
        <w:t>, it is excessive unless</w:t>
      </w:r>
      <w:r w:rsidRPr="00137962">
        <w:rPr>
          <w:rFonts w:cs="Times New Roman"/>
          <w:szCs w:val="24"/>
        </w:rPr>
        <w:t xml:space="preserve"> the officer </w:t>
      </w:r>
      <w:r w:rsidR="00801DE7">
        <w:rPr>
          <w:rFonts w:cs="Times New Roman"/>
          <w:szCs w:val="24"/>
        </w:rPr>
        <w:t>has</w:t>
      </w:r>
      <w:r w:rsidRPr="00137962">
        <w:rPr>
          <w:rFonts w:cs="Times New Roman"/>
          <w:szCs w:val="24"/>
        </w:rPr>
        <w:t xml:space="preserve"> “probable cause to believe that the suspect poses a significant threat of death or serious physical injury.”  </w:t>
      </w:r>
      <w:r w:rsidRPr="00801DE7">
        <w:rPr>
          <w:rFonts w:cs="Times New Roman"/>
          <w:i/>
          <w:iCs/>
          <w:szCs w:val="24"/>
        </w:rPr>
        <w:t>Tennessee v. Garner</w:t>
      </w:r>
      <w:r w:rsidRPr="00137962">
        <w:rPr>
          <w:rFonts w:cs="Times New Roman"/>
          <w:szCs w:val="24"/>
        </w:rPr>
        <w:t>, 471 U.S. 1, 3 (1985).</w:t>
      </w:r>
      <w:r w:rsidR="00801DE7">
        <w:rPr>
          <w:rFonts w:cs="Times New Roman"/>
          <w:szCs w:val="24"/>
        </w:rPr>
        <w:t xml:space="preserve"> </w:t>
      </w:r>
      <w:r w:rsidR="00A74AA1">
        <w:rPr>
          <w:rFonts w:cs="Times New Roman"/>
          <w:szCs w:val="24"/>
        </w:rPr>
        <w:t xml:space="preserve"> </w:t>
      </w:r>
      <w:r w:rsidR="00801DE7" w:rsidRPr="00144BFA">
        <w:rPr>
          <w:rFonts w:cs="Times New Roman"/>
          <w:szCs w:val="24"/>
        </w:rPr>
        <w:t>By contrast,</w:t>
      </w:r>
      <w:r w:rsidR="00801DE7">
        <w:rPr>
          <w:rFonts w:cs="Times New Roman"/>
          <w:szCs w:val="24"/>
        </w:rPr>
        <w:t xml:space="preserve"> </w:t>
      </w:r>
      <w:r w:rsidR="00801DE7" w:rsidRPr="00144BFA">
        <w:rPr>
          <w:rFonts w:cs="Times New Roman"/>
          <w:szCs w:val="24"/>
        </w:rPr>
        <w:t>“the use of</w:t>
      </w:r>
      <w:r w:rsidR="00801DE7">
        <w:rPr>
          <w:rFonts w:cs="Times New Roman"/>
          <w:szCs w:val="24"/>
        </w:rPr>
        <w:t xml:space="preserve"> </w:t>
      </w:r>
      <w:r w:rsidR="00801DE7" w:rsidRPr="00144BFA">
        <w:rPr>
          <w:rFonts w:cs="Times New Roman"/>
          <w:szCs w:val="24"/>
        </w:rPr>
        <w:t>intermediate force must be justified by more than ‘a mini</w:t>
      </w:r>
      <w:r w:rsidR="00801DE7">
        <w:rPr>
          <w:rFonts w:cs="Times New Roman"/>
          <w:szCs w:val="24"/>
        </w:rPr>
        <w:t>mal interest</w:t>
      </w:r>
      <w:r w:rsidR="00801DE7" w:rsidRPr="00144BFA">
        <w:rPr>
          <w:rFonts w:cs="Times New Roman"/>
          <w:szCs w:val="24"/>
        </w:rPr>
        <w:t>’</w:t>
      </w:r>
      <w:r w:rsidR="00801DE7">
        <w:rPr>
          <w:rFonts w:cs="Times New Roman"/>
          <w:szCs w:val="24"/>
        </w:rPr>
        <w:t xml:space="preserve"> </w:t>
      </w:r>
      <w:r w:rsidR="00801DE7" w:rsidRPr="00144BFA">
        <w:rPr>
          <w:rFonts w:cs="Times New Roman"/>
          <w:szCs w:val="24"/>
        </w:rPr>
        <w:t xml:space="preserve">held by the government.” </w:t>
      </w:r>
      <w:r w:rsidR="00920016">
        <w:rPr>
          <w:rFonts w:cs="Times New Roman"/>
          <w:szCs w:val="24"/>
        </w:rPr>
        <w:t xml:space="preserve"> </w:t>
      </w:r>
      <w:proofErr w:type="spellStart"/>
      <w:r w:rsidR="00801DE7" w:rsidRPr="00144BFA">
        <w:rPr>
          <w:rFonts w:cs="Times New Roman"/>
          <w:i/>
          <w:iCs/>
          <w:szCs w:val="24"/>
        </w:rPr>
        <w:t>Seidner</w:t>
      </w:r>
      <w:proofErr w:type="spellEnd"/>
      <w:r w:rsidR="00801DE7" w:rsidRPr="00144BFA">
        <w:rPr>
          <w:rFonts w:cs="Times New Roman"/>
          <w:szCs w:val="24"/>
        </w:rPr>
        <w:t>,</w:t>
      </w:r>
      <w:r w:rsidR="00801DE7">
        <w:rPr>
          <w:rFonts w:cs="Times New Roman"/>
          <w:szCs w:val="24"/>
        </w:rPr>
        <w:t xml:space="preserve"> </w:t>
      </w:r>
      <w:bookmarkStart w:id="149" w:name="_Hlk115095960"/>
      <w:r w:rsidR="00801DE7">
        <w:rPr>
          <w:rFonts w:cs="Times New Roman"/>
          <w:szCs w:val="24"/>
        </w:rPr>
        <w:t>39 F.4</w:t>
      </w:r>
      <w:r w:rsidR="00801DE7" w:rsidRPr="004C4C66">
        <w:rPr>
          <w:rFonts w:cs="Times New Roman"/>
          <w:szCs w:val="24"/>
        </w:rPr>
        <w:t>th</w:t>
      </w:r>
      <w:r w:rsidR="00801DE7">
        <w:rPr>
          <w:rFonts w:cs="Times New Roman"/>
          <w:szCs w:val="24"/>
        </w:rPr>
        <w:t xml:space="preserve"> at</w:t>
      </w:r>
      <w:bookmarkEnd w:id="149"/>
      <w:r w:rsidR="00801DE7">
        <w:rPr>
          <w:rFonts w:cs="Times New Roman"/>
          <w:szCs w:val="24"/>
        </w:rPr>
        <w:t xml:space="preserve"> 600</w:t>
      </w:r>
      <w:r w:rsidR="00801DE7" w:rsidRPr="00144BFA">
        <w:rPr>
          <w:rFonts w:cs="Times New Roman"/>
          <w:szCs w:val="24"/>
        </w:rPr>
        <w:t>.</w:t>
      </w:r>
    </w:p>
    <w:p w14:paraId="7A027C15" w14:textId="77777777" w:rsidR="00137962" w:rsidRPr="00137962" w:rsidRDefault="00137962" w:rsidP="00137962">
      <w:pPr>
        <w:autoSpaceDE w:val="0"/>
        <w:autoSpaceDN w:val="0"/>
        <w:adjustRightInd w:val="0"/>
        <w:rPr>
          <w:rFonts w:cs="Times New Roman"/>
          <w:szCs w:val="24"/>
        </w:rPr>
      </w:pPr>
    </w:p>
    <w:p w14:paraId="4C5F2518"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It is not error for a trial court to decline to single out one factor in the reasonableness inquiry, when the instructions properly charge the jury to consider all of the circumstances that confronted the officer.  </w:t>
      </w:r>
      <w:r w:rsidRPr="00137962">
        <w:rPr>
          <w:rFonts w:cs="Times New Roman"/>
          <w:i/>
          <w:iCs/>
          <w:szCs w:val="24"/>
        </w:rPr>
        <w:t>See Lam v. City of San Jose</w:t>
      </w:r>
      <w:r w:rsidRPr="00137962">
        <w:rPr>
          <w:rFonts w:cs="Times New Roman"/>
          <w:szCs w:val="24"/>
        </w:rPr>
        <w:t>, 869 F.3d 1077, 1087 (9th Cir. 2017) (affirming district court declining “bad tactics” instruction).</w:t>
      </w:r>
    </w:p>
    <w:p w14:paraId="791EE01C" w14:textId="77777777" w:rsidR="00137962" w:rsidRPr="00137962" w:rsidRDefault="00137962" w:rsidP="00137962">
      <w:pPr>
        <w:autoSpaceDE w:val="0"/>
        <w:autoSpaceDN w:val="0"/>
        <w:adjustRightInd w:val="0"/>
        <w:rPr>
          <w:rFonts w:cs="Times New Roman"/>
          <w:szCs w:val="24"/>
        </w:rPr>
      </w:pPr>
    </w:p>
    <w:p w14:paraId="30887C9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The first factor, “the nature of the crime or other circumstances known to the officer at</w:t>
      </w:r>
    </w:p>
    <w:p w14:paraId="7F1FC42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137962">
        <w:rPr>
          <w:rFonts w:cs="Times New Roman"/>
          <w:i/>
          <w:iCs/>
          <w:szCs w:val="24"/>
        </w:rPr>
        <w:t xml:space="preserve">See Ames v. King </w:t>
      </w:r>
      <w:proofErr w:type="spellStart"/>
      <w:r w:rsidRPr="00137962">
        <w:rPr>
          <w:rFonts w:cs="Times New Roman"/>
          <w:i/>
          <w:iCs/>
          <w:szCs w:val="24"/>
        </w:rPr>
        <w:t>Cnty</w:t>
      </w:r>
      <w:proofErr w:type="spellEnd"/>
      <w:r w:rsidRPr="00137962">
        <w:rPr>
          <w:rFonts w:cs="Times New Roman"/>
          <w:szCs w:val="24"/>
        </w:rPr>
        <w:t>., 846 F.3d 340, 349 (9th</w:t>
      </w:r>
    </w:p>
    <w:p w14:paraId="00B5FC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Cir. 2017).  “[O]</w:t>
      </w:r>
      <w:proofErr w:type="spellStart"/>
      <w:r w:rsidRPr="00137962">
        <w:rPr>
          <w:rFonts w:cs="Times New Roman"/>
          <w:szCs w:val="24"/>
        </w:rPr>
        <w:t>fficers</w:t>
      </w:r>
      <w:proofErr w:type="spellEnd"/>
      <w:r w:rsidRPr="00137962">
        <w:rPr>
          <w:rFonts w:cs="Times New Roman"/>
          <w:szCs w:val="24"/>
        </w:rPr>
        <w:t xml:space="preserve"> have a duty to independently evaluate a situation when they arrive, if they have an opportunity to do so.”  </w:t>
      </w:r>
      <w:r w:rsidRPr="00137962">
        <w:rPr>
          <w:rFonts w:cs="Times New Roman"/>
          <w:i/>
          <w:iCs/>
          <w:szCs w:val="24"/>
        </w:rPr>
        <w:t>Rice v. Morehouse</w:t>
      </w:r>
      <w:r w:rsidRPr="00137962">
        <w:rPr>
          <w:rFonts w:cs="Times New Roman"/>
          <w:szCs w:val="24"/>
        </w:rPr>
        <w:t xml:space="preserve">, 989 F.3d 1112, 1122 (9th Cir. 2021) (citing </w:t>
      </w:r>
      <w:proofErr w:type="spellStart"/>
      <w:r w:rsidRPr="00137962">
        <w:rPr>
          <w:rFonts w:cs="Times New Roman"/>
          <w:i/>
          <w:iCs/>
          <w:szCs w:val="24"/>
        </w:rPr>
        <w:t>Deorle</w:t>
      </w:r>
      <w:proofErr w:type="spellEnd"/>
      <w:r w:rsidRPr="00137962">
        <w:rPr>
          <w:rFonts w:cs="Times New Roman"/>
          <w:i/>
          <w:iCs/>
          <w:szCs w:val="24"/>
        </w:rPr>
        <w:t xml:space="preserve"> v. Rutherford</w:t>
      </w:r>
      <w:r w:rsidRPr="00137962">
        <w:rPr>
          <w:rFonts w:cs="Times New Roman"/>
          <w:szCs w:val="24"/>
        </w:rPr>
        <w:t>, 272 F.3d 1272, 1277 (9th Cir. 2001)).  “[O]</w:t>
      </w:r>
      <w:proofErr w:type="spellStart"/>
      <w:r w:rsidRPr="00137962">
        <w:rPr>
          <w:rFonts w:cs="Times New Roman"/>
          <w:szCs w:val="24"/>
        </w:rPr>
        <w:t>fficers</w:t>
      </w:r>
      <w:proofErr w:type="spellEnd"/>
      <w:r w:rsidRPr="00137962">
        <w:rPr>
          <w:rFonts w:cs="Times New Roman"/>
          <w:szCs w:val="24"/>
        </w:rPr>
        <w:t xml:space="preserve"> have a duty to independently evaluate a situation when they arrive, if they have an opportunity to do so.”  </w:t>
      </w:r>
      <w:r w:rsidRPr="00137962">
        <w:rPr>
          <w:rFonts w:cs="Times New Roman"/>
          <w:i/>
          <w:iCs/>
          <w:szCs w:val="24"/>
        </w:rPr>
        <w:t>Rice v. Morehouse</w:t>
      </w:r>
      <w:r w:rsidRPr="00137962">
        <w:rPr>
          <w:rFonts w:cs="Times New Roman"/>
          <w:szCs w:val="24"/>
        </w:rPr>
        <w:t xml:space="preserve">, 989 F.3d 1112, 1122 (9th Cir. 2021) (citing </w:t>
      </w:r>
      <w:proofErr w:type="spellStart"/>
      <w:r w:rsidRPr="00137962">
        <w:rPr>
          <w:rFonts w:cs="Times New Roman"/>
          <w:i/>
          <w:iCs/>
          <w:szCs w:val="24"/>
        </w:rPr>
        <w:t>Deorle</w:t>
      </w:r>
      <w:proofErr w:type="spellEnd"/>
      <w:r w:rsidRPr="00137962">
        <w:rPr>
          <w:rFonts w:cs="Times New Roman"/>
          <w:i/>
          <w:iCs/>
          <w:szCs w:val="24"/>
        </w:rPr>
        <w:t xml:space="preserve"> v. Rutherford</w:t>
      </w:r>
      <w:r w:rsidRPr="00137962">
        <w:rPr>
          <w:rFonts w:cs="Times New Roman"/>
          <w:szCs w:val="24"/>
        </w:rPr>
        <w:t>, 272 F.3d 1272, 1277 (9th Cir. 2001)).</w:t>
      </w:r>
    </w:p>
    <w:p w14:paraId="6093EC9E" w14:textId="77777777" w:rsidR="00137962" w:rsidRPr="00137962" w:rsidRDefault="00137962" w:rsidP="00137962">
      <w:pPr>
        <w:autoSpaceDE w:val="0"/>
        <w:autoSpaceDN w:val="0"/>
        <w:adjustRightInd w:val="0"/>
        <w:rPr>
          <w:rFonts w:cs="Times New Roman"/>
          <w:szCs w:val="24"/>
        </w:rPr>
      </w:pPr>
    </w:p>
    <w:p w14:paraId="25E95E7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Other relevant factors may include (1) whether proper warnings were given and whether it should have been apparent to officers that the person they used force against was emotionally disturbed, </w:t>
      </w:r>
      <w:r w:rsidRPr="00137962">
        <w:rPr>
          <w:rFonts w:cs="Times New Roman"/>
          <w:i/>
          <w:iCs/>
          <w:szCs w:val="24"/>
        </w:rPr>
        <w:t>see Glenn v. Washington County</w:t>
      </w:r>
      <w:r w:rsidRPr="00137962">
        <w:rPr>
          <w:rFonts w:cs="Times New Roman"/>
          <w:szCs w:val="24"/>
        </w:rPr>
        <w:t xml:space="preserve">, 673 F.3d 864, 872 (9th Cir. 2011); </w:t>
      </w:r>
      <w:r w:rsidRPr="00137962">
        <w:rPr>
          <w:rFonts w:cs="Times New Roman"/>
          <w:i/>
          <w:iCs/>
          <w:szCs w:val="24"/>
        </w:rPr>
        <w:t xml:space="preserve">see also </w:t>
      </w:r>
      <w:proofErr w:type="spellStart"/>
      <w:r w:rsidRPr="00137962">
        <w:rPr>
          <w:rFonts w:cs="Times New Roman"/>
          <w:i/>
          <w:iCs/>
          <w:szCs w:val="24"/>
        </w:rPr>
        <w:t>Deorle</w:t>
      </w:r>
      <w:proofErr w:type="spellEnd"/>
      <w:r w:rsidRPr="00137962">
        <w:rPr>
          <w:rFonts w:cs="Times New Roman"/>
          <w:i/>
          <w:iCs/>
          <w:szCs w:val="24"/>
        </w:rPr>
        <w:t xml:space="preserve"> v. Rutherford</w:t>
      </w:r>
      <w:r w:rsidRPr="00137962">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137962">
        <w:rPr>
          <w:rFonts w:cs="Times New Roman"/>
          <w:i/>
          <w:iCs/>
          <w:szCs w:val="24"/>
        </w:rPr>
        <w:t>A. K. H. v. City of Tustin</w:t>
      </w:r>
      <w:r w:rsidRPr="00137962">
        <w:rPr>
          <w:rFonts w:cs="Times New Roman"/>
          <w:szCs w:val="24"/>
        </w:rPr>
        <w:t>, 837 F.3d 1005, 1012 (9th Cir. 2016).</w:t>
      </w:r>
    </w:p>
    <w:p w14:paraId="04D8C95B" w14:textId="77777777" w:rsidR="00137962" w:rsidRPr="00137962" w:rsidRDefault="00137962" w:rsidP="00137962">
      <w:pPr>
        <w:autoSpaceDE w:val="0"/>
        <w:autoSpaceDN w:val="0"/>
        <w:adjustRightInd w:val="0"/>
        <w:rPr>
          <w:rFonts w:cs="Times New Roman"/>
          <w:szCs w:val="24"/>
        </w:rPr>
      </w:pPr>
    </w:p>
    <w:p w14:paraId="0BB1534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lastRenderedPageBreak/>
        <w:tab/>
        <w:t xml:space="preserve">The “relative culpability” of the parties— </w:t>
      </w:r>
      <w:r w:rsidRPr="00137962">
        <w:rPr>
          <w:rFonts w:cs="Times New Roman"/>
          <w:i/>
          <w:iCs/>
          <w:szCs w:val="24"/>
        </w:rPr>
        <w:t>i.e.</w:t>
      </w:r>
      <w:r w:rsidRPr="00137962">
        <w:rPr>
          <w:rFonts w:cs="Times New Roman"/>
          <w:szCs w:val="24"/>
        </w:rPr>
        <w:t xml:space="preserve">, which party created the dangerous situation and which party is more innocent— may also be considered in determining the reasonableness of the force used.  </w:t>
      </w:r>
      <w:r w:rsidRPr="00137962">
        <w:rPr>
          <w:rFonts w:cs="Times New Roman"/>
          <w:i/>
          <w:iCs/>
          <w:szCs w:val="24"/>
        </w:rPr>
        <w:t>Espinosa v. City &amp; County of San Francisco</w:t>
      </w:r>
      <w:r w:rsidRPr="00137962">
        <w:rPr>
          <w:rFonts w:cs="Times New Roman"/>
          <w:szCs w:val="24"/>
        </w:rPr>
        <w:t xml:space="preserve">, 598 F.3d 528, 537 (9th Cir. 2010) (citing </w:t>
      </w:r>
      <w:r w:rsidRPr="00137962">
        <w:rPr>
          <w:rFonts w:cs="Times New Roman"/>
          <w:i/>
          <w:iCs/>
          <w:szCs w:val="24"/>
        </w:rPr>
        <w:t>Scott</w:t>
      </w:r>
      <w:r w:rsidRPr="00137962">
        <w:rPr>
          <w:rFonts w:cs="Times New Roman"/>
          <w:szCs w:val="24"/>
        </w:rPr>
        <w:t xml:space="preserve">, 550 U.S. at 384). </w:t>
      </w:r>
    </w:p>
    <w:p w14:paraId="2CD536AB" w14:textId="77777777" w:rsidR="00137962" w:rsidRPr="00137962" w:rsidRDefault="00137962" w:rsidP="00137962">
      <w:pPr>
        <w:autoSpaceDE w:val="0"/>
        <w:autoSpaceDN w:val="0"/>
        <w:adjustRightInd w:val="0"/>
        <w:rPr>
          <w:rFonts w:cs="Times New Roman"/>
          <w:szCs w:val="24"/>
        </w:rPr>
      </w:pPr>
    </w:p>
    <w:p w14:paraId="2C28A817" w14:textId="77777777" w:rsidR="00801DE7" w:rsidRPr="00144BFA" w:rsidRDefault="00801DE7" w:rsidP="00801DE7">
      <w:pPr>
        <w:autoSpaceDE w:val="0"/>
        <w:autoSpaceDN w:val="0"/>
        <w:adjustRightInd w:val="0"/>
        <w:ind w:firstLine="720"/>
        <w:rPr>
          <w:rFonts w:cs="Times New Roman"/>
          <w:szCs w:val="24"/>
        </w:rPr>
      </w:pPr>
      <w:r w:rsidRPr="00144BFA">
        <w:rPr>
          <w:rFonts w:cs="Times New Roman"/>
          <w:szCs w:val="24"/>
        </w:rPr>
        <w:t>The jury should also consider whether the suspect was actively resisting</w:t>
      </w:r>
      <w:r>
        <w:rPr>
          <w:rFonts w:cs="Times New Roman"/>
          <w:szCs w:val="24"/>
        </w:rPr>
        <w:t xml:space="preserve"> </w:t>
      </w:r>
      <w:r w:rsidRPr="00144BFA">
        <w:rPr>
          <w:rFonts w:cs="Times New Roman"/>
          <w:szCs w:val="24"/>
        </w:rPr>
        <w:t xml:space="preserve">arrest or attempting to evade arrest by flight. </w:t>
      </w:r>
      <w:r>
        <w:rPr>
          <w:rFonts w:cs="Times New Roman"/>
          <w:szCs w:val="24"/>
        </w:rPr>
        <w:t xml:space="preserve"> </w:t>
      </w:r>
      <w:proofErr w:type="spellStart"/>
      <w:r w:rsidRPr="00144BFA">
        <w:rPr>
          <w:rFonts w:cs="Times New Roman"/>
          <w:i/>
          <w:iCs/>
          <w:szCs w:val="24"/>
        </w:rPr>
        <w:t>Seidner</w:t>
      </w:r>
      <w:proofErr w:type="spellEnd"/>
      <w:r w:rsidRPr="00144BFA">
        <w:rPr>
          <w:rFonts w:cs="Times New Roman"/>
          <w:szCs w:val="24"/>
        </w:rPr>
        <w:t xml:space="preserve">, </w:t>
      </w:r>
      <w:r>
        <w:rPr>
          <w:rFonts w:cs="Times New Roman"/>
          <w:szCs w:val="24"/>
        </w:rPr>
        <w:t>39 F.4</w:t>
      </w:r>
      <w:r w:rsidRPr="004C4C66">
        <w:rPr>
          <w:rFonts w:cs="Times New Roman"/>
          <w:szCs w:val="24"/>
        </w:rPr>
        <w:t>th</w:t>
      </w:r>
      <w:r>
        <w:rPr>
          <w:rFonts w:cs="Times New Roman"/>
          <w:szCs w:val="24"/>
        </w:rPr>
        <w:t xml:space="preserve"> at 599</w:t>
      </w:r>
      <w:r w:rsidRPr="00144BFA">
        <w:rPr>
          <w:rFonts w:cs="Times New Roman"/>
          <w:szCs w:val="24"/>
        </w:rPr>
        <w:t>.</w:t>
      </w:r>
      <w:r>
        <w:rPr>
          <w:rFonts w:cs="Times New Roman"/>
          <w:szCs w:val="24"/>
        </w:rPr>
        <w:t xml:space="preserve"> </w:t>
      </w:r>
      <w:r w:rsidRPr="00144BFA">
        <w:rPr>
          <w:rFonts w:cs="Times New Roman"/>
          <w:szCs w:val="24"/>
        </w:rPr>
        <w:t xml:space="preserve"> A suspect’s flight is “an independent consideration in assessing the strength of the government's interest in affecting an investigatory stop or arrest.” </w:t>
      </w:r>
      <w:r>
        <w:rPr>
          <w:rFonts w:cs="Times New Roman"/>
          <w:szCs w:val="24"/>
        </w:rPr>
        <w:t xml:space="preserve"> </w:t>
      </w:r>
      <w:r w:rsidRPr="00144BFA">
        <w:rPr>
          <w:rFonts w:cs="Times New Roman"/>
          <w:i/>
          <w:iCs/>
          <w:szCs w:val="24"/>
        </w:rPr>
        <w:t xml:space="preserve">Id. </w:t>
      </w:r>
      <w:r w:rsidRPr="00144BFA">
        <w:rPr>
          <w:rFonts w:cs="Times New Roman"/>
          <w:szCs w:val="24"/>
        </w:rPr>
        <w:t xml:space="preserve">at </w:t>
      </w:r>
      <w:r>
        <w:rPr>
          <w:rFonts w:cs="Times New Roman"/>
          <w:szCs w:val="24"/>
        </w:rPr>
        <w:t>600</w:t>
      </w:r>
      <w:r w:rsidRPr="00144BFA">
        <w:rPr>
          <w:rFonts w:cs="Times New Roman"/>
          <w:szCs w:val="24"/>
        </w:rPr>
        <w:t xml:space="preserve">. </w:t>
      </w:r>
      <w:r>
        <w:rPr>
          <w:rFonts w:cs="Times New Roman"/>
          <w:szCs w:val="24"/>
        </w:rPr>
        <w:t xml:space="preserve"> </w:t>
      </w:r>
      <w:r w:rsidRPr="00144BFA">
        <w:rPr>
          <w:rFonts w:cs="Times New Roman"/>
          <w:szCs w:val="24"/>
        </w:rPr>
        <w:t>“A minor offense, even a traffic violation, followed by an attempt to flee gives law enforcement a greater measure of interest in affecting a stop.”</w:t>
      </w:r>
      <w:r>
        <w:rPr>
          <w:rFonts w:cs="Times New Roman"/>
          <w:szCs w:val="24"/>
        </w:rPr>
        <w:t xml:space="preserve"> </w:t>
      </w:r>
      <w:r w:rsidRPr="00144BFA">
        <w:rPr>
          <w:rFonts w:cs="Times New Roman"/>
          <w:szCs w:val="24"/>
        </w:rPr>
        <w:t xml:space="preserve"> </w:t>
      </w:r>
      <w:r w:rsidRPr="00144BFA">
        <w:rPr>
          <w:rFonts w:cs="Times New Roman"/>
          <w:i/>
          <w:iCs/>
          <w:szCs w:val="24"/>
        </w:rPr>
        <w:t>Id.</w:t>
      </w:r>
      <w:r w:rsidRPr="00144BFA">
        <w:rPr>
          <w:rFonts w:cs="Times New Roman"/>
          <w:szCs w:val="24"/>
        </w:rPr>
        <w:t xml:space="preserve">; </w:t>
      </w:r>
      <w:r w:rsidRPr="00144BFA">
        <w:rPr>
          <w:rFonts w:cs="Times New Roman"/>
          <w:i/>
          <w:iCs/>
          <w:szCs w:val="24"/>
        </w:rPr>
        <w:t>see also Miller</w:t>
      </w:r>
      <w:r>
        <w:rPr>
          <w:rFonts w:cs="Times New Roman"/>
          <w:szCs w:val="24"/>
        </w:rPr>
        <w:t xml:space="preserve"> </w:t>
      </w:r>
      <w:r w:rsidRPr="00144BFA">
        <w:rPr>
          <w:rFonts w:cs="Times New Roman"/>
          <w:i/>
          <w:iCs/>
          <w:szCs w:val="24"/>
        </w:rPr>
        <w:t xml:space="preserve">v. Clark </w:t>
      </w:r>
      <w:proofErr w:type="spellStart"/>
      <w:r w:rsidRPr="00144BFA">
        <w:rPr>
          <w:rFonts w:cs="Times New Roman"/>
          <w:i/>
          <w:iCs/>
          <w:szCs w:val="24"/>
        </w:rPr>
        <w:t>Cnty</w:t>
      </w:r>
      <w:proofErr w:type="spellEnd"/>
      <w:r w:rsidRPr="00144BFA">
        <w:rPr>
          <w:rFonts w:cs="Times New Roman"/>
          <w:i/>
          <w:iCs/>
          <w:szCs w:val="24"/>
        </w:rPr>
        <w:t>.</w:t>
      </w:r>
      <w:r w:rsidRPr="00144BFA">
        <w:rPr>
          <w:rFonts w:cs="Times New Roman"/>
          <w:szCs w:val="24"/>
        </w:rPr>
        <w:t>, 340 F.3d 959, 966 (9th Cir. 2003) (holding that suspect’s decision</w:t>
      </w:r>
    </w:p>
    <w:p w14:paraId="2EC550C0" w14:textId="77777777" w:rsidR="00801DE7" w:rsidRPr="00144BFA" w:rsidRDefault="00801DE7" w:rsidP="00801DE7">
      <w:pPr>
        <w:autoSpaceDE w:val="0"/>
        <w:autoSpaceDN w:val="0"/>
        <w:adjustRightInd w:val="0"/>
        <w:rPr>
          <w:rFonts w:cs="Times New Roman"/>
          <w:szCs w:val="24"/>
        </w:rPr>
      </w:pPr>
      <w:r w:rsidRPr="00144BFA">
        <w:rPr>
          <w:rFonts w:cs="Times New Roman"/>
          <w:szCs w:val="24"/>
        </w:rPr>
        <w:t>to evade arrest by flight favors government’s use of force).</w:t>
      </w:r>
    </w:p>
    <w:p w14:paraId="62B799C8" w14:textId="77777777" w:rsidR="00801DE7" w:rsidRPr="002D5D63" w:rsidRDefault="00801DE7" w:rsidP="00801DE7">
      <w:pPr>
        <w:autoSpaceDE w:val="0"/>
        <w:autoSpaceDN w:val="0"/>
        <w:adjustRightInd w:val="0"/>
        <w:rPr>
          <w:rFonts w:cs="Times New Roman"/>
          <w:szCs w:val="24"/>
        </w:rPr>
      </w:pPr>
    </w:p>
    <w:p w14:paraId="38938B29" w14:textId="77777777" w:rsidR="00801DE7" w:rsidRPr="00915CD2" w:rsidRDefault="00801DE7" w:rsidP="00801DE7">
      <w:pPr>
        <w:autoSpaceDE w:val="0"/>
        <w:autoSpaceDN w:val="0"/>
        <w:adjustRightInd w:val="0"/>
        <w:ind w:firstLine="720"/>
        <w:rPr>
          <w:rFonts w:cs="Times New Roman"/>
          <w:szCs w:val="24"/>
        </w:rPr>
      </w:pPr>
      <w:r w:rsidRPr="00915CD2">
        <w:rPr>
          <w:rFonts w:cs="Times New Roman"/>
          <w:szCs w:val="24"/>
        </w:rPr>
        <w:t xml:space="preserve">“Deadly force is the most severe intrusion on Fourth Amendment interests because an individual has a ‘fundamental interest in his own life’ and because, once deceased, an individual can no longer stand trial to have his ‘guilt and punishment’ determined.”  </w:t>
      </w:r>
      <w:r w:rsidRPr="00915CD2">
        <w:rPr>
          <w:rFonts w:cs="Times New Roman"/>
          <w:i/>
          <w:iCs/>
          <w:szCs w:val="24"/>
        </w:rPr>
        <w:t>Estate of Aguirre</w:t>
      </w:r>
      <w:r w:rsidRPr="00915CD2">
        <w:rPr>
          <w:rFonts w:cs="Times New Roman"/>
          <w:szCs w:val="24"/>
        </w:rPr>
        <w:t xml:space="preserve">, 29 F.4th at 628 (quoting </w:t>
      </w:r>
      <w:r w:rsidRPr="00915CD2">
        <w:rPr>
          <w:rFonts w:cs="Times New Roman"/>
          <w:i/>
          <w:iCs/>
          <w:szCs w:val="24"/>
        </w:rPr>
        <w:t>Tennessee v. Garner</w:t>
      </w:r>
      <w:r w:rsidRPr="00915CD2">
        <w:rPr>
          <w:rFonts w:cs="Times New Roman"/>
          <w:szCs w:val="24"/>
        </w:rPr>
        <w:t>, 471 U.S. 1, 8 (1985)).  For this reason, “[b]</w:t>
      </w:r>
      <w:proofErr w:type="spellStart"/>
      <w:r w:rsidRPr="00915CD2">
        <w:rPr>
          <w:rFonts w:cs="Times New Roman"/>
          <w:szCs w:val="24"/>
        </w:rPr>
        <w:t>efore</w:t>
      </w:r>
      <w:proofErr w:type="spellEnd"/>
      <w:r w:rsidRPr="00915CD2">
        <w:rPr>
          <w:rFonts w:cs="Times New Roman"/>
          <w:szCs w:val="24"/>
        </w:rPr>
        <w:t xml:space="preserve"> using deadly force, law enforcement must, ‘where feasible,’ issue a warning.”  </w:t>
      </w:r>
      <w:r w:rsidRPr="00915CD2">
        <w:rPr>
          <w:rFonts w:cs="Times New Roman"/>
          <w:i/>
          <w:iCs/>
          <w:szCs w:val="24"/>
        </w:rPr>
        <w:t>Estate of Aguirre</w:t>
      </w:r>
      <w:r w:rsidRPr="00915CD2">
        <w:rPr>
          <w:rFonts w:cs="Times New Roman"/>
          <w:szCs w:val="24"/>
        </w:rPr>
        <w:t xml:space="preserve">, 29 F.4th at 620 (quoting </w:t>
      </w:r>
      <w:r w:rsidRPr="00915CD2">
        <w:rPr>
          <w:rFonts w:cs="Times New Roman"/>
          <w:i/>
          <w:iCs/>
          <w:szCs w:val="24"/>
        </w:rPr>
        <w:t>Garner</w:t>
      </w:r>
      <w:r w:rsidRPr="00915CD2">
        <w:rPr>
          <w:rFonts w:cs="Times New Roman"/>
          <w:szCs w:val="24"/>
        </w:rPr>
        <w:t xml:space="preserve">, 471 U.S. at 11-12)).  If a suspect no longer poses an immediate threat, then the subsequent use of deadly force is unreasonable.  </w:t>
      </w:r>
      <w:r w:rsidRPr="00915CD2">
        <w:rPr>
          <w:rFonts w:cs="Times New Roman"/>
          <w:i/>
          <w:iCs/>
          <w:szCs w:val="24"/>
        </w:rPr>
        <w:t>Zion v. County of Orange</w:t>
      </w:r>
      <w:r w:rsidRPr="00915CD2">
        <w:rPr>
          <w:rFonts w:cs="Times New Roman"/>
          <w:szCs w:val="24"/>
        </w:rPr>
        <w:t xml:space="preserve">, 874 F.3d 1072, 1076 (9th Cir. 2017).  However, determining whether the use of deadly force is reasonable involves a highly fact-specific analysis.  </w:t>
      </w:r>
      <w:r w:rsidRPr="00915CD2">
        <w:rPr>
          <w:rFonts w:cs="Times New Roman"/>
          <w:i/>
          <w:iCs/>
          <w:szCs w:val="24"/>
        </w:rPr>
        <w:t>See Wilkinson</w:t>
      </w:r>
      <w:r w:rsidRPr="00915CD2">
        <w:rPr>
          <w:rFonts w:cs="Times New Roman"/>
          <w:szCs w:val="24"/>
        </w:rPr>
        <w:t xml:space="preserve">, 610 F.3d at 551; </w:t>
      </w:r>
      <w:r w:rsidRPr="00915CD2">
        <w:rPr>
          <w:rFonts w:cs="Times New Roman"/>
          <w:i/>
          <w:iCs/>
          <w:szCs w:val="24"/>
        </w:rPr>
        <w:t>Lombardo v. City of St. Louis, Missouri</w:t>
      </w:r>
      <w:r w:rsidRPr="00915CD2">
        <w:rPr>
          <w:rFonts w:cs="Times New Roman"/>
          <w:szCs w:val="24"/>
        </w:rPr>
        <w:t xml:space="preserve">, 141 </w:t>
      </w:r>
      <w:proofErr w:type="spellStart"/>
      <w:r w:rsidRPr="00915CD2">
        <w:rPr>
          <w:rFonts w:cs="Times New Roman"/>
          <w:szCs w:val="24"/>
        </w:rPr>
        <w:t>S.Ct</w:t>
      </w:r>
      <w:proofErr w:type="spellEnd"/>
      <w:r w:rsidRPr="00915CD2">
        <w:rPr>
          <w:rFonts w:cs="Times New Roman"/>
          <w:szCs w:val="24"/>
        </w:rPr>
        <w:t xml:space="preserve">. 2239, 2242 (2021) (stating that the use of a per se rule “would contravene the careful, context-specific analysis required by this Court’s excessive force precedent”); </w:t>
      </w:r>
      <w:r w:rsidRPr="00915CD2">
        <w:rPr>
          <w:rFonts w:cs="Times New Roman"/>
          <w:i/>
          <w:iCs/>
          <w:szCs w:val="24"/>
        </w:rPr>
        <w:t xml:space="preserve">Mattos v. </w:t>
      </w:r>
      <w:proofErr w:type="spellStart"/>
      <w:r w:rsidRPr="00915CD2">
        <w:rPr>
          <w:rFonts w:cs="Times New Roman"/>
          <w:i/>
          <w:iCs/>
          <w:szCs w:val="24"/>
        </w:rPr>
        <w:t>Agarano</w:t>
      </w:r>
      <w:proofErr w:type="spellEnd"/>
      <w:r w:rsidRPr="00915CD2">
        <w:rPr>
          <w:rFonts w:cs="Times New Roman"/>
          <w:szCs w:val="24"/>
        </w:rPr>
        <w:t>, 661 F.3d 433, 441 (9th Cir. 2011) (</w:t>
      </w:r>
      <w:proofErr w:type="spellStart"/>
      <w:r w:rsidRPr="00915CD2">
        <w:rPr>
          <w:rFonts w:cs="Times New Roman"/>
          <w:szCs w:val="24"/>
        </w:rPr>
        <w:t>en</w:t>
      </w:r>
      <w:proofErr w:type="spellEnd"/>
      <w:r w:rsidRPr="00915CD2">
        <w:rPr>
          <w:rFonts w:cs="Times New Roman"/>
          <w:szCs w:val="24"/>
        </w:rPr>
        <w:t xml:space="preserve"> banc) (“[T]here are no per se rules in the Fourth Amendment excessive force context; rather, courts ‘must still slosh [their] way through the </w:t>
      </w:r>
      <w:proofErr w:type="spellStart"/>
      <w:r w:rsidRPr="00915CD2">
        <w:rPr>
          <w:rFonts w:cs="Times New Roman"/>
          <w:szCs w:val="24"/>
        </w:rPr>
        <w:t>factbound</w:t>
      </w:r>
      <w:proofErr w:type="spellEnd"/>
      <w:r w:rsidRPr="00915CD2">
        <w:rPr>
          <w:rFonts w:cs="Times New Roman"/>
          <w:szCs w:val="24"/>
        </w:rPr>
        <w:t xml:space="preserve"> morass of ‘reasonableness’’” (quoting </w:t>
      </w:r>
      <w:r w:rsidRPr="00915CD2">
        <w:rPr>
          <w:rFonts w:cs="Times New Roman"/>
          <w:i/>
          <w:iCs/>
          <w:szCs w:val="24"/>
        </w:rPr>
        <w:t>Scott v. Harris</w:t>
      </w:r>
      <w:r w:rsidRPr="00915CD2">
        <w:rPr>
          <w:rFonts w:cs="Times New Roman"/>
          <w:szCs w:val="24"/>
        </w:rPr>
        <w:t>, 550 U.S. 372. 383 (2007))).</w:t>
      </w:r>
    </w:p>
    <w:p w14:paraId="0F4E8741" w14:textId="77777777" w:rsidR="00801DE7" w:rsidRPr="002D5D63" w:rsidRDefault="00801DE7" w:rsidP="00801DE7">
      <w:pPr>
        <w:autoSpaceDE w:val="0"/>
        <w:autoSpaceDN w:val="0"/>
        <w:adjustRightInd w:val="0"/>
        <w:rPr>
          <w:rFonts w:cs="Times New Roman"/>
          <w:szCs w:val="24"/>
        </w:rPr>
      </w:pPr>
    </w:p>
    <w:p w14:paraId="3C779DF5" w14:textId="77777777" w:rsidR="00137962" w:rsidRPr="00137962" w:rsidRDefault="00137962" w:rsidP="00137962">
      <w:pPr>
        <w:autoSpaceDE w:val="0"/>
        <w:autoSpaceDN w:val="0"/>
        <w:adjustRightInd w:val="0"/>
        <w:ind w:firstLine="720"/>
        <w:rPr>
          <w:rFonts w:cs="Times New Roman"/>
          <w:szCs w:val="24"/>
        </w:rPr>
      </w:pPr>
      <w:r w:rsidRPr="00137962">
        <w:rPr>
          <w:rFonts w:cs="Times New Roman"/>
          <w:szCs w:val="24"/>
        </w:rPr>
        <w:t xml:space="preserve">Whether the officers are facing or expecting a domestic disturbance is a specific factor relevant to the totality of the circumstances in assessing an excessive force claim.  </w:t>
      </w:r>
      <w:r w:rsidRPr="00137962">
        <w:rPr>
          <w:rFonts w:cs="Times New Roman"/>
          <w:i/>
          <w:iCs/>
          <w:szCs w:val="24"/>
        </w:rPr>
        <w:t>George v. Morris</w:t>
      </w:r>
      <w:r w:rsidRPr="00137962">
        <w:rPr>
          <w:rFonts w:cs="Times New Roman"/>
          <w:szCs w:val="24"/>
        </w:rPr>
        <w:t>, 736 F.3d 829, 839 (9th Cir. 2013) (“Domestic violence situations are ‘particularly</w:t>
      </w:r>
    </w:p>
    <w:p w14:paraId="53F38F2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dangerous’ because ‘more officers are killed or injured on domestic violence calls than on any</w:t>
      </w:r>
    </w:p>
    <w:p w14:paraId="41C6B7A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other type of call.’”).</w:t>
      </w:r>
    </w:p>
    <w:p w14:paraId="7F7FA919" w14:textId="77777777" w:rsidR="00137962" w:rsidRPr="00137962" w:rsidRDefault="00137962" w:rsidP="00137962">
      <w:pPr>
        <w:autoSpaceDE w:val="0"/>
        <w:autoSpaceDN w:val="0"/>
        <w:adjustRightInd w:val="0"/>
        <w:rPr>
          <w:rFonts w:cs="Times New Roman"/>
          <w:szCs w:val="24"/>
        </w:rPr>
      </w:pPr>
    </w:p>
    <w:p w14:paraId="5F872FD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an officer’s particular use of force is based on a mistake of fact, we ask whether a</w:t>
      </w:r>
    </w:p>
    <w:p w14:paraId="60428259" w14:textId="77777777" w:rsidR="00137962" w:rsidRPr="00137962" w:rsidRDefault="00137962" w:rsidP="00137962">
      <w:pPr>
        <w:autoSpaceDE w:val="0"/>
        <w:autoSpaceDN w:val="0"/>
        <w:adjustRightInd w:val="0"/>
        <w:rPr>
          <w:rFonts w:cs="Times New Roman"/>
          <w:i/>
          <w:iCs/>
          <w:szCs w:val="24"/>
        </w:rPr>
      </w:pPr>
      <w:r w:rsidRPr="00137962">
        <w:rPr>
          <w:rFonts w:cs="Times New Roman"/>
          <w:szCs w:val="24"/>
        </w:rPr>
        <w:t>reasonable officer would have or should have accurately perceived that fact.”</w:t>
      </w:r>
      <w:r w:rsidRPr="00137962">
        <w:rPr>
          <w:rFonts w:cs="Times New Roman"/>
          <w:i/>
          <w:iCs/>
          <w:szCs w:val="24"/>
        </w:rPr>
        <w:t xml:space="preserve">  Torres v. City of</w:t>
      </w:r>
    </w:p>
    <w:p w14:paraId="728F8238" w14:textId="77777777" w:rsidR="00137962" w:rsidRPr="00137962" w:rsidRDefault="00137962" w:rsidP="00137962">
      <w:pPr>
        <w:autoSpaceDE w:val="0"/>
        <w:autoSpaceDN w:val="0"/>
        <w:adjustRightInd w:val="0"/>
        <w:rPr>
          <w:rFonts w:cs="Times New Roman"/>
          <w:szCs w:val="24"/>
        </w:rPr>
      </w:pPr>
      <w:r w:rsidRPr="00137962">
        <w:rPr>
          <w:rFonts w:cs="Times New Roman"/>
          <w:i/>
          <w:iCs/>
          <w:szCs w:val="24"/>
        </w:rPr>
        <w:t>Madera</w:t>
      </w:r>
      <w:r w:rsidRPr="00137962">
        <w:rPr>
          <w:rFonts w:cs="Times New Roman"/>
          <w:szCs w:val="24"/>
        </w:rPr>
        <w:t xml:space="preserve">, 648 F.3d 1119, 1124 (9th Cir. 2011) (citing </w:t>
      </w:r>
      <w:r w:rsidRPr="00137962">
        <w:rPr>
          <w:rFonts w:cs="Times New Roman"/>
          <w:i/>
          <w:iCs/>
          <w:szCs w:val="24"/>
        </w:rPr>
        <w:t>Jensen v. City of Oxnard</w:t>
      </w:r>
      <w:r w:rsidRPr="00137962">
        <w:rPr>
          <w:rFonts w:cs="Times New Roman"/>
          <w:szCs w:val="24"/>
        </w:rPr>
        <w:t>, 145 F.3d 1078,</w:t>
      </w:r>
    </w:p>
    <w:p w14:paraId="0683A225"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1086 (9th Cir. 1998)) (emphasis in original).  “[W]</w:t>
      </w:r>
      <w:proofErr w:type="spellStart"/>
      <w:r w:rsidRPr="00137962">
        <w:rPr>
          <w:rFonts w:cs="Times New Roman"/>
          <w:szCs w:val="24"/>
        </w:rPr>
        <w:t>hether</w:t>
      </w:r>
      <w:proofErr w:type="spellEnd"/>
      <w:r w:rsidRPr="00137962">
        <w:rPr>
          <w:rFonts w:cs="Times New Roman"/>
          <w:szCs w:val="24"/>
        </w:rPr>
        <w:t xml:space="preserve"> the mistake was an honest one is not</w:t>
      </w:r>
    </w:p>
    <w:p w14:paraId="02F02C6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the concern, only whether it was a reasonable one.”  </w:t>
      </w:r>
      <w:r w:rsidRPr="00137962">
        <w:rPr>
          <w:rFonts w:cs="Times New Roman"/>
          <w:i/>
          <w:iCs/>
          <w:szCs w:val="24"/>
        </w:rPr>
        <w:t>Id</w:t>
      </w:r>
      <w:r w:rsidRPr="00137962">
        <w:rPr>
          <w:rFonts w:cs="Times New Roman"/>
          <w:szCs w:val="24"/>
        </w:rPr>
        <w:t>. at 1127 (emphasis in original).</w:t>
      </w:r>
    </w:p>
    <w:p w14:paraId="52E41F6B" w14:textId="77777777" w:rsidR="00137962" w:rsidRPr="00137962" w:rsidRDefault="00137962" w:rsidP="00137962">
      <w:pPr>
        <w:autoSpaceDE w:val="0"/>
        <w:autoSpaceDN w:val="0"/>
        <w:adjustRightInd w:val="0"/>
        <w:rPr>
          <w:rFonts w:cs="Times New Roman"/>
          <w:szCs w:val="24"/>
        </w:rPr>
      </w:pPr>
    </w:p>
    <w:p w14:paraId="149627F7" w14:textId="65FA2142"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A police officer’s attempt to “terminate a dangerous high-speed chase that threatens the lives of innocent bystanders does not violate the Fourth Amendment, even when it places the fleeing motorist at risk of serious injury or death.”  </w:t>
      </w:r>
      <w:proofErr w:type="spellStart"/>
      <w:r w:rsidRPr="00137962">
        <w:rPr>
          <w:rFonts w:cs="Times New Roman"/>
          <w:i/>
          <w:iCs/>
          <w:szCs w:val="24"/>
        </w:rPr>
        <w:t>Plumhoff</w:t>
      </w:r>
      <w:proofErr w:type="spellEnd"/>
      <w:r w:rsidRPr="00137962">
        <w:rPr>
          <w:rFonts w:cs="Times New Roman"/>
          <w:i/>
          <w:iCs/>
          <w:szCs w:val="24"/>
        </w:rPr>
        <w:t xml:space="preserve"> v. Rickard</w:t>
      </w:r>
      <w:r w:rsidRPr="00137962">
        <w:rPr>
          <w:rFonts w:cs="Times New Roman"/>
          <w:szCs w:val="24"/>
        </w:rPr>
        <w:t xml:space="preserve">, 134 S. Ct. 2012, 2021-22 (2014) (“[I]f officers are justified in firing at a suspect in order to end a severe threat to public safety, the officers need not stop shooting until the threat has ended.”).  </w:t>
      </w:r>
      <w:r w:rsidR="00801DE7">
        <w:rPr>
          <w:rFonts w:cs="Times New Roman"/>
          <w:szCs w:val="24"/>
        </w:rPr>
        <w:t>T</w:t>
      </w:r>
      <w:r w:rsidRPr="00137962">
        <w:rPr>
          <w:rFonts w:cs="Times New Roman"/>
          <w:szCs w:val="24"/>
        </w:rPr>
        <w:t xml:space="preserve">he use of deadly force to stop a slow-moving vehicle when the officers could easily have stepped aside violates the </w:t>
      </w:r>
      <w:r w:rsidRPr="00137962">
        <w:rPr>
          <w:rFonts w:cs="Times New Roman"/>
          <w:szCs w:val="24"/>
        </w:rPr>
        <w:lastRenderedPageBreak/>
        <w:t xml:space="preserve">Fourth Amendment.  </w:t>
      </w:r>
      <w:r w:rsidRPr="00137962">
        <w:rPr>
          <w:rFonts w:cs="Times New Roman"/>
          <w:i/>
          <w:iCs/>
          <w:szCs w:val="24"/>
        </w:rPr>
        <w:t>Villanueva v. California</w:t>
      </w:r>
      <w:r w:rsidRPr="00137962">
        <w:rPr>
          <w:rFonts w:cs="Times New Roman"/>
          <w:szCs w:val="24"/>
        </w:rPr>
        <w:t xml:space="preserve">, 986 F.3d 1158, 1170 (9th Cir. 2021) (citing </w:t>
      </w:r>
      <w:r w:rsidRPr="00137962">
        <w:rPr>
          <w:rFonts w:cs="Times New Roman"/>
          <w:i/>
          <w:iCs/>
          <w:szCs w:val="24"/>
        </w:rPr>
        <w:t xml:space="preserve">Acosta v. City &amp; </w:t>
      </w:r>
      <w:proofErr w:type="spellStart"/>
      <w:r w:rsidRPr="00137962">
        <w:rPr>
          <w:rFonts w:cs="Times New Roman"/>
          <w:i/>
          <w:iCs/>
          <w:szCs w:val="24"/>
        </w:rPr>
        <w:t>Cnty</w:t>
      </w:r>
      <w:proofErr w:type="spellEnd"/>
      <w:r w:rsidRPr="00137962">
        <w:rPr>
          <w:rFonts w:cs="Times New Roman"/>
          <w:i/>
          <w:iCs/>
          <w:szCs w:val="24"/>
        </w:rPr>
        <w:t>. of S.F.</w:t>
      </w:r>
      <w:r w:rsidRPr="00137962">
        <w:rPr>
          <w:rFonts w:cs="Times New Roman"/>
          <w:szCs w:val="24"/>
        </w:rPr>
        <w:t xml:space="preserve">, 83 F.3d 1143, 1146 (9th Cir. 1996), </w:t>
      </w:r>
      <w:r w:rsidRPr="00137962">
        <w:rPr>
          <w:rFonts w:cs="Times New Roman"/>
          <w:i/>
          <w:iCs/>
          <w:szCs w:val="24"/>
        </w:rPr>
        <w:t xml:space="preserve">as amended </w:t>
      </w:r>
      <w:r w:rsidRPr="00137962">
        <w:rPr>
          <w:rFonts w:cs="Times New Roman"/>
          <w:szCs w:val="24"/>
        </w:rPr>
        <w:t xml:space="preserve">(June 18, 1996), </w:t>
      </w:r>
      <w:r w:rsidRPr="00137962">
        <w:rPr>
          <w:rFonts w:cs="Times New Roman"/>
          <w:i/>
          <w:iCs/>
          <w:szCs w:val="24"/>
        </w:rPr>
        <w:t>abrogated on other grounds by Saucier v. Katz</w:t>
      </w:r>
      <w:r w:rsidRPr="00137962">
        <w:rPr>
          <w:rFonts w:cs="Times New Roman"/>
          <w:szCs w:val="24"/>
        </w:rPr>
        <w:t>, 533 U.S. 194 (2001)).</w:t>
      </w:r>
      <w:r w:rsidR="00B36E08">
        <w:rPr>
          <w:rFonts w:cs="Times New Roman"/>
          <w:szCs w:val="24"/>
        </w:rPr>
        <w:t xml:space="preserve"> </w:t>
      </w:r>
      <w:r w:rsidR="00B36E08" w:rsidRPr="000D0AC7">
        <w:rPr>
          <w:rFonts w:cs="Times New Roman"/>
          <w:szCs w:val="24"/>
        </w:rPr>
        <w:t>However, the Ninth Circuit has declined to hold that the use of a</w:t>
      </w:r>
      <w:r w:rsidR="00B36E08">
        <w:rPr>
          <w:rFonts w:cs="Times New Roman"/>
          <w:szCs w:val="24"/>
        </w:rPr>
        <w:t xml:space="preserve"> </w:t>
      </w:r>
      <w:r w:rsidR="00B36E08" w:rsidRPr="000D0AC7">
        <w:rPr>
          <w:rFonts w:cs="Times New Roman"/>
          <w:szCs w:val="24"/>
        </w:rPr>
        <w:t>roadblock constituting intermediate force to stop a bicyclist</w:t>
      </w:r>
      <w:r w:rsidR="00B36E08">
        <w:rPr>
          <w:rFonts w:cs="Times New Roman"/>
          <w:szCs w:val="24"/>
        </w:rPr>
        <w:t xml:space="preserve"> clearly</w:t>
      </w:r>
      <w:r w:rsidR="00B36E08" w:rsidRPr="000D0AC7">
        <w:rPr>
          <w:rFonts w:cs="Times New Roman"/>
          <w:szCs w:val="24"/>
        </w:rPr>
        <w:t xml:space="preserve"> violates</w:t>
      </w:r>
      <w:r w:rsidR="00B36E08">
        <w:rPr>
          <w:rFonts w:cs="Times New Roman"/>
          <w:szCs w:val="24"/>
        </w:rPr>
        <w:t xml:space="preserve"> </w:t>
      </w:r>
      <w:r w:rsidR="00B36E08" w:rsidRPr="000D0AC7">
        <w:rPr>
          <w:rFonts w:cs="Times New Roman"/>
          <w:szCs w:val="24"/>
        </w:rPr>
        <w:t xml:space="preserve">the Fourth Amendment. </w:t>
      </w:r>
      <w:r w:rsidR="00B36E08">
        <w:rPr>
          <w:rFonts w:cs="Times New Roman"/>
          <w:szCs w:val="24"/>
        </w:rPr>
        <w:t xml:space="preserve"> </w:t>
      </w:r>
      <w:r w:rsidR="00B36E08" w:rsidRPr="000D0AC7">
        <w:rPr>
          <w:rFonts w:cs="Times New Roman"/>
          <w:i/>
          <w:iCs/>
          <w:szCs w:val="24"/>
        </w:rPr>
        <w:t xml:space="preserve">See </w:t>
      </w:r>
      <w:proofErr w:type="spellStart"/>
      <w:r w:rsidR="00B36E08" w:rsidRPr="000D0AC7">
        <w:rPr>
          <w:rFonts w:cs="Times New Roman"/>
          <w:i/>
          <w:iCs/>
          <w:szCs w:val="24"/>
        </w:rPr>
        <w:t>Seidner</w:t>
      </w:r>
      <w:proofErr w:type="spellEnd"/>
      <w:r w:rsidR="00B36E08" w:rsidRPr="000D0AC7">
        <w:rPr>
          <w:rFonts w:cs="Times New Roman"/>
          <w:szCs w:val="24"/>
        </w:rPr>
        <w:t xml:space="preserve">, </w:t>
      </w:r>
      <w:r w:rsidR="00B36E08" w:rsidRPr="004C4C66">
        <w:rPr>
          <w:rFonts w:cs="Times New Roman"/>
          <w:szCs w:val="24"/>
        </w:rPr>
        <w:t>39 F.4th at</w:t>
      </w:r>
      <w:r w:rsidR="00B36E08">
        <w:rPr>
          <w:rFonts w:cs="Times New Roman"/>
          <w:szCs w:val="24"/>
        </w:rPr>
        <w:t xml:space="preserve"> 603</w:t>
      </w:r>
      <w:r w:rsidR="00B36E08" w:rsidRPr="000D0AC7">
        <w:rPr>
          <w:rFonts w:cs="Times New Roman"/>
          <w:szCs w:val="24"/>
        </w:rPr>
        <w:t>.</w:t>
      </w:r>
    </w:p>
    <w:p w14:paraId="5F87DBE9" w14:textId="77777777" w:rsidR="00137962" w:rsidRPr="00137962" w:rsidRDefault="00137962" w:rsidP="00137962">
      <w:pPr>
        <w:autoSpaceDE w:val="0"/>
        <w:autoSpaceDN w:val="0"/>
        <w:adjustRightInd w:val="0"/>
        <w:rPr>
          <w:rFonts w:cs="Times New Roman"/>
          <w:szCs w:val="24"/>
        </w:rPr>
      </w:pPr>
    </w:p>
    <w:p w14:paraId="7A0C67C9"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In </w:t>
      </w:r>
      <w:r w:rsidRPr="00137962">
        <w:rPr>
          <w:rFonts w:cs="Times New Roman"/>
          <w:i/>
          <w:iCs/>
          <w:szCs w:val="24"/>
        </w:rPr>
        <w:t>County of Los Angeles v. Mendez</w:t>
      </w:r>
      <w:r w:rsidRPr="00137962">
        <w:rPr>
          <w:rFonts w:cs="Times New Roman"/>
          <w:szCs w:val="24"/>
        </w:rPr>
        <w:t xml:space="preserve">, 137 S. Ct. 1539 (2017), the Supreme Court rejected the Ninth Circuit’s “provocation rule” and abrogated </w:t>
      </w:r>
      <w:proofErr w:type="spellStart"/>
      <w:r w:rsidRPr="00137962">
        <w:rPr>
          <w:rFonts w:cs="Times New Roman"/>
          <w:i/>
          <w:iCs/>
          <w:szCs w:val="24"/>
        </w:rPr>
        <w:t>Billington</w:t>
      </w:r>
      <w:proofErr w:type="spellEnd"/>
      <w:r w:rsidRPr="00137962">
        <w:rPr>
          <w:rFonts w:cs="Times New Roman"/>
          <w:i/>
          <w:iCs/>
          <w:szCs w:val="24"/>
        </w:rPr>
        <w:t xml:space="preserve"> v. Smith</w:t>
      </w:r>
      <w:r w:rsidRPr="00137962">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137962">
        <w:rPr>
          <w:rFonts w:cs="Times New Roman"/>
          <w:i/>
          <w:iCs/>
          <w:szCs w:val="24"/>
        </w:rPr>
        <w:t>Mendez</w:t>
      </w:r>
      <w:r w:rsidRPr="00137962">
        <w:rPr>
          <w:rFonts w:cs="Times New Roman"/>
          <w:szCs w:val="24"/>
        </w:rPr>
        <w:t>, the Supreme Court eliminated this rule.</w:t>
      </w:r>
    </w:p>
    <w:p w14:paraId="48F68AAC" w14:textId="77777777" w:rsidR="00137962" w:rsidRPr="00137962" w:rsidRDefault="00137962" w:rsidP="00137962">
      <w:pPr>
        <w:autoSpaceDE w:val="0"/>
        <w:autoSpaceDN w:val="0"/>
        <w:adjustRightInd w:val="0"/>
        <w:rPr>
          <w:rFonts w:cs="Times New Roman"/>
          <w:szCs w:val="24"/>
        </w:rPr>
      </w:pPr>
    </w:p>
    <w:p w14:paraId="3532BDAE" w14:textId="77777777" w:rsidR="00137962" w:rsidRPr="00137962" w:rsidRDefault="00137962" w:rsidP="00137962">
      <w:pPr>
        <w:autoSpaceDE w:val="0"/>
        <w:autoSpaceDN w:val="0"/>
        <w:adjustRightInd w:val="0"/>
        <w:rPr>
          <w:rFonts w:cs="Times New Roman"/>
          <w:szCs w:val="24"/>
        </w:rPr>
      </w:pPr>
    </w:p>
    <w:p w14:paraId="76A383D7" w14:textId="6F715C8E" w:rsidR="00137962" w:rsidRPr="00137962" w:rsidRDefault="00137962" w:rsidP="00137962">
      <w:pPr>
        <w:jc w:val="right"/>
      </w:pPr>
      <w:r w:rsidRPr="00137962">
        <w:rPr>
          <w:rFonts w:cs="Times New Roman"/>
          <w:i/>
          <w:iCs/>
          <w:szCs w:val="24"/>
        </w:rPr>
        <w:t xml:space="preserve">Revised </w:t>
      </w:r>
      <w:r w:rsidR="00B36E08">
        <w:rPr>
          <w:rFonts w:cs="Times New Roman"/>
          <w:i/>
          <w:iCs/>
          <w:szCs w:val="24"/>
        </w:rPr>
        <w:t>Sept.</w:t>
      </w:r>
      <w:r w:rsidRPr="00137962">
        <w:rPr>
          <w:rFonts w:cs="Times New Roman"/>
          <w:i/>
          <w:iCs/>
          <w:szCs w:val="24"/>
        </w:rPr>
        <w:t xml:space="preserve"> 2022</w:t>
      </w:r>
    </w:p>
    <w:p w14:paraId="7A05C1D1" w14:textId="77777777" w:rsidR="00137962" w:rsidRPr="00137962" w:rsidRDefault="00137962" w:rsidP="00137962"/>
    <w:p w14:paraId="3575B2F8" w14:textId="49E972B9" w:rsidR="00BF4644" w:rsidRPr="006A4CD7" w:rsidRDefault="00BF4644" w:rsidP="00137962">
      <w:pPr>
        <w:autoSpaceDE w:val="0"/>
        <w:autoSpaceDN w:val="0"/>
        <w:adjustRightInd w:val="0"/>
        <w:rPr>
          <w:rFonts w:cs="Times New Roman"/>
          <w:szCs w:val="24"/>
        </w:rPr>
      </w:pPr>
    </w:p>
    <w:p w14:paraId="75045A4F" w14:textId="3F2760F5" w:rsidR="00137962" w:rsidRDefault="006A4CD7" w:rsidP="00352D49">
      <w:pPr>
        <w:pStyle w:val="Heading2"/>
      </w:pPr>
      <w:r w:rsidRPr="006A4CD7">
        <w:br w:type="page"/>
      </w:r>
      <w:bookmarkStart w:id="150" w:name="_Toc117512443"/>
      <w:r w:rsidRPr="006A4CD7">
        <w:lastRenderedPageBreak/>
        <w:t xml:space="preserve">9.25A </w:t>
      </w:r>
      <w:r w:rsidR="00884DFA" w:rsidRPr="00884DFA">
        <w:t>Particular Rights—Sixth Amendment—Right to</w:t>
      </w:r>
      <w:bookmarkEnd w:id="150"/>
      <w:r w:rsidR="00884DFA" w:rsidRPr="00884DFA">
        <w:t xml:space="preserve"> </w:t>
      </w:r>
    </w:p>
    <w:p w14:paraId="6BCFE2DF" w14:textId="7B633722" w:rsidR="006A4CD7" w:rsidRPr="006A4CD7" w:rsidRDefault="00884DFA" w:rsidP="00352D49">
      <w:pPr>
        <w:pStyle w:val="Heading2"/>
      </w:pPr>
      <w:bookmarkStart w:id="151" w:name="_Toc117512444"/>
      <w:r w:rsidRPr="00884DFA">
        <w:t>Compulsory Process—Interference with Witness</w:t>
      </w:r>
      <w:bookmarkEnd w:id="151"/>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]’s witness;</w:t>
      </w:r>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6090AF2F" w14:textId="4A0E9910" w:rsidR="00137962" w:rsidRDefault="006A4CD7" w:rsidP="00352D49">
      <w:pPr>
        <w:pStyle w:val="Heading2"/>
      </w:pPr>
      <w:r w:rsidRPr="006A4CD7">
        <w:br w:type="page"/>
      </w:r>
      <w:bookmarkStart w:id="152" w:name="_Toc117512445"/>
      <w:r w:rsidRPr="006A4CD7">
        <w:lastRenderedPageBreak/>
        <w:t xml:space="preserve">9.26 </w:t>
      </w:r>
      <w:r w:rsidR="00884DFA" w:rsidRPr="00884DFA">
        <w:t>Particular Rights—Eighth Amendment—Convicted</w:t>
      </w:r>
      <w:bookmarkEnd w:id="152"/>
      <w:r w:rsidR="00884DFA" w:rsidRPr="00884DFA">
        <w:t xml:space="preserve"> </w:t>
      </w:r>
    </w:p>
    <w:p w14:paraId="4CD01710" w14:textId="015A725E" w:rsidR="006A4CD7" w:rsidRPr="006A4CD7" w:rsidRDefault="00884DFA" w:rsidP="00352D49">
      <w:pPr>
        <w:pStyle w:val="Heading2"/>
      </w:pPr>
      <w:bookmarkStart w:id="153" w:name="_Toc117512446"/>
      <w:r w:rsidRPr="00884DFA">
        <w:t>Prisoner’s Claim of Excessive Force</w:t>
      </w:r>
      <w:bookmarkEnd w:id="153"/>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6B840009" w14:textId="77777777" w:rsidR="00137962" w:rsidRPr="00137962" w:rsidRDefault="00137962" w:rsidP="00137962">
      <w:pPr>
        <w:autoSpaceDE w:val="0"/>
        <w:autoSpaceDN w:val="0"/>
        <w:adjustRightInd w:val="0"/>
        <w:rPr>
          <w:rFonts w:cs="Times New Roman"/>
          <w:b/>
          <w:bCs/>
          <w:szCs w:val="24"/>
        </w:rPr>
      </w:pPr>
      <w:r w:rsidRPr="00137962">
        <w:rPr>
          <w:rFonts w:cs="Times New Roman"/>
          <w:szCs w:val="24"/>
        </w:rPr>
        <w:t>As previously explained, the plaintiff has the burden of proving that the act[s] of the defendant [</w:t>
      </w:r>
      <w:r w:rsidRPr="00137962">
        <w:rPr>
          <w:rFonts w:cs="Times New Roman"/>
          <w:i/>
          <w:iCs/>
          <w:szCs w:val="24"/>
          <w:u w:val="single"/>
        </w:rPr>
        <w:t>name</w:t>
      </w:r>
      <w:r w:rsidRPr="00137962">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137962">
        <w:rPr>
          <w:rFonts w:cs="Times New Roman"/>
          <w:i/>
          <w:iCs/>
          <w:szCs w:val="24"/>
          <w:u w:val="single"/>
        </w:rPr>
        <w:t>insert factual basis of the plaintiff’s claim</w:t>
      </w:r>
      <w:r w:rsidRPr="00137962">
        <w:rPr>
          <w:rFonts w:cs="Times New Roman"/>
          <w:szCs w:val="24"/>
        </w:rPr>
        <w:t xml:space="preserve">].  </w:t>
      </w:r>
    </w:p>
    <w:p w14:paraId="4202411F" w14:textId="77777777" w:rsidR="00137962" w:rsidRPr="00137962" w:rsidRDefault="00137962" w:rsidP="00137962">
      <w:pPr>
        <w:autoSpaceDE w:val="0"/>
        <w:autoSpaceDN w:val="0"/>
        <w:adjustRightInd w:val="0"/>
        <w:rPr>
          <w:rFonts w:cs="Times New Roman"/>
          <w:szCs w:val="24"/>
        </w:rPr>
      </w:pPr>
    </w:p>
    <w:p w14:paraId="6B8912C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04A37328" w14:textId="77777777" w:rsidR="00137962" w:rsidRPr="00137962" w:rsidRDefault="00137962" w:rsidP="00137962">
      <w:pPr>
        <w:autoSpaceDE w:val="0"/>
        <w:autoSpaceDN w:val="0"/>
        <w:adjustRightInd w:val="0"/>
        <w:rPr>
          <w:rFonts w:cs="Times New Roman"/>
          <w:szCs w:val="24"/>
        </w:rPr>
      </w:pPr>
    </w:p>
    <w:p w14:paraId="0D858500"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defendant used excessive and unnecessary force under all of the circumstances; </w:t>
      </w:r>
    </w:p>
    <w:p w14:paraId="564BFEB5" w14:textId="77777777" w:rsidR="00137962" w:rsidRPr="00137962" w:rsidRDefault="00137962" w:rsidP="00137962">
      <w:pPr>
        <w:autoSpaceDE w:val="0"/>
        <w:autoSpaceDN w:val="0"/>
        <w:adjustRightInd w:val="0"/>
        <w:rPr>
          <w:rFonts w:cs="Times New Roman"/>
          <w:szCs w:val="24"/>
        </w:rPr>
      </w:pPr>
    </w:p>
    <w:p w14:paraId="3C7737F3" w14:textId="77777777" w:rsidR="00137962" w:rsidRPr="00137962" w:rsidRDefault="00137962" w:rsidP="00137962">
      <w:pPr>
        <w:tabs>
          <w:tab w:val="left" w:pos="720"/>
          <w:tab w:val="left" w:pos="1440"/>
        </w:tabs>
        <w:autoSpaceDE w:val="0"/>
        <w:autoSpaceDN w:val="0"/>
        <w:adjustRightInd w:val="0"/>
        <w:ind w:left="1440" w:hanging="720"/>
        <w:rPr>
          <w:rFonts w:cs="Times New Roman"/>
          <w:szCs w:val="24"/>
        </w:rPr>
      </w:pPr>
      <w:r w:rsidRPr="00137962">
        <w:rPr>
          <w:rFonts w:cs="Times New Roman"/>
          <w:szCs w:val="24"/>
        </w:rPr>
        <w:t xml:space="preserve">2. </w:t>
      </w:r>
      <w:r w:rsidRPr="00137962">
        <w:rPr>
          <w:rFonts w:cs="Times New Roman"/>
          <w:szCs w:val="24"/>
        </w:rPr>
        <w:tab/>
        <w:t>the defendant acted maliciously and sadistically for the purpose of causing harm, and not in a good faith effort to maintain or restore discipline; and</w:t>
      </w:r>
    </w:p>
    <w:p w14:paraId="44AA4915" w14:textId="77777777" w:rsidR="00137962" w:rsidRPr="00137962" w:rsidRDefault="00137962" w:rsidP="00137962">
      <w:pPr>
        <w:autoSpaceDE w:val="0"/>
        <w:autoSpaceDN w:val="0"/>
        <w:adjustRightInd w:val="0"/>
        <w:rPr>
          <w:rFonts w:cs="Times New Roman"/>
          <w:szCs w:val="24"/>
        </w:rPr>
      </w:pPr>
    </w:p>
    <w:p w14:paraId="53C2825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the act[s] of the defendant caused harm to the plaintiff.</w:t>
      </w:r>
    </w:p>
    <w:p w14:paraId="681044E2" w14:textId="77777777" w:rsidR="00137962" w:rsidRPr="00137962" w:rsidRDefault="00137962" w:rsidP="00137962">
      <w:pPr>
        <w:autoSpaceDE w:val="0"/>
        <w:autoSpaceDN w:val="0"/>
        <w:adjustRightInd w:val="0"/>
        <w:rPr>
          <w:rFonts w:cs="Times New Roman"/>
          <w:szCs w:val="24"/>
        </w:rPr>
      </w:pPr>
    </w:p>
    <w:p w14:paraId="532F922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determining whether these three elements have been met in this case, consider the following factors:</w:t>
      </w:r>
    </w:p>
    <w:p w14:paraId="6306CC44" w14:textId="77777777" w:rsidR="00137962" w:rsidRPr="00137962" w:rsidRDefault="00137962" w:rsidP="00137962">
      <w:pPr>
        <w:autoSpaceDE w:val="0"/>
        <w:autoSpaceDN w:val="0"/>
        <w:adjustRightInd w:val="0"/>
        <w:rPr>
          <w:rFonts w:cs="Times New Roman"/>
          <w:szCs w:val="24"/>
        </w:rPr>
      </w:pPr>
    </w:p>
    <w:p w14:paraId="16D72E56"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(1)</w:t>
      </w:r>
      <w:r w:rsidRPr="00137962">
        <w:rPr>
          <w:rFonts w:cs="Times New Roman"/>
          <w:szCs w:val="24"/>
        </w:rPr>
        <w:tab/>
        <w:t xml:space="preserve">the extent of the injury suffered; </w:t>
      </w:r>
    </w:p>
    <w:p w14:paraId="581966B8" w14:textId="77777777" w:rsidR="00137962" w:rsidRPr="00137962" w:rsidRDefault="00137962" w:rsidP="00137962">
      <w:pPr>
        <w:autoSpaceDE w:val="0"/>
        <w:autoSpaceDN w:val="0"/>
        <w:adjustRightInd w:val="0"/>
        <w:rPr>
          <w:rFonts w:cs="Times New Roman"/>
          <w:szCs w:val="24"/>
        </w:rPr>
      </w:pPr>
    </w:p>
    <w:p w14:paraId="618673A3"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(2)</w:t>
      </w:r>
      <w:r w:rsidRPr="00137962">
        <w:rPr>
          <w:rFonts w:cs="Times New Roman"/>
          <w:szCs w:val="24"/>
        </w:rPr>
        <w:tab/>
        <w:t xml:space="preserve">the need to use force; </w:t>
      </w:r>
    </w:p>
    <w:p w14:paraId="7E0F2966" w14:textId="77777777" w:rsidR="00137962" w:rsidRPr="00137962" w:rsidRDefault="00137962" w:rsidP="00137962">
      <w:pPr>
        <w:autoSpaceDE w:val="0"/>
        <w:autoSpaceDN w:val="0"/>
        <w:adjustRightInd w:val="0"/>
        <w:rPr>
          <w:rFonts w:cs="Times New Roman"/>
          <w:szCs w:val="24"/>
        </w:rPr>
      </w:pPr>
    </w:p>
    <w:p w14:paraId="26B4318E"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(3)</w:t>
      </w:r>
      <w:r w:rsidRPr="00137962">
        <w:rPr>
          <w:rFonts w:cs="Times New Roman"/>
          <w:szCs w:val="24"/>
        </w:rPr>
        <w:tab/>
        <w:t xml:space="preserve">the relationship between the need to use force and the amount of force used; </w:t>
      </w:r>
    </w:p>
    <w:p w14:paraId="69DDE608" w14:textId="77777777" w:rsidR="00137962" w:rsidRPr="00137962" w:rsidRDefault="00137962" w:rsidP="00137962">
      <w:pPr>
        <w:autoSpaceDE w:val="0"/>
        <w:autoSpaceDN w:val="0"/>
        <w:adjustRightInd w:val="0"/>
        <w:rPr>
          <w:rFonts w:cs="Times New Roman"/>
          <w:szCs w:val="24"/>
        </w:rPr>
      </w:pPr>
    </w:p>
    <w:p w14:paraId="00CEABC2"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(4)</w:t>
      </w:r>
      <w:r w:rsidRPr="00137962">
        <w:rPr>
          <w:rFonts w:cs="Times New Roman"/>
          <w:szCs w:val="24"/>
        </w:rPr>
        <w:tab/>
        <w:t>any threat reasonably perceived by the defendant; and</w:t>
      </w:r>
    </w:p>
    <w:p w14:paraId="139FE5B4" w14:textId="77777777" w:rsidR="00137962" w:rsidRPr="00137962" w:rsidRDefault="00137962" w:rsidP="00137962">
      <w:pPr>
        <w:autoSpaceDE w:val="0"/>
        <w:autoSpaceDN w:val="0"/>
        <w:adjustRightInd w:val="0"/>
        <w:rPr>
          <w:rFonts w:cs="Times New Roman"/>
          <w:szCs w:val="24"/>
        </w:rPr>
      </w:pPr>
    </w:p>
    <w:p w14:paraId="783BF504" w14:textId="77777777" w:rsidR="00137962" w:rsidRPr="00137962" w:rsidRDefault="00137962" w:rsidP="00137962">
      <w:pPr>
        <w:tabs>
          <w:tab w:val="left" w:pos="720"/>
          <w:tab w:val="left" w:pos="1440"/>
        </w:tabs>
        <w:autoSpaceDE w:val="0"/>
        <w:autoSpaceDN w:val="0"/>
        <w:adjustRightInd w:val="0"/>
        <w:ind w:left="1440" w:hanging="1440"/>
        <w:rPr>
          <w:rFonts w:cs="Times New Roman"/>
          <w:szCs w:val="24"/>
        </w:rPr>
      </w:pPr>
      <w:r w:rsidRPr="00137962">
        <w:rPr>
          <w:rFonts w:cs="Times New Roman"/>
          <w:szCs w:val="24"/>
        </w:rPr>
        <w:tab/>
        <w:t>(5)</w:t>
      </w:r>
      <w:r w:rsidRPr="00137962">
        <w:rPr>
          <w:rFonts w:cs="Times New Roman"/>
          <w:szCs w:val="24"/>
        </w:rPr>
        <w:tab/>
        <w:t>any efforts made to temper the severity of a forceful response, such as, if feasible, providing a prior warning or giving an order to comply.</w:t>
      </w:r>
    </w:p>
    <w:p w14:paraId="2F33A2D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r>
    </w:p>
    <w:p w14:paraId="6AFBB2A7" w14:textId="77777777" w:rsidR="00137962" w:rsidRPr="00137962" w:rsidRDefault="00137962" w:rsidP="00137962">
      <w:pPr>
        <w:autoSpaceDE w:val="0"/>
        <w:autoSpaceDN w:val="0"/>
        <w:adjustRightInd w:val="0"/>
        <w:jc w:val="center"/>
        <w:rPr>
          <w:rFonts w:cs="Times New Roman"/>
          <w:b/>
          <w:bCs/>
          <w:szCs w:val="24"/>
        </w:rPr>
      </w:pPr>
      <w:r w:rsidRPr="00137962">
        <w:rPr>
          <w:rFonts w:cs="Times New Roman"/>
          <w:b/>
          <w:bCs/>
          <w:szCs w:val="24"/>
        </w:rPr>
        <w:t>Comment</w:t>
      </w:r>
    </w:p>
    <w:p w14:paraId="55019D9D" w14:textId="77777777" w:rsidR="00137962" w:rsidRPr="00137962" w:rsidRDefault="00137962" w:rsidP="00137962">
      <w:pPr>
        <w:autoSpaceDE w:val="0"/>
        <w:autoSpaceDN w:val="0"/>
        <w:adjustRightInd w:val="0"/>
        <w:rPr>
          <w:rFonts w:cs="Times New Roman"/>
          <w:b/>
          <w:bCs/>
          <w:szCs w:val="24"/>
        </w:rPr>
      </w:pPr>
    </w:p>
    <w:p w14:paraId="3A086E12"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Use this instruction only in conjunction with the applicable elements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707380CD" w14:textId="77777777" w:rsidR="00137962" w:rsidRPr="00137962" w:rsidRDefault="00137962" w:rsidP="00137962">
      <w:pPr>
        <w:autoSpaceDE w:val="0"/>
        <w:autoSpaceDN w:val="0"/>
        <w:adjustRightInd w:val="0"/>
        <w:rPr>
          <w:rFonts w:cs="Times New Roman"/>
          <w:szCs w:val="24"/>
        </w:rPr>
      </w:pPr>
    </w:p>
    <w:p w14:paraId="1A2137A1"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When the prisoner claims unconstitutional conditions of confinement, including inadequate medical care, use Instruction 9.27 (Particular Rights—Eighth Amendment—</w:t>
      </w:r>
      <w:r w:rsidRPr="00137962">
        <w:rPr>
          <w:rFonts w:cs="Times New Roman"/>
          <w:szCs w:val="24"/>
        </w:rPr>
        <w:lastRenderedPageBreak/>
        <w:t>Convicted Prisoner’s Claim re Conditions of Confinement/Medical Care), which sets out the applicable deliberate indifference standard.</w:t>
      </w:r>
    </w:p>
    <w:p w14:paraId="075FD869" w14:textId="77777777" w:rsidR="00137962" w:rsidRPr="00137962" w:rsidRDefault="00137962" w:rsidP="00137962">
      <w:pPr>
        <w:autoSpaceDE w:val="0"/>
        <w:autoSpaceDN w:val="0"/>
        <w:adjustRightInd w:val="0"/>
        <w:rPr>
          <w:rFonts w:cs="Times New Roman"/>
          <w:b/>
          <w:bCs/>
          <w:szCs w:val="24"/>
        </w:rPr>
      </w:pPr>
    </w:p>
    <w:p w14:paraId="02FDDB1C"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Eighth Amendment prohibits cruel and unusual punishment in penal institutions.  </w:t>
      </w:r>
      <w:r w:rsidRPr="00137962">
        <w:rPr>
          <w:rFonts w:cs="Times New Roman"/>
          <w:i/>
          <w:iCs/>
          <w:szCs w:val="24"/>
        </w:rPr>
        <w:t xml:space="preserve">Wood v. </w:t>
      </w:r>
      <w:proofErr w:type="spellStart"/>
      <w:r w:rsidRPr="00137962">
        <w:rPr>
          <w:rFonts w:cs="Times New Roman"/>
          <w:i/>
          <w:iCs/>
          <w:szCs w:val="24"/>
        </w:rPr>
        <w:t>Beauclair</w:t>
      </w:r>
      <w:proofErr w:type="spellEnd"/>
      <w:r w:rsidRPr="00137962">
        <w:rPr>
          <w:rFonts w:cs="Times New Roman"/>
          <w:szCs w:val="24"/>
        </w:rPr>
        <w:t>, 692 F.3d 1041, 1045 (9th Cir. 2012).  “[U]</w:t>
      </w:r>
      <w:proofErr w:type="spellStart"/>
      <w:r w:rsidRPr="00137962">
        <w:rPr>
          <w:rFonts w:cs="Times New Roman"/>
          <w:szCs w:val="24"/>
        </w:rPr>
        <w:t>nnecessary</w:t>
      </w:r>
      <w:proofErr w:type="spellEnd"/>
      <w:r w:rsidRPr="00137962">
        <w:rPr>
          <w:rFonts w:cs="Times New Roman"/>
          <w:szCs w:val="24"/>
        </w:rPr>
        <w:t xml:space="preserve"> and wanton infliction of pain . . . constitutes cruel and unusual punishment forbidden by the Eighth Amendment.”  </w:t>
      </w:r>
      <w:r w:rsidRPr="00137962">
        <w:rPr>
          <w:rFonts w:cs="Times New Roman"/>
          <w:i/>
          <w:iCs/>
          <w:szCs w:val="24"/>
        </w:rPr>
        <w:t>Furnace v. Sullivan</w:t>
      </w:r>
      <w:r w:rsidRPr="00137962">
        <w:rPr>
          <w:rFonts w:cs="Times New Roman"/>
          <w:szCs w:val="24"/>
        </w:rPr>
        <w:t xml:space="preserve">, 705 F.3d 1021, 1027 (9th Cir. 2013) (quoting </w:t>
      </w:r>
      <w:r w:rsidRPr="00137962">
        <w:rPr>
          <w:rFonts w:cs="Times New Roman"/>
          <w:i/>
          <w:iCs/>
          <w:szCs w:val="24"/>
        </w:rPr>
        <w:t>Hudson v. McMillian</w:t>
      </w:r>
      <w:r w:rsidRPr="00137962">
        <w:rPr>
          <w:rFonts w:cs="Times New Roman"/>
          <w:szCs w:val="24"/>
        </w:rPr>
        <w:t xml:space="preserve">, 503 U.S. 1, 5 (1992)).  </w:t>
      </w:r>
    </w:p>
    <w:p w14:paraId="5FCB8608" w14:textId="77777777" w:rsidR="00137962" w:rsidRPr="00137962" w:rsidRDefault="00137962" w:rsidP="00137962">
      <w:pPr>
        <w:autoSpaceDE w:val="0"/>
        <w:autoSpaceDN w:val="0"/>
        <w:adjustRightInd w:val="0"/>
        <w:rPr>
          <w:rFonts w:cs="Times New Roman"/>
          <w:szCs w:val="24"/>
        </w:rPr>
      </w:pPr>
    </w:p>
    <w:p w14:paraId="1DE1B7FA"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The Ninth Circuit has identified five factors set forth in </w:t>
      </w:r>
      <w:r w:rsidRPr="00137962">
        <w:rPr>
          <w:rFonts w:cs="Times New Roman"/>
          <w:i/>
          <w:iCs/>
          <w:szCs w:val="24"/>
        </w:rPr>
        <w:t>Hudson</w:t>
      </w:r>
      <w:r w:rsidRPr="00137962">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137962">
        <w:rPr>
          <w:rFonts w:cs="Times New Roman"/>
          <w:i/>
          <w:iCs/>
          <w:szCs w:val="24"/>
        </w:rPr>
        <w:t>Furnace</w:t>
      </w:r>
      <w:r w:rsidRPr="00137962">
        <w:rPr>
          <w:rFonts w:cs="Times New Roman"/>
          <w:szCs w:val="24"/>
        </w:rPr>
        <w:t xml:space="preserve">, 705 F.3d at 1028.  In </w:t>
      </w:r>
      <w:r w:rsidRPr="00137962">
        <w:rPr>
          <w:rFonts w:cs="Times New Roman"/>
          <w:i/>
          <w:iCs/>
          <w:szCs w:val="24"/>
        </w:rPr>
        <w:t>Furnace</w:t>
      </w:r>
      <w:r w:rsidRPr="00137962">
        <w:rPr>
          <w:rFonts w:cs="Times New Roman"/>
          <w:szCs w:val="24"/>
        </w:rPr>
        <w:t>,</w:t>
      </w:r>
      <w:r w:rsidRPr="00137962">
        <w:rPr>
          <w:rFonts w:cs="Times New Roman"/>
          <w:i/>
          <w:iCs/>
          <w:szCs w:val="24"/>
        </w:rPr>
        <w:t xml:space="preserve"> </w:t>
      </w:r>
      <w:r w:rsidRPr="00137962">
        <w:rPr>
          <w:rFonts w:cs="Times New Roman"/>
          <w:szCs w:val="24"/>
        </w:rPr>
        <w:t xml:space="preserve">the court also considered whether verbal warnings were given prior to the administration of force.  </w:t>
      </w:r>
      <w:r w:rsidRPr="00137962">
        <w:rPr>
          <w:rFonts w:cs="Times New Roman"/>
          <w:i/>
          <w:iCs/>
          <w:szCs w:val="24"/>
        </w:rPr>
        <w:t>Id.</w:t>
      </w:r>
      <w:r w:rsidRPr="00137962">
        <w:rPr>
          <w:rFonts w:cs="Times New Roman"/>
          <w:szCs w:val="24"/>
        </w:rPr>
        <w:t xml:space="preserve"> at 1029 (“Officers cannot justify force as necessary for gaining inmate compliance when inmates have been given no order with which to comply.”).  </w:t>
      </w:r>
    </w:p>
    <w:p w14:paraId="775BBED8" w14:textId="77777777" w:rsidR="00137962" w:rsidRPr="00137962" w:rsidRDefault="00137962" w:rsidP="00137962">
      <w:pPr>
        <w:autoSpaceDE w:val="0"/>
        <w:autoSpaceDN w:val="0"/>
        <w:adjustRightInd w:val="0"/>
        <w:rPr>
          <w:rFonts w:cs="Times New Roman"/>
          <w:szCs w:val="24"/>
        </w:rPr>
      </w:pPr>
    </w:p>
    <w:p w14:paraId="15B55A2F"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137962">
        <w:rPr>
          <w:rFonts w:cs="Times New Roman"/>
          <w:i/>
          <w:iCs/>
          <w:szCs w:val="24"/>
        </w:rPr>
        <w:t xml:space="preserve"> </w:t>
      </w:r>
      <w:proofErr w:type="spellStart"/>
      <w:r w:rsidRPr="00137962">
        <w:rPr>
          <w:rFonts w:cs="Times New Roman"/>
          <w:i/>
          <w:iCs/>
          <w:szCs w:val="24"/>
        </w:rPr>
        <w:t>Schwenk</w:t>
      </w:r>
      <w:proofErr w:type="spellEnd"/>
      <w:r w:rsidRPr="00137962">
        <w:rPr>
          <w:rFonts w:cs="Times New Roman"/>
          <w:i/>
          <w:iCs/>
          <w:szCs w:val="24"/>
        </w:rPr>
        <w:t xml:space="preserve"> v. Hartford</w:t>
      </w:r>
      <w:r w:rsidRPr="00137962">
        <w:rPr>
          <w:rFonts w:cs="Times New Roman"/>
          <w:szCs w:val="24"/>
        </w:rPr>
        <w:t xml:space="preserve">, 204 F.3d 1187, 1196 (9th Cir. 2000) (quoting </w:t>
      </w:r>
      <w:r w:rsidRPr="00137962">
        <w:rPr>
          <w:rFonts w:cs="Times New Roman"/>
          <w:i/>
          <w:iCs/>
          <w:szCs w:val="24"/>
        </w:rPr>
        <w:t>Hudson</w:t>
      </w:r>
      <w:r w:rsidRPr="00137962">
        <w:rPr>
          <w:rFonts w:cs="Times New Roman"/>
          <w:szCs w:val="24"/>
        </w:rPr>
        <w:t xml:space="preserve">, 503 U.S. at 8.  Although </w:t>
      </w:r>
      <w:r w:rsidRPr="00137962">
        <w:rPr>
          <w:rFonts w:cs="Times New Roman"/>
          <w:i/>
          <w:iCs/>
          <w:szCs w:val="24"/>
        </w:rPr>
        <w:t>de minimis</w:t>
      </w:r>
      <w:r w:rsidRPr="00137962">
        <w:rPr>
          <w:rFonts w:cs="Times New Roman"/>
          <w:szCs w:val="24"/>
        </w:rPr>
        <w:t xml:space="preserve"> use of physical force is insufficient to prove an Eighth Amendment violation, </w:t>
      </w:r>
      <w:r w:rsidRPr="00137962">
        <w:rPr>
          <w:rFonts w:cs="Times New Roman"/>
          <w:i/>
          <w:iCs/>
          <w:szCs w:val="24"/>
        </w:rPr>
        <w:t>Hudson</w:t>
      </w:r>
      <w:r w:rsidRPr="00137962">
        <w:rPr>
          <w:rFonts w:cs="Times New Roman"/>
          <w:szCs w:val="24"/>
        </w:rPr>
        <w:t xml:space="preserve">, 503 U.S. at 8, a prison guard’s use of force violates the Eighth Amendment when the guard acts maliciously for the purpose of causing harm whether or not significant injury is evident.  </w:t>
      </w:r>
      <w:r w:rsidRPr="00137962">
        <w:rPr>
          <w:rFonts w:cs="Times New Roman"/>
          <w:i/>
          <w:iCs/>
          <w:szCs w:val="24"/>
        </w:rPr>
        <w:t>See Wilkins v. Gaddy</w:t>
      </w:r>
      <w:r w:rsidRPr="00137962">
        <w:rPr>
          <w:rFonts w:cs="Times New Roman"/>
          <w:szCs w:val="24"/>
        </w:rPr>
        <w:t xml:space="preserve">, 559 U.S. 34, 36-38 (2010) (“An inmate who is gratuitously beaten by guards does not </w:t>
      </w:r>
      <w:bookmarkStart w:id="154" w:name="sp_708_1179"/>
      <w:bookmarkStart w:id="155" w:name="SDU_1179"/>
      <w:bookmarkStart w:id="156" w:name="citeas_40__40_Cite_32_as_58__32_130_32_S"/>
      <w:bookmarkEnd w:id="154"/>
      <w:bookmarkEnd w:id="155"/>
      <w:bookmarkEnd w:id="156"/>
      <w:r w:rsidRPr="00137962">
        <w:rPr>
          <w:rFonts w:cs="Times New Roman"/>
          <w:szCs w:val="24"/>
        </w:rPr>
        <w:t>lose his ability to pursue an excessive force claim merely because he has the good fortune to escape without serious injury.”).</w:t>
      </w:r>
    </w:p>
    <w:p w14:paraId="69517E5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 </w:t>
      </w:r>
      <w:r w:rsidRPr="00137962">
        <w:rPr>
          <w:rFonts w:cs="Times New Roman"/>
          <w:szCs w:val="24"/>
        </w:rPr>
        <w:br/>
      </w:r>
      <w:r w:rsidRPr="00137962">
        <w:rPr>
          <w:rFonts w:cs="Times New Roman"/>
          <w:szCs w:val="24"/>
        </w:rPr>
        <w:tab/>
        <w:t>The “malicious and sadistic” standard applies when prison guards “use force to keep order . . . [w]</w:t>
      </w:r>
      <w:proofErr w:type="spellStart"/>
      <w:r w:rsidRPr="00137962">
        <w:rPr>
          <w:rFonts w:cs="Times New Roman"/>
          <w:szCs w:val="24"/>
        </w:rPr>
        <w:t>hether</w:t>
      </w:r>
      <w:proofErr w:type="spellEnd"/>
      <w:r w:rsidRPr="00137962">
        <w:rPr>
          <w:rFonts w:cs="Times New Roman"/>
          <w:szCs w:val="24"/>
        </w:rPr>
        <w:t xml:space="preserve"> the prison disturbance is a riot or a lesser disruption.”  </w:t>
      </w:r>
      <w:r w:rsidRPr="00137962">
        <w:rPr>
          <w:rFonts w:cs="Times New Roman"/>
          <w:i/>
          <w:iCs/>
          <w:szCs w:val="24"/>
        </w:rPr>
        <w:t>Hudson</w:t>
      </w:r>
      <w:r w:rsidRPr="00137962">
        <w:rPr>
          <w:rFonts w:cs="Times New Roman"/>
          <w:szCs w:val="24"/>
        </w:rPr>
        <w:t>,</w:t>
      </w:r>
      <w:r w:rsidRPr="00137962">
        <w:rPr>
          <w:rFonts w:cs="Times New Roman"/>
          <w:i/>
          <w:iCs/>
          <w:szCs w:val="24"/>
        </w:rPr>
        <w:t xml:space="preserve"> </w:t>
      </w:r>
      <w:r w:rsidRPr="00137962">
        <w:rPr>
          <w:rFonts w:cs="Times New Roman"/>
          <w:szCs w:val="24"/>
        </w:rPr>
        <w:t xml:space="preserve">503 U.S. at 6 (citing </w:t>
      </w:r>
      <w:r w:rsidRPr="00137962">
        <w:rPr>
          <w:rFonts w:cs="Times New Roman"/>
          <w:i/>
          <w:iCs/>
          <w:szCs w:val="24"/>
        </w:rPr>
        <w:t>Whitley v. Albers</w:t>
      </w:r>
      <w:r w:rsidRPr="00137962">
        <w:rPr>
          <w:rFonts w:cs="Times New Roman"/>
          <w:szCs w:val="24"/>
        </w:rPr>
        <w:t>, 475 U.S. 312 (1986));</w:t>
      </w:r>
      <w:r w:rsidRPr="00137962">
        <w:rPr>
          <w:rFonts w:cs="Times New Roman"/>
          <w:i/>
          <w:iCs/>
          <w:szCs w:val="24"/>
        </w:rPr>
        <w:t xml:space="preserve"> see also</w:t>
      </w:r>
      <w:r w:rsidRPr="00137962">
        <w:rPr>
          <w:rFonts w:cs="Times New Roman"/>
          <w:szCs w:val="24"/>
        </w:rPr>
        <w:t xml:space="preserve"> </w:t>
      </w:r>
      <w:proofErr w:type="spellStart"/>
      <w:r w:rsidRPr="00137962">
        <w:rPr>
          <w:rFonts w:cs="Times New Roman"/>
          <w:i/>
          <w:iCs/>
          <w:szCs w:val="24"/>
        </w:rPr>
        <w:t>LeMaire</w:t>
      </w:r>
      <w:proofErr w:type="spellEnd"/>
      <w:r w:rsidRPr="00137962">
        <w:rPr>
          <w:rFonts w:cs="Times New Roman"/>
          <w:i/>
          <w:iCs/>
          <w:szCs w:val="24"/>
        </w:rPr>
        <w:t xml:space="preserve"> v. </w:t>
      </w:r>
      <w:proofErr w:type="spellStart"/>
      <w:r w:rsidRPr="00137962">
        <w:rPr>
          <w:rFonts w:cs="Times New Roman"/>
          <w:i/>
          <w:iCs/>
          <w:szCs w:val="24"/>
        </w:rPr>
        <w:t>Maass</w:t>
      </w:r>
      <w:proofErr w:type="spellEnd"/>
      <w:r w:rsidRPr="00137962">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137962">
        <w:rPr>
          <w:rFonts w:cs="Times New Roman"/>
          <w:i/>
          <w:iCs/>
          <w:szCs w:val="24"/>
        </w:rPr>
        <w:t>Jordan v. Gardner</w:t>
      </w:r>
      <w:r w:rsidRPr="00137962">
        <w:rPr>
          <w:rFonts w:cs="Times New Roman"/>
          <w:szCs w:val="24"/>
        </w:rPr>
        <w:t>, 986 F.2d 1521, 1528 (9th Cir. 1993) (</w:t>
      </w:r>
      <w:proofErr w:type="spellStart"/>
      <w:r w:rsidRPr="00137962">
        <w:rPr>
          <w:rFonts w:cs="Times New Roman"/>
          <w:szCs w:val="24"/>
        </w:rPr>
        <w:t>en</w:t>
      </w:r>
      <w:proofErr w:type="spellEnd"/>
      <w:r w:rsidRPr="00137962">
        <w:rPr>
          <w:rFonts w:cs="Times New Roman"/>
          <w:szCs w:val="24"/>
        </w:rPr>
        <w:t xml:space="preserve">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76688B18" w14:textId="77777777" w:rsidR="00137962" w:rsidRPr="00137962" w:rsidRDefault="00137962" w:rsidP="00137962">
      <w:pPr>
        <w:autoSpaceDE w:val="0"/>
        <w:autoSpaceDN w:val="0"/>
        <w:adjustRightInd w:val="0"/>
        <w:rPr>
          <w:rFonts w:cs="Times New Roman"/>
          <w:szCs w:val="24"/>
        </w:rPr>
      </w:pPr>
    </w:p>
    <w:p w14:paraId="23AD207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b/>
        <w:t>In the appropriate case, the trial court may instruct the jury that in considering the listed</w:t>
      </w:r>
    </w:p>
    <w:p w14:paraId="43C33BBD"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factors, it should give deference to prison officials in the adoption and execution of policies</w:t>
      </w:r>
    </w:p>
    <w:p w14:paraId="33D79894"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and practices that in their judgment are needed to preserve discipline and to maintain internal</w:t>
      </w:r>
    </w:p>
    <w:p w14:paraId="71053436"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security in a prison.  “It is well established that judges and juries must defer to prison officials’ expert judgments.”  </w:t>
      </w:r>
      <w:r w:rsidRPr="00137962">
        <w:rPr>
          <w:rFonts w:cs="Times New Roman"/>
          <w:i/>
          <w:iCs/>
          <w:szCs w:val="24"/>
        </w:rPr>
        <w:t>Norwood v. Vance</w:t>
      </w:r>
      <w:r w:rsidRPr="00137962">
        <w:rPr>
          <w:rFonts w:cs="Times New Roman"/>
          <w:szCs w:val="24"/>
        </w:rPr>
        <w:t xml:space="preserve">, 591 F.3d 1062, 1066 (9th Cir. 2010).  In </w:t>
      </w:r>
      <w:r w:rsidRPr="00137962">
        <w:rPr>
          <w:rFonts w:cs="Times New Roman"/>
          <w:i/>
          <w:iCs/>
          <w:szCs w:val="24"/>
        </w:rPr>
        <w:t>Norwood</w:t>
      </w:r>
      <w:r w:rsidRPr="00137962">
        <w:rPr>
          <w:rFonts w:cs="Times New Roman"/>
          <w:szCs w:val="24"/>
        </w:rPr>
        <w:t xml:space="preserve">, the Ninth Circuit approved of an instruction that the jury “should give deference to prison officials in the adoption and execution of policies and practices that in their judgment are needed to preserve </w:t>
      </w:r>
      <w:r w:rsidRPr="00137962">
        <w:rPr>
          <w:rFonts w:cs="Times New Roman"/>
          <w:szCs w:val="24"/>
        </w:rPr>
        <w:lastRenderedPageBreak/>
        <w:t xml:space="preserve">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137962">
        <w:rPr>
          <w:rFonts w:cs="Times New Roman"/>
          <w:i/>
          <w:iCs/>
          <w:szCs w:val="24"/>
        </w:rPr>
        <w:t>Shorter v. Baca</w:t>
      </w:r>
      <w:r w:rsidRPr="00137962">
        <w:rPr>
          <w:rFonts w:cs="Times New Roman"/>
          <w:szCs w:val="24"/>
        </w:rPr>
        <w:t xml:space="preserve">, 895 F.3d 1176, 1184 (9th Cir. 2018).  (“[W]e reiterate that the [deference] instruction may be given only when there is evidence that the treatment to which the plaintiff objects was provided pursuant to a security-based policy.”).  The </w:t>
      </w:r>
      <w:r w:rsidRPr="00137962">
        <w:rPr>
          <w:rFonts w:cs="Times New Roman"/>
          <w:i/>
          <w:iCs/>
          <w:szCs w:val="24"/>
        </w:rPr>
        <w:t xml:space="preserve">Shorter </w:t>
      </w:r>
      <w:r w:rsidRPr="00137962">
        <w:rPr>
          <w:rFonts w:cs="Times New Roman"/>
          <w:szCs w:val="24"/>
        </w:rPr>
        <w:t>court</w:t>
      </w:r>
    </w:p>
    <w:p w14:paraId="6FB102A3"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emphasized that “determinations about whether to defer to jail officials are often fact-intensive</w:t>
      </w:r>
    </w:p>
    <w:p w14:paraId="74BF0D57" w14:textId="77777777" w:rsidR="00137962" w:rsidRPr="00137962" w:rsidRDefault="00137962" w:rsidP="00137962">
      <w:pPr>
        <w:autoSpaceDE w:val="0"/>
        <w:autoSpaceDN w:val="0"/>
        <w:adjustRightInd w:val="0"/>
        <w:rPr>
          <w:rFonts w:cs="Times New Roman"/>
          <w:szCs w:val="24"/>
        </w:rPr>
      </w:pPr>
      <w:r w:rsidRPr="00137962">
        <w:rPr>
          <w:rFonts w:cs="Times New Roman"/>
          <w:szCs w:val="24"/>
        </w:rPr>
        <w:t xml:space="preserve">and context-dependent.”  </w:t>
      </w:r>
      <w:r w:rsidRPr="00137962">
        <w:rPr>
          <w:rFonts w:cs="Times New Roman"/>
          <w:i/>
          <w:iCs/>
          <w:szCs w:val="24"/>
        </w:rPr>
        <w:t>Id</w:t>
      </w:r>
      <w:r w:rsidRPr="00137962">
        <w:rPr>
          <w:rFonts w:cs="Times New Roman"/>
          <w:szCs w:val="24"/>
        </w:rPr>
        <w:t xml:space="preserve">. at 1189.  Thus, it may be appropriate to let the jury decide, with an additional instruction, </w:t>
      </w:r>
      <w:r w:rsidRPr="00137962">
        <w:rPr>
          <w:rFonts w:cs="Times New Roman"/>
          <w:i/>
          <w:iCs/>
          <w:szCs w:val="24"/>
        </w:rPr>
        <w:t>whether</w:t>
      </w:r>
      <w:r w:rsidRPr="00137962">
        <w:rPr>
          <w:rFonts w:cs="Times New Roman"/>
          <w:szCs w:val="24"/>
        </w:rPr>
        <w:t xml:space="preserve"> deference to officials is warranted, when there is a genuine dispute of material fact over whether the prison policies or practices were unnecessary, unwarranted, or exaggerated.  </w:t>
      </w:r>
      <w:r w:rsidRPr="00137962">
        <w:rPr>
          <w:rFonts w:cs="Times New Roman"/>
          <w:i/>
          <w:iCs/>
          <w:szCs w:val="24"/>
        </w:rPr>
        <w:t>See id.</w:t>
      </w:r>
      <w:r w:rsidRPr="00137962">
        <w:rPr>
          <w:rFonts w:cs="Times New Roman"/>
          <w:szCs w:val="24"/>
        </w:rPr>
        <w:t xml:space="preserve"> at 1190, citing </w:t>
      </w:r>
      <w:r w:rsidRPr="00137962">
        <w:rPr>
          <w:rFonts w:cs="Times New Roman"/>
          <w:i/>
          <w:iCs/>
          <w:szCs w:val="24"/>
        </w:rPr>
        <w:t>Mendiola-Martinez v. Arpaio</w:t>
      </w:r>
      <w:r w:rsidRPr="00137962">
        <w:rPr>
          <w:rFonts w:cs="Times New Roman"/>
          <w:szCs w:val="24"/>
        </w:rPr>
        <w:t>, 836 F.3d 1239, 1257 (9th</w:t>
      </w:r>
      <w:r w:rsidRPr="00137962">
        <w:rPr>
          <w:rFonts w:cs="Times New Roman"/>
          <w:szCs w:val="24"/>
          <w:vertAlign w:val="superscript"/>
        </w:rPr>
        <w:t xml:space="preserve"> </w:t>
      </w:r>
      <w:r w:rsidRPr="00137962">
        <w:rPr>
          <w:rFonts w:cs="Times New Roman"/>
          <w:szCs w:val="24"/>
        </w:rPr>
        <w:t xml:space="preserve">Cir. 2016); </w:t>
      </w:r>
      <w:r w:rsidRPr="00137962">
        <w:rPr>
          <w:rFonts w:cs="Times New Roman"/>
          <w:i/>
          <w:iCs/>
          <w:szCs w:val="24"/>
        </w:rPr>
        <w:t>see also</w:t>
      </w:r>
      <w:r w:rsidRPr="00137962">
        <w:rPr>
          <w:rFonts w:cs="Times New Roman"/>
          <w:szCs w:val="24"/>
        </w:rPr>
        <w:t xml:space="preserve"> </w:t>
      </w:r>
      <w:r w:rsidRPr="00137962">
        <w:rPr>
          <w:rFonts w:cs="Times New Roman"/>
          <w:i/>
          <w:szCs w:val="24"/>
        </w:rPr>
        <w:t xml:space="preserve">Coston v. </w:t>
      </w:r>
      <w:proofErr w:type="spellStart"/>
      <w:r w:rsidRPr="00137962">
        <w:rPr>
          <w:rFonts w:cs="Times New Roman"/>
          <w:i/>
          <w:szCs w:val="24"/>
        </w:rPr>
        <w:t>Nangalama</w:t>
      </w:r>
      <w:proofErr w:type="spellEnd"/>
      <w:r w:rsidRPr="00137962">
        <w:rPr>
          <w:rFonts w:cs="Times New Roman"/>
          <w:iCs/>
          <w:szCs w:val="24"/>
        </w:rPr>
        <w:t>, 13 F.4th 729 (9th Cir. 2021) (“</w:t>
      </w:r>
      <w:r w:rsidRPr="00137962">
        <w:rPr>
          <w:rFonts w:eastAsia="Times New Roman" w:cs="Times New Roman"/>
          <w:szCs w:val="24"/>
          <w:shd w:val="clear" w:color="auto" w:fill="FFFFFF"/>
        </w:rPr>
        <w:t>If . . . Defendants can show . . . a genuine dispute of material fact over whether . . . 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p>
    <w:p w14:paraId="606FB29F" w14:textId="77777777" w:rsidR="00137962" w:rsidRPr="00137962" w:rsidRDefault="00137962" w:rsidP="00137962">
      <w:pPr>
        <w:autoSpaceDE w:val="0"/>
        <w:autoSpaceDN w:val="0"/>
        <w:adjustRightInd w:val="0"/>
        <w:rPr>
          <w:rFonts w:cs="Times New Roman"/>
          <w:szCs w:val="24"/>
        </w:rPr>
      </w:pPr>
    </w:p>
    <w:p w14:paraId="6871DBE3" w14:textId="4F46A290" w:rsidR="00137962" w:rsidRPr="00137962" w:rsidRDefault="00137962" w:rsidP="00203C7D">
      <w:pPr>
        <w:autoSpaceDE w:val="0"/>
        <w:autoSpaceDN w:val="0"/>
        <w:adjustRightInd w:val="0"/>
        <w:ind w:firstLine="720"/>
        <w:rPr>
          <w:rFonts w:cs="Times New Roman"/>
          <w:szCs w:val="24"/>
        </w:rPr>
      </w:pPr>
      <w:r w:rsidRPr="00137962">
        <w:rPr>
          <w:rFonts w:ascii="TimesNewRomanPSMT" w:hAnsi="TimesNewRomanPSMT" w:cs="TimesNewRomanPSMT"/>
          <w:szCs w:val="24"/>
        </w:rPr>
        <w:t xml:space="preserve">The Eighth Amendment applies equally to convicted prisoners who are inside the walls of a penal institution and convicted prisoners, such as escapees, who are outside the walls of a penal institution.  </w:t>
      </w:r>
      <w:r w:rsidRPr="00137962">
        <w:rPr>
          <w:rFonts w:ascii="TimesNewRomanPS-ItalicMT" w:hAnsi="TimesNewRomanPS-ItalicMT" w:cs="TimesNewRomanPS-ItalicMT"/>
          <w:i/>
          <w:iCs/>
          <w:szCs w:val="24"/>
        </w:rPr>
        <w:t>See Hughes v. Rodriguez</w:t>
      </w:r>
      <w:r w:rsidRPr="00137962">
        <w:rPr>
          <w:rFonts w:ascii="TimesNewRomanPSMT" w:hAnsi="TimesNewRomanPSMT" w:cs="TimesNewRomanPSMT"/>
          <w:szCs w:val="24"/>
        </w:rPr>
        <w:t>, 31 F.4th 1211, 1220-21 (9th Cir. 2022).</w:t>
      </w:r>
      <w:r w:rsidRPr="00137962">
        <w:rPr>
          <w:rFonts w:cs="Times New Roman"/>
          <w:szCs w:val="24"/>
        </w:rPr>
        <w:tab/>
      </w:r>
    </w:p>
    <w:p w14:paraId="730D7FBC" w14:textId="77777777" w:rsidR="00137962" w:rsidRPr="00137962" w:rsidRDefault="00137962" w:rsidP="00137962">
      <w:pPr>
        <w:autoSpaceDE w:val="0"/>
        <w:autoSpaceDN w:val="0"/>
        <w:adjustRightInd w:val="0"/>
        <w:rPr>
          <w:rFonts w:cs="Times New Roman"/>
          <w:szCs w:val="24"/>
        </w:rPr>
      </w:pPr>
    </w:p>
    <w:p w14:paraId="67EA3B31" w14:textId="77777777" w:rsidR="00137962" w:rsidRPr="00137962" w:rsidRDefault="00137962" w:rsidP="00137962">
      <w:pPr>
        <w:autoSpaceDE w:val="0"/>
        <w:autoSpaceDN w:val="0"/>
        <w:adjustRightInd w:val="0"/>
        <w:rPr>
          <w:rFonts w:cs="Times New Roman"/>
          <w:szCs w:val="24"/>
        </w:rPr>
      </w:pPr>
    </w:p>
    <w:p w14:paraId="1FEDB639" w14:textId="77777777" w:rsidR="00137962" w:rsidRPr="00137962" w:rsidRDefault="00137962" w:rsidP="00137962">
      <w:pPr>
        <w:autoSpaceDE w:val="0"/>
        <w:autoSpaceDN w:val="0"/>
        <w:adjustRightInd w:val="0"/>
        <w:jc w:val="right"/>
        <w:rPr>
          <w:rFonts w:cs="Times New Roman"/>
          <w:szCs w:val="24"/>
        </w:rPr>
      </w:pPr>
      <w:r w:rsidRPr="00137962">
        <w:rPr>
          <w:rFonts w:cs="Times New Roman"/>
          <w:i/>
          <w:iCs/>
          <w:szCs w:val="24"/>
        </w:rPr>
        <w:t>Revised June 2022</w:t>
      </w:r>
    </w:p>
    <w:p w14:paraId="7D746000" w14:textId="77777777" w:rsidR="00137962" w:rsidRPr="00137962" w:rsidRDefault="00137962" w:rsidP="00137962">
      <w:pPr>
        <w:rPr>
          <w:rFonts w:asciiTheme="minorHAnsi" w:hAnsiTheme="minorHAnsi"/>
          <w:sz w:val="22"/>
        </w:rPr>
      </w:pP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573E9A47" w14:textId="4CE484A4" w:rsidR="00060129" w:rsidRDefault="00060129" w:rsidP="00352D49">
      <w:pPr>
        <w:pStyle w:val="Heading2"/>
      </w:pPr>
      <w:bookmarkStart w:id="157" w:name="_Toc117512447"/>
      <w:r>
        <w:lastRenderedPageBreak/>
        <w:t xml:space="preserve">9.26A </w:t>
      </w:r>
      <w:r w:rsidR="00884DFA" w:rsidRPr="00884DFA">
        <w:t>Particular Rights—Eighth Amendment—Convicted Prisoner’s Claim of Sexual Assault</w:t>
      </w:r>
      <w:bookmarkEnd w:id="157"/>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particular rights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law;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w:t>
      </w:r>
      <w:proofErr w:type="spellStart"/>
      <w:r w:rsidRPr="003810EF">
        <w:rPr>
          <w:i/>
          <w:iCs/>
        </w:rPr>
        <w:t>Bearchild</w:t>
      </w:r>
      <w:proofErr w:type="spellEnd"/>
      <w:r w:rsidRPr="003810EF">
        <w:rPr>
          <w:i/>
          <w:iCs/>
        </w:rPr>
        <w:t xml:space="preserve"> v. </w:t>
      </w:r>
      <w:proofErr w:type="spellStart"/>
      <w:r w:rsidRPr="003810EF">
        <w:rPr>
          <w:i/>
          <w:iCs/>
        </w:rPr>
        <w:t>Cobban</w:t>
      </w:r>
      <w:proofErr w:type="spellEnd"/>
      <w:r w:rsidRPr="00060129">
        <w:t xml:space="preserve">,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t>
      </w:r>
      <w:r w:rsidRPr="003810EF">
        <w:rPr>
          <w:i/>
          <w:iCs/>
        </w:rPr>
        <w:t xml:space="preserve">Wood v. </w:t>
      </w:r>
      <w:proofErr w:type="spellStart"/>
      <w:r w:rsidRPr="003810EF">
        <w:rPr>
          <w:i/>
          <w:iCs/>
        </w:rPr>
        <w:t>Beauclair</w:t>
      </w:r>
      <w:proofErr w:type="spellEnd"/>
      <w:r w:rsidRPr="00060129">
        <w:t xml:space="preserve">, 692 F.3d 1041 at 1046, 1050 (9th Cir. 2012).  Further, “an inmate need not prove that an injury resulted from sexual assault in order to maintain an excessive force claim under the Eighth Amendment.”  </w:t>
      </w:r>
      <w:proofErr w:type="spellStart"/>
      <w:r w:rsidRPr="003810EF">
        <w:rPr>
          <w:i/>
          <w:iCs/>
        </w:rPr>
        <w:t>Schwenk</w:t>
      </w:r>
      <w:proofErr w:type="spellEnd"/>
      <w:r w:rsidRPr="003810EF">
        <w:rPr>
          <w:i/>
          <w:iCs/>
        </w:rPr>
        <w:t xml:space="preserve"> v. Hartford</w:t>
      </w:r>
      <w:r w:rsidRPr="00060129">
        <w:t xml:space="preserve">,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1728176A" w14:textId="5FC7EF26" w:rsidR="006A4CD7" w:rsidRPr="006A4CD7" w:rsidRDefault="006A4CD7" w:rsidP="00352D49">
      <w:pPr>
        <w:pStyle w:val="Heading2"/>
      </w:pPr>
      <w:bookmarkStart w:id="158" w:name="_Toc117512448"/>
      <w:r w:rsidRPr="006A4CD7">
        <w:lastRenderedPageBreak/>
        <w:t xml:space="preserve">9.27 </w:t>
      </w:r>
      <w:r w:rsidR="00884DFA" w:rsidRPr="00884DFA">
        <w:t>Particular Rights—Eighth Amendment—Convicted Prisoner’s Claim Re Conditions of Confinement/Medical Care</w:t>
      </w:r>
      <w:bookmarkEnd w:id="158"/>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471A2B7D"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 xml:space="preserve">specify </w:t>
      </w:r>
      <w:r w:rsidR="003810EF" w:rsidRPr="00A10328">
        <w:rPr>
          <w:rFonts w:cs="Times New Roman"/>
          <w:i/>
          <w:iCs/>
          <w:szCs w:val="24"/>
          <w:u w:val="single"/>
        </w:rPr>
        <w:t>particular constitutional</w:t>
      </w:r>
      <w:r w:rsidRPr="00A10328">
        <w:rPr>
          <w:rFonts w:cs="Times New Roman"/>
          <w:i/>
          <w:iCs/>
          <w:szCs w:val="24"/>
          <w:u w:val="single"/>
        </w:rPr>
        <w:t xml:space="preserve"> interest</w:t>
      </w:r>
      <w:r w:rsidRPr="00A10328">
        <w:rPr>
          <w:rFonts w:cs="Times New Roman"/>
          <w:szCs w:val="24"/>
        </w:rPr>
        <w:t>].  In order to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 xml:space="preserve">[the plaintiff faced a substantial risk of serious harm] [the plaintiff faced a serious medical need];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25114293" w14:textId="759AB18C"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prison official met [his] [her] duties to an inmate under the Eighth Amendment must be</w:t>
      </w:r>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elements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37BFD81A" w14:textId="77777777" w:rsidR="00D91173" w:rsidRDefault="00650E15" w:rsidP="00650E15">
      <w:pPr>
        <w:autoSpaceDE w:val="0"/>
        <w:autoSpaceDN w:val="0"/>
        <w:adjustRightInd w:val="0"/>
        <w:rPr>
          <w:rFonts w:cs="Times New Roman"/>
          <w:szCs w:val="24"/>
        </w:rPr>
      </w:pPr>
      <w:r w:rsidRPr="00A10328">
        <w:rPr>
          <w:rFonts w:cs="Times New Roman"/>
          <w:szCs w:val="24"/>
        </w:rPr>
        <w:tab/>
        <w:t xml:space="preserve">The Eighth Amendment imposes certain duties on prison officials: (1) to provide humane conditions of confinement; (2) to ensure that inmates receive adequate food, clothing, shelter and </w:t>
      </w:r>
    </w:p>
    <w:p w14:paraId="29622592" w14:textId="16A44A37" w:rsidR="00650E15" w:rsidRPr="00A10328" w:rsidRDefault="00650E15" w:rsidP="00650E15">
      <w:pPr>
        <w:autoSpaceDE w:val="0"/>
        <w:autoSpaceDN w:val="0"/>
        <w:adjustRightInd w:val="0"/>
        <w:rPr>
          <w:rFonts w:cs="Times New Roman"/>
          <w:szCs w:val="24"/>
        </w:rPr>
      </w:pPr>
      <w:r w:rsidRPr="00A10328">
        <w:rPr>
          <w:rFonts w:cs="Times New Roman"/>
          <w:szCs w:val="24"/>
        </w:rPr>
        <w:lastRenderedPageBreak/>
        <w:t xml:space="preserve">medical care;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xml:space="preserve">,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(citation omitted)).  </w:t>
      </w:r>
    </w:p>
    <w:p w14:paraId="35481567" w14:textId="77777777" w:rsidR="00650E15" w:rsidRPr="00A10328" w:rsidRDefault="00650E15" w:rsidP="00650E15">
      <w:pPr>
        <w:autoSpaceDE w:val="0"/>
        <w:autoSpaceDN w:val="0"/>
        <w:adjustRightInd w:val="0"/>
        <w:rPr>
          <w:rFonts w:cs="Times New Roman"/>
          <w:szCs w:val="24"/>
        </w:rPr>
      </w:pPr>
    </w:p>
    <w:p w14:paraId="2969CF36" w14:textId="617C5B76"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w:t>
      </w:r>
      <w:r w:rsidR="003810EF" w:rsidRPr="00A10328">
        <w:rPr>
          <w:rFonts w:cs="Times New Roman"/>
          <w:szCs w:val="24"/>
          <w:highlight w:val="white"/>
        </w:rPr>
        <w:t>eye but</w:t>
      </w:r>
      <w:r w:rsidRPr="00A10328">
        <w:rPr>
          <w:rFonts w:cs="Times New Roman"/>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w:t>
      </w:r>
      <w:proofErr w:type="spellStart"/>
      <w:r w:rsidRPr="00A10328">
        <w:rPr>
          <w:rFonts w:cs="Times New Roman"/>
          <w:szCs w:val="24"/>
          <w:highlight w:val="white"/>
        </w:rPr>
        <w:t>en</w:t>
      </w:r>
      <w:proofErr w:type="spellEnd"/>
      <w:r w:rsidRPr="00A10328">
        <w:rPr>
          <w:rFonts w:cs="Times New Roman"/>
          <w:szCs w:val="24"/>
          <w:highlight w:val="white"/>
        </w:rPr>
        <w:t xml:space="preserve">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0484620" w14:textId="77777777" w:rsidR="007453CD"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w:t>
      </w:r>
    </w:p>
    <w:p w14:paraId="7CE799F4" w14:textId="77777777" w:rsidR="00D91173"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light of evidence that one prison official escorted three hostile, half-restrained, high-security prisoners through isolated prison passage in contravention of prison policy and practice).  “A </w:t>
      </w:r>
    </w:p>
    <w:p w14:paraId="6B40BAEA" w14:textId="55D2392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lastRenderedPageBreak/>
        <w:t xml:space="preserve">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proofErr w:type="spellStart"/>
      <w:r w:rsidRPr="00A10328">
        <w:rPr>
          <w:rFonts w:cs="Times New Roman"/>
          <w:i/>
          <w:iCs/>
          <w:szCs w:val="24"/>
        </w:rPr>
        <w:t>Helling</w:t>
      </w:r>
      <w:proofErr w:type="spellEnd"/>
      <w:r w:rsidRPr="00A10328">
        <w:rPr>
          <w:rFonts w:cs="Times New Roman"/>
          <w:i/>
          <w:iCs/>
          <w:szCs w:val="24"/>
        </w:rPr>
        <w:t xml:space="preserve">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 xml:space="preserve">Wood v. </w:t>
      </w:r>
      <w:proofErr w:type="spellStart"/>
      <w:r w:rsidRPr="00A10328">
        <w:rPr>
          <w:rFonts w:cs="Times New Roman"/>
          <w:i/>
          <w:iCs/>
          <w:szCs w:val="24"/>
        </w:rPr>
        <w:t>Beauclair</w:t>
      </w:r>
      <w:proofErr w:type="spellEnd"/>
      <w:r w:rsidRPr="00A10328">
        <w:rPr>
          <w:rFonts w:cs="Times New Roman"/>
          <w:szCs w:val="24"/>
        </w:rPr>
        <w:t xml:space="preserve">, 692 F.3d 1041, 1046 (9th Cir. 2012); </w:t>
      </w:r>
      <w:r w:rsidRPr="00A10328">
        <w:rPr>
          <w:rFonts w:cs="Times New Roman"/>
          <w:i/>
          <w:iCs/>
          <w:szCs w:val="24"/>
        </w:rPr>
        <w:t xml:space="preserve">see also </w:t>
      </w:r>
      <w:proofErr w:type="spellStart"/>
      <w:r w:rsidRPr="00A10328">
        <w:rPr>
          <w:rFonts w:cs="Times New Roman"/>
          <w:i/>
          <w:iCs/>
          <w:szCs w:val="24"/>
        </w:rPr>
        <w:t>Schwenk</w:t>
      </w:r>
      <w:proofErr w:type="spellEnd"/>
      <w:r w:rsidRPr="00A10328">
        <w:rPr>
          <w:rFonts w:cs="Times New Roman"/>
          <w:i/>
          <w:iCs/>
          <w:szCs w:val="24"/>
        </w:rPr>
        <w:t xml:space="preserve">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B52912"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proofErr w:type="spellStart"/>
      <w:r w:rsidRPr="00A10328">
        <w:rPr>
          <w:rFonts w:cs="Times New Roman"/>
          <w:i/>
          <w:iCs/>
          <w:szCs w:val="24"/>
        </w:rPr>
        <w:t>Monell</w:t>
      </w:r>
      <w:proofErr w:type="spellEnd"/>
      <w:r w:rsidRPr="00A10328">
        <w:rPr>
          <w:rFonts w:cs="Times New Roman"/>
          <w:i/>
          <w:iCs/>
          <w:szCs w:val="24"/>
        </w:rPr>
        <w:t xml:space="preserve">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833 F.3d 1060, 1076 (9th Cir. 2016) (</w:t>
      </w:r>
      <w:proofErr w:type="spellStart"/>
      <w:r w:rsidRPr="00A10328">
        <w:rPr>
          <w:rFonts w:cs="Times New Roman"/>
          <w:szCs w:val="24"/>
        </w:rPr>
        <w:t>en</w:t>
      </w:r>
      <w:proofErr w:type="spellEnd"/>
      <w:r w:rsidRPr="00A10328">
        <w:rPr>
          <w:rFonts w:cs="Times New Roman"/>
          <w:szCs w:val="24"/>
        </w:rPr>
        <w:t xml:space="preserve">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The issue of whether a prison official met his or her duties to an inmate under the Eighth</w:t>
      </w:r>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Amendment must be considered in the context of the personnel, financial and other resources</w:t>
      </w:r>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w:t>
      </w:r>
      <w:proofErr w:type="spellStart"/>
      <w:r w:rsidRPr="00A10328">
        <w:rPr>
          <w:rFonts w:cs="Times New Roman"/>
          <w:szCs w:val="24"/>
        </w:rPr>
        <w:t>en</w:t>
      </w:r>
      <w:proofErr w:type="spellEnd"/>
      <w:r w:rsidRPr="00A10328">
        <w:rPr>
          <w:rFonts w:cs="Times New Roman"/>
          <w:szCs w:val="24"/>
        </w:rPr>
        <w:t xml:space="preserve">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77777777"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proofErr w:type="spellStart"/>
      <w:r w:rsidRPr="004C6497">
        <w:rPr>
          <w:rFonts w:cs="Times New Roman"/>
          <w:i/>
          <w:iCs/>
          <w:szCs w:val="24"/>
        </w:rPr>
        <w:t>Dovey</w:t>
      </w:r>
      <w:proofErr w:type="spellEnd"/>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w:t>
      </w:r>
      <w:r w:rsidRPr="004C6497">
        <w:rPr>
          <w:rFonts w:cs="Times New Roman"/>
          <w:szCs w:val="24"/>
        </w:rPr>
        <w:lastRenderedPageBreak/>
        <w:t xml:space="preserve">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0B4228B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3C3F9F05"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sidR="00E04614">
        <w:rPr>
          <w:rFonts w:cs="Times New Roman"/>
          <w:i/>
          <w:iCs/>
          <w:szCs w:val="24"/>
        </w:rPr>
        <w:t>Dec.</w:t>
      </w:r>
      <w:r>
        <w:rPr>
          <w:rFonts w:cs="Times New Roman"/>
          <w:i/>
          <w:iCs/>
          <w:szCs w:val="24"/>
        </w:rPr>
        <w:t xml:space="preserve"> 2021</w:t>
      </w:r>
    </w:p>
    <w:p w14:paraId="3DB7FAA0" w14:textId="77777777" w:rsidR="006A4CD7" w:rsidRPr="006A4CD7" w:rsidRDefault="006A4CD7" w:rsidP="00240C44"/>
    <w:p w14:paraId="3C93B5CB" w14:textId="55155601" w:rsidR="006A4CD7" w:rsidRPr="006A4CD7" w:rsidRDefault="006A4CD7" w:rsidP="00352D49">
      <w:pPr>
        <w:pStyle w:val="Heading2"/>
      </w:pPr>
      <w:r w:rsidRPr="006A4CD7">
        <w:br w:type="page"/>
      </w:r>
      <w:bookmarkStart w:id="159" w:name="_Toc117512449"/>
      <w:r w:rsidRPr="006A4CD7">
        <w:lastRenderedPageBreak/>
        <w:t xml:space="preserve">9.28 </w:t>
      </w:r>
      <w:r w:rsidR="00884DFA" w:rsidRPr="00884DFA">
        <w:t>Particular Rights—Eighth Amendment—Convicted Prisoner’s Claim of Failure to Protect</w:t>
      </w:r>
      <w:bookmarkEnd w:id="159"/>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he defendant made an intentional decision with respect to the conditions under which the plaintiff was confined;</w:t>
      </w:r>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hose conditions put the plaintiff at substantial risk of suffering serious harm;</w:t>
      </w:r>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305B0C68" w14:textId="77777777" w:rsidR="007453CD"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proofErr w:type="spellStart"/>
      <w:r w:rsidRPr="00F53078">
        <w:rPr>
          <w:rFonts w:cs="Times New Roman"/>
          <w:i/>
          <w:iCs/>
          <w:szCs w:val="24"/>
        </w:rPr>
        <w:t>Helling</w:t>
      </w:r>
      <w:proofErr w:type="spellEnd"/>
      <w:r w:rsidRPr="00F53078">
        <w:rPr>
          <w:rFonts w:cs="Times New Roman"/>
          <w:i/>
          <w:iCs/>
          <w:szCs w:val="24"/>
        </w:rPr>
        <w:t xml:space="preserve">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w:t>
      </w:r>
    </w:p>
    <w:p w14:paraId="51429950" w14:textId="77777777" w:rsidR="007453CD" w:rsidRDefault="007453CD" w:rsidP="00C20A92">
      <w:pPr>
        <w:autoSpaceDE w:val="0"/>
        <w:autoSpaceDN w:val="0"/>
        <w:adjustRightInd w:val="0"/>
        <w:rPr>
          <w:rFonts w:cs="Times New Roman"/>
          <w:szCs w:val="24"/>
        </w:rPr>
      </w:pPr>
    </w:p>
    <w:p w14:paraId="05B5B48F" w14:textId="03006251" w:rsidR="00C20A92" w:rsidRDefault="00C20A92" w:rsidP="00C20A92">
      <w:pPr>
        <w:autoSpaceDE w:val="0"/>
        <w:autoSpaceDN w:val="0"/>
        <w:adjustRightInd w:val="0"/>
        <w:rPr>
          <w:rFonts w:cs="Times New Roman"/>
          <w:szCs w:val="24"/>
        </w:rPr>
      </w:pPr>
      <w:r w:rsidRPr="00F53078">
        <w:rPr>
          <w:rFonts w:cs="Times New Roman"/>
          <w:szCs w:val="24"/>
        </w:rPr>
        <w:lastRenderedPageBreak/>
        <w:t xml:space="preserve">causing harm or with knowledge that harm will result.”  </w:t>
      </w:r>
      <w:r w:rsidRPr="00F53078">
        <w:rPr>
          <w:rFonts w:cs="Times New Roman"/>
          <w:i/>
          <w:iCs/>
          <w:szCs w:val="24"/>
        </w:rPr>
        <w:t>Id</w:t>
      </w:r>
      <w:r w:rsidRPr="00F53078">
        <w:rPr>
          <w:rFonts w:cs="Times New Roman"/>
          <w:szCs w:val="24"/>
        </w:rPr>
        <w:t xml:space="preserve">. at 835. </w:t>
      </w:r>
    </w:p>
    <w:p w14:paraId="40C85F25" w14:textId="77777777" w:rsidR="007453CD" w:rsidRPr="00F53078" w:rsidRDefault="007453CD" w:rsidP="00C20A92">
      <w:pPr>
        <w:autoSpaceDE w:val="0"/>
        <w:autoSpaceDN w:val="0"/>
        <w:adjustRightInd w:val="0"/>
        <w:rPr>
          <w:rFonts w:cs="Times New Roman"/>
          <w:szCs w:val="24"/>
        </w:rPr>
      </w:pPr>
    </w:p>
    <w:p w14:paraId="26DC88F3" w14:textId="5A0E09A9"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833 F.3d. 1060, 1068, 1070-71 (9th Cir. 2016) (</w:t>
      </w:r>
      <w:proofErr w:type="spellStart"/>
      <w:r w:rsidRPr="00F53078">
        <w:rPr>
          <w:rFonts w:cs="Times New Roman"/>
          <w:szCs w:val="24"/>
        </w:rPr>
        <w:t>en</w:t>
      </w:r>
      <w:proofErr w:type="spellEnd"/>
      <w:r w:rsidRPr="00F53078">
        <w:rPr>
          <w:rFonts w:cs="Times New Roman"/>
          <w:szCs w:val="24"/>
        </w:rPr>
        <w:t xml:space="preserve">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135 S.</w:t>
      </w:r>
      <w:r w:rsidR="008162F7">
        <w:rPr>
          <w:rFonts w:cs="Times New Roman"/>
          <w:szCs w:val="24"/>
        </w:rPr>
        <w:t xml:space="preserve"> </w:t>
      </w:r>
      <w:r w:rsidRPr="00F53078">
        <w:rPr>
          <w:rFonts w:cs="Times New Roman"/>
          <w:szCs w:val="24"/>
        </w:rPr>
        <w:t xml:space="preserve">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4BA0CAAC" w:rsidR="00C20A92"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proofErr w:type="spellStart"/>
      <w:r w:rsidRPr="004C6497">
        <w:rPr>
          <w:rFonts w:cs="Times New Roman"/>
          <w:i/>
          <w:iCs/>
          <w:szCs w:val="24"/>
        </w:rPr>
        <w:t>Dovey</w:t>
      </w:r>
      <w:proofErr w:type="spellEnd"/>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895 F.3d at 1189.</w:t>
      </w:r>
    </w:p>
    <w:p w14:paraId="728BF3EF" w14:textId="7E1A14A7" w:rsidR="00B172F0" w:rsidRDefault="00B172F0" w:rsidP="00C20A92">
      <w:pPr>
        <w:autoSpaceDE w:val="0"/>
        <w:autoSpaceDN w:val="0"/>
        <w:adjustRightInd w:val="0"/>
        <w:ind w:firstLine="720"/>
        <w:rPr>
          <w:rFonts w:cs="Times New Roman"/>
          <w:szCs w:val="24"/>
        </w:rPr>
      </w:pPr>
    </w:p>
    <w:p w14:paraId="49973C2F" w14:textId="49ECB81B" w:rsidR="00B172F0" w:rsidRPr="004C6497" w:rsidRDefault="00B172F0" w:rsidP="00C20A92">
      <w:pPr>
        <w:autoSpaceDE w:val="0"/>
        <w:autoSpaceDN w:val="0"/>
        <w:adjustRightInd w:val="0"/>
        <w:ind w:firstLine="720"/>
        <w:rPr>
          <w:rFonts w:cs="Times New Roman"/>
          <w:szCs w:val="24"/>
        </w:rPr>
      </w:pPr>
      <w:r w:rsidRPr="004B657D">
        <w:rPr>
          <w:rFonts w:cs="Times New Roman"/>
          <w:szCs w:val="24"/>
        </w:rPr>
        <w:t xml:space="preserve">In </w:t>
      </w:r>
      <w:r w:rsidRPr="004B657D">
        <w:rPr>
          <w:rFonts w:cs="Times New Roman"/>
          <w:i/>
          <w:iCs/>
          <w:szCs w:val="24"/>
        </w:rPr>
        <w:t>Fierro v. Smith</w:t>
      </w:r>
      <w:r w:rsidRPr="004B657D">
        <w:rPr>
          <w:rFonts w:cs="Times New Roman"/>
          <w:szCs w:val="24"/>
        </w:rPr>
        <w:t xml:space="preserve">, </w:t>
      </w:r>
      <w:r>
        <w:rPr>
          <w:rFonts w:cs="Times New Roman"/>
          <w:szCs w:val="24"/>
        </w:rPr>
        <w:t>39 F.4</w:t>
      </w:r>
      <w:r w:rsidRPr="00002FBE">
        <w:rPr>
          <w:rFonts w:cs="Times New Roman"/>
          <w:szCs w:val="24"/>
        </w:rPr>
        <w:t>th</w:t>
      </w:r>
      <w:r>
        <w:rPr>
          <w:rFonts w:cs="Times New Roman"/>
          <w:szCs w:val="24"/>
        </w:rPr>
        <w:t xml:space="preserve"> 640</w:t>
      </w:r>
      <w:r w:rsidRPr="004B657D">
        <w:rPr>
          <w:rFonts w:cs="Times New Roman"/>
          <w:szCs w:val="24"/>
        </w:rPr>
        <w:t xml:space="preserve"> (9th Cir. 2022), the Ninth Circuit provided a framework for determining whether a deference instruction should be given.  First, the instruction should be given if there is no genuine dispute that two conditions are met: (1) the treatment challenged by the prisoner was provided pursuant to a security-based policy, and (2) the treatment was a necessary, justified, and non-exaggerated response to security needs.  </w:t>
      </w:r>
      <w:r w:rsidRPr="004B657D">
        <w:rPr>
          <w:rFonts w:cs="Times New Roman"/>
          <w:i/>
          <w:iCs/>
          <w:szCs w:val="24"/>
        </w:rPr>
        <w:t>Fierro</w:t>
      </w:r>
      <w:r w:rsidRPr="004B657D">
        <w:rPr>
          <w:rFonts w:cs="Times New Roman"/>
          <w:szCs w:val="24"/>
        </w:rPr>
        <w:t xml:space="preserve"> </w:t>
      </w:r>
      <w:r w:rsidRPr="004B657D">
        <w:rPr>
          <w:rFonts w:cs="Times New Roman"/>
          <w:i/>
          <w:iCs/>
          <w:szCs w:val="24"/>
        </w:rPr>
        <w:t>v. Smith</w:t>
      </w:r>
      <w:r w:rsidRPr="004B657D">
        <w:rPr>
          <w:rFonts w:cs="Times New Roman"/>
          <w:szCs w:val="24"/>
        </w:rPr>
        <w:t xml:space="preserve">, </w:t>
      </w:r>
      <w:r>
        <w:rPr>
          <w:rFonts w:cs="Times New Roman"/>
          <w:szCs w:val="24"/>
        </w:rPr>
        <w:t>F.4</w:t>
      </w:r>
      <w:r w:rsidRPr="00002FBE">
        <w:rPr>
          <w:rFonts w:cs="Times New Roman"/>
          <w:szCs w:val="24"/>
        </w:rPr>
        <w:t>th</w:t>
      </w:r>
      <w:r>
        <w:rPr>
          <w:rFonts w:cs="Times New Roman"/>
          <w:szCs w:val="24"/>
        </w:rPr>
        <w:t xml:space="preserve"> at 648</w:t>
      </w:r>
      <w:r w:rsidRPr="004B657D">
        <w:rPr>
          <w:rFonts w:cs="Times New Roman"/>
          <w:szCs w:val="24"/>
        </w:rPr>
        <w:t xml:space="preserve">. </w:t>
      </w:r>
      <w:r>
        <w:rPr>
          <w:rFonts w:cs="Times New Roman"/>
          <w:szCs w:val="24"/>
        </w:rPr>
        <w:t xml:space="preserve"> </w:t>
      </w:r>
      <w:r w:rsidRPr="004B657D">
        <w:rPr>
          <w:rFonts w:cs="Times New Roman"/>
          <w:szCs w:val="24"/>
        </w:rPr>
        <w:t xml:space="preserve">Second, the deference instruction should not be given if there is no genuine dispute that </w:t>
      </w:r>
      <w:r w:rsidRPr="004B657D">
        <w:rPr>
          <w:rFonts w:cs="Times New Roman"/>
          <w:szCs w:val="24"/>
        </w:rPr>
        <w:lastRenderedPageBreak/>
        <w:t xml:space="preserve">neither of the two conditions are met. </w:t>
      </w:r>
      <w:r>
        <w:rPr>
          <w:rFonts w:cs="Times New Roman"/>
          <w:szCs w:val="24"/>
        </w:rPr>
        <w:t xml:space="preserve"> </w:t>
      </w:r>
      <w:r w:rsidRPr="004B657D">
        <w:rPr>
          <w:rFonts w:cs="Times New Roman"/>
          <w:i/>
          <w:iCs/>
          <w:szCs w:val="24"/>
        </w:rPr>
        <w:t xml:space="preserve">Id.  </w:t>
      </w:r>
      <w:r w:rsidRPr="004B657D">
        <w:rPr>
          <w:rFonts w:cs="Times New Roman"/>
          <w:szCs w:val="24"/>
        </w:rPr>
        <w:t>Third, “if there is a genuine dispute whether deference is</w:t>
      </w:r>
      <w:r w:rsidRPr="000C3350">
        <w:rPr>
          <w:rFonts w:cs="Times New Roman"/>
          <w:szCs w:val="24"/>
        </w:rPr>
        <w:t xml:space="preserve"> </w:t>
      </w:r>
      <w:r w:rsidRPr="00EC1B6B">
        <w:rPr>
          <w:rFonts w:cs="Times New Roman"/>
          <w:szCs w:val="24"/>
        </w:rPr>
        <w:t>appropriate, a court has the option either to give no deference instruction at all or to</w:t>
      </w:r>
      <w:r>
        <w:rPr>
          <w:rFonts w:cs="Times New Roman"/>
          <w:szCs w:val="24"/>
        </w:rPr>
        <w:t xml:space="preserve"> </w:t>
      </w:r>
      <w:r w:rsidRPr="00EC1B6B">
        <w:rPr>
          <w:rFonts w:cs="Times New Roman"/>
          <w:szCs w:val="24"/>
        </w:rPr>
        <w:t xml:space="preserve">explain to the jurors that it is their choice whether to give deference.” </w:t>
      </w:r>
      <w:r>
        <w:rPr>
          <w:rFonts w:cs="Times New Roman"/>
          <w:szCs w:val="24"/>
        </w:rPr>
        <w:t xml:space="preserve"> </w:t>
      </w:r>
      <w:r w:rsidRPr="00EC1B6B">
        <w:rPr>
          <w:rFonts w:cs="Times New Roman"/>
          <w:i/>
          <w:iCs/>
          <w:szCs w:val="24"/>
        </w:rPr>
        <w:t>Id.</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65909C78"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 xml:space="preserve">Revised </w:t>
      </w:r>
      <w:r w:rsidR="00B172F0">
        <w:rPr>
          <w:rFonts w:cs="Times New Roman"/>
          <w:i/>
          <w:iCs/>
          <w:szCs w:val="24"/>
        </w:rPr>
        <w:t>Sept</w:t>
      </w:r>
      <w:r w:rsidR="00736F64">
        <w:rPr>
          <w:rFonts w:cs="Times New Roman"/>
          <w:i/>
          <w:iCs/>
          <w:szCs w:val="24"/>
        </w:rPr>
        <w:t>.</w:t>
      </w:r>
      <w:r w:rsidRPr="00F53078">
        <w:rPr>
          <w:rFonts w:cs="Times New Roman"/>
          <w:i/>
          <w:iCs/>
          <w:szCs w:val="24"/>
        </w:rPr>
        <w:t xml:space="preserve"> 20</w:t>
      </w:r>
      <w:r>
        <w:rPr>
          <w:rFonts w:cs="Times New Roman"/>
          <w:i/>
          <w:iCs/>
          <w:szCs w:val="24"/>
        </w:rPr>
        <w:t>21</w:t>
      </w:r>
    </w:p>
    <w:p w14:paraId="7B09C26B" w14:textId="3FB75842" w:rsidR="00203C7D" w:rsidRDefault="006A4CD7" w:rsidP="007B75B7">
      <w:pPr>
        <w:pStyle w:val="Heading2"/>
      </w:pPr>
      <w:r w:rsidRPr="006A4CD7">
        <w:br w:type="page"/>
      </w:r>
      <w:bookmarkStart w:id="160" w:name="_Toc117512450"/>
      <w:r w:rsidRPr="006A4CD7">
        <w:lastRenderedPageBreak/>
        <w:t xml:space="preserve">9.29 </w:t>
      </w:r>
      <w:r w:rsidR="00884DFA" w:rsidRPr="00884DFA">
        <w:t>Particular Rights—Fourteenth Amendment—Pretrial</w:t>
      </w:r>
      <w:bookmarkEnd w:id="160"/>
      <w:r w:rsidR="00884DFA" w:rsidRPr="00884DFA">
        <w:t xml:space="preserve"> </w:t>
      </w:r>
    </w:p>
    <w:p w14:paraId="34D120E4" w14:textId="4E1683AB" w:rsidR="006A4CD7" w:rsidRPr="006A4CD7" w:rsidRDefault="00884DFA" w:rsidP="007B75B7">
      <w:pPr>
        <w:pStyle w:val="Heading2"/>
      </w:pPr>
      <w:bookmarkStart w:id="161" w:name="_Toc117512451"/>
      <w:r w:rsidRPr="00884DFA">
        <w:t>Detainee’s Claim of Excessive Force</w:t>
      </w:r>
      <w:bookmarkEnd w:id="161"/>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0CE2CF5F" w14:textId="77777777" w:rsidR="00203C7D" w:rsidRPr="00203C7D" w:rsidRDefault="00305894" w:rsidP="00203C7D">
      <w:pPr>
        <w:autoSpaceDE w:val="0"/>
        <w:autoSpaceDN w:val="0"/>
        <w:adjustRightInd w:val="0"/>
        <w:rPr>
          <w:rFonts w:cs="Times New Roman"/>
          <w:szCs w:val="24"/>
        </w:rPr>
      </w:pPr>
      <w:r w:rsidRPr="00305894">
        <w:rPr>
          <w:rFonts w:cs="Times New Roman"/>
          <w:szCs w:val="24"/>
        </w:rPr>
        <w:tab/>
      </w:r>
      <w:r w:rsidR="00203C7D" w:rsidRPr="00203C7D">
        <w:rPr>
          <w:rFonts w:cs="Times New Roman"/>
          <w:szCs w:val="24"/>
        </w:rPr>
        <w:t>The Fourteenth Amendment applies to excessive force claims brought by pretrial</w:t>
      </w:r>
    </w:p>
    <w:p w14:paraId="743A29B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detainees.  Specifically, the Supreme Court has held, “It is clear … that the Due Process Clause</w:t>
      </w:r>
    </w:p>
    <w:p w14:paraId="765FC9F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protects a pretrial detainee from the use of excessive force that amounts to punishment.”  </w:t>
      </w:r>
      <w:r w:rsidRPr="00203C7D">
        <w:rPr>
          <w:rFonts w:cs="Times New Roman"/>
          <w:i/>
          <w:iCs/>
          <w:szCs w:val="24"/>
        </w:rPr>
        <w:t>Graham v. Connor</w:t>
      </w:r>
      <w:r w:rsidRPr="00203C7D">
        <w:rPr>
          <w:rFonts w:cs="Times New Roman"/>
          <w:szCs w:val="24"/>
        </w:rPr>
        <w:t xml:space="preserve">, 490 U.S. 386, 395 n.10 (1989).  More recently, in </w:t>
      </w:r>
      <w:r w:rsidRPr="00203C7D">
        <w:rPr>
          <w:rFonts w:cs="Times New Roman"/>
          <w:i/>
          <w:iCs/>
          <w:szCs w:val="24"/>
        </w:rPr>
        <w:t>Kingsley v. Hendrickson</w:t>
      </w:r>
      <w:r w:rsidRPr="00203C7D">
        <w:rPr>
          <w:rFonts w:cs="Times New Roman"/>
          <w:szCs w:val="24"/>
        </w:rPr>
        <w:t>,</w:t>
      </w:r>
    </w:p>
    <w:p w14:paraId="53D308A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135 S. Ct. 2466, 2472 (2015), the Supreme Court held that to prove an excessive force claim</w:t>
      </w:r>
    </w:p>
    <w:p w14:paraId="6200C4DD"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under the Fourteenth Amendment, a pretrial detainee must show that the officers’ use of force</w:t>
      </w:r>
    </w:p>
    <w:p w14:paraId="528D415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was “objectively” unreasonable; the detainee is not required to show that the officers were</w:t>
      </w:r>
    </w:p>
    <w:p w14:paraId="101014B3"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“subjectively” aware that their use of force was unreasonable.</w:t>
      </w:r>
    </w:p>
    <w:p w14:paraId="53F6E10E" w14:textId="77777777" w:rsidR="00203C7D" w:rsidRPr="00203C7D" w:rsidRDefault="00203C7D" w:rsidP="00203C7D">
      <w:pPr>
        <w:autoSpaceDE w:val="0"/>
        <w:autoSpaceDN w:val="0"/>
        <w:adjustRightInd w:val="0"/>
        <w:rPr>
          <w:rFonts w:cs="Times New Roman"/>
          <w:szCs w:val="24"/>
        </w:rPr>
      </w:pPr>
    </w:p>
    <w:p w14:paraId="4124C19C" w14:textId="77777777" w:rsidR="00203C7D" w:rsidRPr="00203C7D" w:rsidRDefault="00203C7D" w:rsidP="00203C7D">
      <w:pPr>
        <w:ind w:firstLine="720"/>
        <w:jc w:val="both"/>
        <w:rPr>
          <w:rFonts w:cs="Times New Roman"/>
          <w:szCs w:val="24"/>
        </w:rPr>
      </w:pPr>
      <w:r w:rsidRPr="00203C7D">
        <w:rPr>
          <w:rFonts w:cs="Times New Roman"/>
          <w:szCs w:val="24"/>
        </w:rPr>
        <w:t xml:space="preserve">In </w:t>
      </w:r>
      <w:r w:rsidRPr="00203C7D">
        <w:rPr>
          <w:rFonts w:cs="Times New Roman"/>
          <w:i/>
          <w:iCs/>
          <w:szCs w:val="24"/>
        </w:rPr>
        <w:t>Hyde v. City of Willcox</w:t>
      </w:r>
      <w:r w:rsidRPr="00203C7D">
        <w:rPr>
          <w:rFonts w:cs="Times New Roman"/>
          <w:szCs w:val="24"/>
        </w:rPr>
        <w:t xml:space="preserve">, 23 F.4th 863 (9th Cir. 2022), the Ninth Circuit held that the use of force is constitutionally excessive when officers continue to use force after a pretrial detainee had been restrained and is not resisting, at least where the officers had sufficient time to realize that the defendant could no longer resist and did not pose a threat.  “The following considerations may bear on the reasonableness (or unreasonableness) of the force used: ‘the relationship between the need for the use of force and the amount of force used; the extent of the plaintiff’s injury; any effort made by the officer to temper or to limit the amount of force; the severity of the security problem at issue; the threat reasonably perceived by the officer; and whether the plaintiff was actively resisting.’”  </w:t>
      </w:r>
      <w:r w:rsidRPr="00203C7D">
        <w:rPr>
          <w:rFonts w:cs="Times New Roman"/>
          <w:i/>
          <w:iCs/>
          <w:szCs w:val="24"/>
        </w:rPr>
        <w:t xml:space="preserve">Id. </w:t>
      </w:r>
      <w:r w:rsidRPr="00203C7D">
        <w:rPr>
          <w:rFonts w:cs="Times New Roman"/>
          <w:szCs w:val="24"/>
        </w:rPr>
        <w:t xml:space="preserve">at 870 (quoting </w:t>
      </w:r>
      <w:r w:rsidRPr="00203C7D">
        <w:rPr>
          <w:rFonts w:cs="Times New Roman"/>
          <w:i/>
          <w:iCs/>
          <w:szCs w:val="24"/>
        </w:rPr>
        <w:t>Kingsley v. Hendrickson</w:t>
      </w:r>
      <w:r w:rsidRPr="00203C7D">
        <w:rPr>
          <w:rFonts w:cs="Times New Roman"/>
          <w:szCs w:val="24"/>
        </w:rPr>
        <w:t xml:space="preserve">, 576 U.S. 389, 397 (2015)).  “The most important factor is whether the suspect posed an immediate threat.”  </w:t>
      </w:r>
      <w:r w:rsidRPr="00203C7D">
        <w:rPr>
          <w:rFonts w:cs="Times New Roman"/>
          <w:i/>
          <w:iCs/>
          <w:szCs w:val="24"/>
        </w:rPr>
        <w:t xml:space="preserve">Id. </w:t>
      </w:r>
      <w:r w:rsidRPr="00203C7D">
        <w:rPr>
          <w:rFonts w:cs="Times New Roman"/>
          <w:szCs w:val="24"/>
        </w:rPr>
        <w:t>(</w:t>
      </w:r>
      <w:proofErr w:type="spellStart"/>
      <w:r w:rsidRPr="00203C7D">
        <w:rPr>
          <w:rFonts w:cs="Times New Roman"/>
          <w:szCs w:val="24"/>
        </w:rPr>
        <w:t>citng</w:t>
      </w:r>
      <w:proofErr w:type="spellEnd"/>
      <w:r w:rsidRPr="00203C7D">
        <w:rPr>
          <w:rFonts w:cs="Times New Roman"/>
          <w:szCs w:val="24"/>
        </w:rPr>
        <w:t xml:space="preserve"> </w:t>
      </w:r>
      <w:r w:rsidRPr="00203C7D">
        <w:rPr>
          <w:rFonts w:cs="Times New Roman"/>
          <w:i/>
          <w:iCs/>
          <w:szCs w:val="24"/>
        </w:rPr>
        <w:t xml:space="preserve">Mattos v. </w:t>
      </w:r>
      <w:proofErr w:type="spellStart"/>
      <w:r w:rsidRPr="00203C7D">
        <w:rPr>
          <w:rFonts w:cs="Times New Roman"/>
          <w:i/>
          <w:iCs/>
          <w:szCs w:val="24"/>
        </w:rPr>
        <w:t>Agarano</w:t>
      </w:r>
      <w:proofErr w:type="spellEnd"/>
      <w:r w:rsidRPr="00203C7D">
        <w:rPr>
          <w:rFonts w:cs="Times New Roman"/>
          <w:szCs w:val="24"/>
        </w:rPr>
        <w:t>, 661 F.3d 433, 441 (9th Cir. 2011) (</w:t>
      </w:r>
      <w:proofErr w:type="spellStart"/>
      <w:r w:rsidRPr="00203C7D">
        <w:rPr>
          <w:rFonts w:cs="Times New Roman"/>
          <w:szCs w:val="24"/>
        </w:rPr>
        <w:t>en</w:t>
      </w:r>
      <w:proofErr w:type="spellEnd"/>
      <w:r w:rsidRPr="00203C7D">
        <w:rPr>
          <w:rFonts w:cs="Times New Roman"/>
          <w:szCs w:val="24"/>
        </w:rPr>
        <w:t xml:space="preserve"> banc)).  “This analysis is not static, and the reasonableness of force may change as the circumstances evolve.”  </w:t>
      </w:r>
      <w:r w:rsidRPr="00203C7D">
        <w:rPr>
          <w:rFonts w:cs="Times New Roman"/>
          <w:i/>
          <w:iCs/>
          <w:szCs w:val="24"/>
        </w:rPr>
        <w:t>Id.</w:t>
      </w:r>
      <w:r w:rsidRPr="00203C7D">
        <w:rPr>
          <w:rFonts w:cs="Times New Roman"/>
          <w:szCs w:val="24"/>
        </w:rPr>
        <w:t xml:space="preserve"> (citing </w:t>
      </w:r>
      <w:r w:rsidRPr="00203C7D">
        <w:rPr>
          <w:rFonts w:cs="Times New Roman"/>
          <w:i/>
          <w:iCs/>
          <w:szCs w:val="24"/>
        </w:rPr>
        <w:t xml:space="preserve">Jones v. Las Vegas Metro. Police </w:t>
      </w:r>
      <w:proofErr w:type="spellStart"/>
      <w:r w:rsidRPr="00203C7D">
        <w:rPr>
          <w:rFonts w:cs="Times New Roman"/>
          <w:i/>
          <w:iCs/>
          <w:szCs w:val="24"/>
        </w:rPr>
        <w:t>Dep’t</w:t>
      </w:r>
      <w:proofErr w:type="spellEnd"/>
      <w:r w:rsidRPr="00203C7D">
        <w:rPr>
          <w:rFonts w:cs="Times New Roman"/>
          <w:szCs w:val="24"/>
        </w:rPr>
        <w:t>, 873 F.3d 1123, 1130 (9th Cir. 2017)).</w:t>
      </w:r>
    </w:p>
    <w:p w14:paraId="3A244A40" w14:textId="77777777" w:rsidR="00203C7D" w:rsidRPr="00203C7D" w:rsidRDefault="00203C7D" w:rsidP="00203C7D">
      <w:pPr>
        <w:autoSpaceDE w:val="0"/>
        <w:autoSpaceDN w:val="0"/>
        <w:adjustRightInd w:val="0"/>
        <w:rPr>
          <w:rFonts w:cs="Times New Roman"/>
          <w:szCs w:val="24"/>
        </w:rPr>
      </w:pPr>
    </w:p>
    <w:p w14:paraId="1D41452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Fourth Amendment may also be applicable.  In </w:t>
      </w:r>
      <w:r w:rsidRPr="00203C7D">
        <w:rPr>
          <w:rFonts w:cs="Times New Roman"/>
          <w:i/>
          <w:iCs/>
          <w:szCs w:val="24"/>
        </w:rPr>
        <w:t>Graham v. Connor</w:t>
      </w:r>
      <w:r w:rsidRPr="00203C7D">
        <w:rPr>
          <w:rFonts w:cs="Times New Roman"/>
          <w:szCs w:val="24"/>
        </w:rPr>
        <w:t>, 490 U.S. 386,</w:t>
      </w:r>
    </w:p>
    <w:p w14:paraId="6C06C314"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395 n.10 (1989), the Supreme Court observed that it was an open question “whether the Fourth</w:t>
      </w:r>
    </w:p>
    <w:p w14:paraId="5A76D545"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Amendment continues to provide individuals with protection against deliberate use of excessive</w:t>
      </w:r>
    </w:p>
    <w:p w14:paraId="1BE08D6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physical force beyond the point at which arrest ends and pretrial detention begins.”  But with</w:t>
      </w:r>
    </w:p>
    <w:p w14:paraId="109DCAB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regard to pre-arraignment custody, the Ninth Circuit has held that the Fourth Amendment</w:t>
      </w:r>
    </w:p>
    <w:p w14:paraId="1076929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 xml:space="preserve">provides protection against the use of excessive force.  </w:t>
      </w:r>
      <w:r w:rsidRPr="00203C7D">
        <w:rPr>
          <w:rFonts w:cs="Times New Roman"/>
          <w:i/>
          <w:iCs/>
          <w:szCs w:val="24"/>
        </w:rPr>
        <w:t>Pierce v. Multnomah County</w:t>
      </w:r>
      <w:r w:rsidRPr="00203C7D">
        <w:rPr>
          <w:rFonts w:cs="Times New Roman"/>
          <w:szCs w:val="24"/>
        </w:rPr>
        <w:t>, 76 F.3d</w:t>
      </w:r>
    </w:p>
    <w:p w14:paraId="2FE288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1032, 1043 (9th Cir. 1996) (applying Fourth Amendment to assess constitutionality of</w:t>
      </w:r>
    </w:p>
    <w:p w14:paraId="20AD4AF7"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duration, conditions, or legal justification for prolonged warrantless post-arrest pre-arraignment</w:t>
      </w:r>
    </w:p>
    <w:p w14:paraId="2FF8BEA3" w14:textId="71DD2750" w:rsidR="00203C7D" w:rsidRPr="00203C7D" w:rsidRDefault="00203C7D" w:rsidP="00203C7D">
      <w:pPr>
        <w:autoSpaceDE w:val="0"/>
        <w:autoSpaceDN w:val="0"/>
        <w:adjustRightInd w:val="0"/>
        <w:rPr>
          <w:rFonts w:cs="Times New Roman"/>
          <w:szCs w:val="24"/>
        </w:rPr>
      </w:pPr>
      <w:r w:rsidRPr="00203C7D">
        <w:rPr>
          <w:rFonts w:cs="Times New Roman"/>
          <w:szCs w:val="24"/>
        </w:rPr>
        <w:t>custody).</w:t>
      </w:r>
    </w:p>
    <w:p w14:paraId="74B6360C" w14:textId="77777777" w:rsidR="00203C7D" w:rsidRPr="00203C7D" w:rsidRDefault="00203C7D" w:rsidP="00203C7D">
      <w:pPr>
        <w:autoSpaceDE w:val="0"/>
        <w:autoSpaceDN w:val="0"/>
        <w:adjustRightInd w:val="0"/>
        <w:rPr>
          <w:rFonts w:cs="Times New Roman"/>
          <w:szCs w:val="24"/>
        </w:rPr>
      </w:pPr>
    </w:p>
    <w:p w14:paraId="0D446B77" w14:textId="77777777" w:rsidR="00203C7D" w:rsidRPr="00203C7D" w:rsidRDefault="00203C7D" w:rsidP="00203C7D">
      <w:pPr>
        <w:autoSpaceDE w:val="0"/>
        <w:autoSpaceDN w:val="0"/>
        <w:adjustRightInd w:val="0"/>
        <w:jc w:val="right"/>
        <w:rPr>
          <w:rFonts w:cs="Times New Roman"/>
          <w:szCs w:val="24"/>
        </w:rPr>
      </w:pPr>
      <w:r w:rsidRPr="00203C7D">
        <w:rPr>
          <w:rFonts w:cs="Times New Roman"/>
          <w:i/>
          <w:iCs/>
          <w:szCs w:val="24"/>
        </w:rPr>
        <w:t>Revised June 2022</w:t>
      </w:r>
    </w:p>
    <w:p w14:paraId="7F7D5A3F" w14:textId="14DB6683" w:rsidR="006A4CD7" w:rsidRPr="006A4CD7" w:rsidRDefault="006A4CD7" w:rsidP="00203C7D">
      <w:pPr>
        <w:autoSpaceDE w:val="0"/>
        <w:autoSpaceDN w:val="0"/>
        <w:adjustRightInd w:val="0"/>
        <w:rPr>
          <w:rFonts w:cs="Times New Roman"/>
          <w:szCs w:val="24"/>
        </w:rPr>
      </w:pP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24607B6D" w14:textId="44704207" w:rsidR="00203C7D" w:rsidRDefault="00AE2059" w:rsidP="007B75B7">
      <w:pPr>
        <w:pStyle w:val="Heading2"/>
      </w:pPr>
      <w:bookmarkStart w:id="162" w:name="_Toc117512452"/>
      <w:r w:rsidRPr="00AE2059">
        <w:lastRenderedPageBreak/>
        <w:t xml:space="preserve">9.30 </w:t>
      </w:r>
      <w:r w:rsidR="00884DFA" w:rsidRPr="00884DFA">
        <w:t>Particular Rights—Fourteenth Amendment—Pretrial Detainee’s</w:t>
      </w:r>
      <w:bookmarkEnd w:id="162"/>
      <w:r w:rsidR="00884DFA" w:rsidRPr="00884DFA">
        <w:t xml:space="preserve"> </w:t>
      </w:r>
    </w:p>
    <w:p w14:paraId="11903E78" w14:textId="52E8E2F8" w:rsidR="00AE2059" w:rsidRDefault="00884DFA" w:rsidP="007B75B7">
      <w:pPr>
        <w:pStyle w:val="Heading2"/>
      </w:pPr>
      <w:bookmarkStart w:id="163" w:name="_Toc117512453"/>
      <w:r w:rsidRPr="00884DFA">
        <w:t>Claim Re Conditions of Confinement/Medical Care</w:t>
      </w:r>
      <w:bookmarkEnd w:id="163"/>
    </w:p>
    <w:p w14:paraId="248BABE0" w14:textId="77777777" w:rsidR="00203C7D" w:rsidRPr="00203C7D" w:rsidRDefault="006A4CD7" w:rsidP="00203C7D">
      <w:pPr>
        <w:autoSpaceDE w:val="0"/>
        <w:autoSpaceDN w:val="0"/>
        <w:adjustRightInd w:val="0"/>
        <w:rPr>
          <w:rFonts w:cs="Times New Roman"/>
          <w:szCs w:val="24"/>
        </w:rPr>
      </w:pPr>
      <w:r w:rsidRPr="00240C44">
        <w:cr/>
      </w:r>
      <w:r w:rsidR="00AE2059" w:rsidRPr="00AE2059">
        <w:tab/>
      </w:r>
      <w:bookmarkStart w:id="164" w:name="_Hlk86420009"/>
      <w:r w:rsidR="00203C7D" w:rsidRPr="00203C7D">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1D4D7F5A" w14:textId="77777777" w:rsidR="00203C7D" w:rsidRPr="00203C7D" w:rsidRDefault="00203C7D" w:rsidP="00203C7D">
      <w:pPr>
        <w:autoSpaceDE w:val="0"/>
        <w:autoSpaceDN w:val="0"/>
        <w:adjustRightInd w:val="0"/>
        <w:rPr>
          <w:rFonts w:cs="Times New Roman"/>
          <w:szCs w:val="24"/>
        </w:rPr>
      </w:pPr>
    </w:p>
    <w:p w14:paraId="411B6468"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To prevail on this claim, the plaintiff has the burden of proving each of the following elements by a preponderance of the evidence:</w:t>
      </w:r>
    </w:p>
    <w:p w14:paraId="52E7B2E9" w14:textId="77777777" w:rsidR="00203C7D" w:rsidRPr="00203C7D" w:rsidRDefault="00203C7D" w:rsidP="00203C7D">
      <w:pPr>
        <w:autoSpaceDE w:val="0"/>
        <w:autoSpaceDN w:val="0"/>
        <w:adjustRightInd w:val="0"/>
        <w:rPr>
          <w:rFonts w:cs="Times New Roman"/>
          <w:szCs w:val="24"/>
        </w:rPr>
      </w:pPr>
    </w:p>
    <w:p w14:paraId="1DC77947"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1. </w:t>
      </w:r>
      <w:r w:rsidRPr="00203C7D">
        <w:rPr>
          <w:rFonts w:cs="Times New Roman"/>
          <w:szCs w:val="24"/>
        </w:rPr>
        <w:tab/>
        <w:t>The defendant made an intentional decision regarding [the conditions under which the plaintiff was confined] [the denial of needed medical care];</w:t>
      </w:r>
    </w:p>
    <w:p w14:paraId="08844A19" w14:textId="77777777" w:rsidR="00203C7D" w:rsidRPr="00203C7D" w:rsidRDefault="00203C7D" w:rsidP="00203C7D">
      <w:pPr>
        <w:autoSpaceDE w:val="0"/>
        <w:autoSpaceDN w:val="0"/>
        <w:adjustRightInd w:val="0"/>
        <w:rPr>
          <w:rFonts w:cs="Times New Roman"/>
          <w:szCs w:val="24"/>
        </w:rPr>
      </w:pPr>
    </w:p>
    <w:p w14:paraId="561B687D"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2. </w:t>
      </w:r>
      <w:r w:rsidRPr="00203C7D">
        <w:rPr>
          <w:rFonts w:cs="Times New Roman"/>
          <w:szCs w:val="24"/>
        </w:rPr>
        <w:tab/>
        <w:t>The [conditions of confinement] [denial of needed medical care] put the plaintiff at substantial risk of suffering serious harm;</w:t>
      </w:r>
    </w:p>
    <w:p w14:paraId="74846138" w14:textId="77777777" w:rsidR="00203C7D" w:rsidRPr="00203C7D" w:rsidRDefault="00203C7D" w:rsidP="00203C7D">
      <w:pPr>
        <w:autoSpaceDE w:val="0"/>
        <w:autoSpaceDN w:val="0"/>
        <w:adjustRightInd w:val="0"/>
        <w:rPr>
          <w:rFonts w:cs="Times New Roman"/>
          <w:szCs w:val="24"/>
        </w:rPr>
      </w:pPr>
    </w:p>
    <w:p w14:paraId="15928B12"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3. </w:t>
      </w:r>
      <w:r w:rsidRPr="00203C7D">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31EDF068" w14:textId="77777777" w:rsidR="00203C7D" w:rsidRPr="00203C7D" w:rsidRDefault="00203C7D" w:rsidP="00203C7D">
      <w:pPr>
        <w:autoSpaceDE w:val="0"/>
        <w:autoSpaceDN w:val="0"/>
        <w:adjustRightInd w:val="0"/>
        <w:rPr>
          <w:rFonts w:cs="Times New Roman"/>
          <w:szCs w:val="24"/>
        </w:rPr>
      </w:pPr>
    </w:p>
    <w:p w14:paraId="102C8878" w14:textId="77777777" w:rsidR="00203C7D" w:rsidRPr="00203C7D" w:rsidRDefault="00203C7D" w:rsidP="00203C7D">
      <w:pPr>
        <w:tabs>
          <w:tab w:val="left" w:pos="720"/>
          <w:tab w:val="left" w:pos="1440"/>
        </w:tabs>
        <w:autoSpaceDE w:val="0"/>
        <w:autoSpaceDN w:val="0"/>
        <w:adjustRightInd w:val="0"/>
        <w:ind w:left="1440" w:hanging="1440"/>
        <w:rPr>
          <w:rFonts w:cs="Times New Roman"/>
          <w:szCs w:val="24"/>
        </w:rPr>
      </w:pPr>
      <w:r w:rsidRPr="00203C7D">
        <w:rPr>
          <w:rFonts w:cs="Times New Roman"/>
          <w:szCs w:val="24"/>
        </w:rPr>
        <w:tab/>
        <w:t xml:space="preserve">4. </w:t>
      </w:r>
      <w:r w:rsidRPr="00203C7D">
        <w:rPr>
          <w:rFonts w:cs="Times New Roman"/>
          <w:szCs w:val="24"/>
        </w:rPr>
        <w:tab/>
        <w:t>By not taking such measures the defendant caused the plaintiff’s injuries.</w:t>
      </w:r>
    </w:p>
    <w:p w14:paraId="177C3066" w14:textId="77777777" w:rsidR="00203C7D" w:rsidRPr="00203C7D" w:rsidRDefault="00203C7D" w:rsidP="00203C7D">
      <w:pPr>
        <w:autoSpaceDE w:val="0"/>
        <w:autoSpaceDN w:val="0"/>
        <w:adjustRightInd w:val="0"/>
        <w:rPr>
          <w:rFonts w:cs="Times New Roman"/>
          <w:szCs w:val="24"/>
        </w:rPr>
      </w:pPr>
    </w:p>
    <w:p w14:paraId="12597380"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With respect to the third element, the defendant’s conduct must be objectively unreasonable.</w:t>
      </w:r>
    </w:p>
    <w:p w14:paraId="0CB0C30E" w14:textId="77777777" w:rsidR="00203C7D" w:rsidRPr="00203C7D" w:rsidRDefault="00203C7D" w:rsidP="00203C7D">
      <w:pPr>
        <w:autoSpaceDE w:val="0"/>
        <w:autoSpaceDN w:val="0"/>
        <w:adjustRightInd w:val="0"/>
        <w:rPr>
          <w:rFonts w:cs="Times New Roman"/>
          <w:szCs w:val="24"/>
        </w:rPr>
      </w:pPr>
    </w:p>
    <w:p w14:paraId="7437A37C" w14:textId="77777777" w:rsidR="00203C7D" w:rsidRPr="00203C7D" w:rsidRDefault="00203C7D" w:rsidP="00203C7D">
      <w:pPr>
        <w:autoSpaceDE w:val="0"/>
        <w:autoSpaceDN w:val="0"/>
        <w:adjustRightInd w:val="0"/>
        <w:jc w:val="center"/>
        <w:rPr>
          <w:rFonts w:cs="Times New Roman"/>
          <w:szCs w:val="24"/>
        </w:rPr>
      </w:pPr>
      <w:r w:rsidRPr="00203C7D">
        <w:rPr>
          <w:rFonts w:cs="Times New Roman"/>
          <w:b/>
          <w:bCs/>
          <w:szCs w:val="24"/>
        </w:rPr>
        <w:t>Comment</w:t>
      </w:r>
    </w:p>
    <w:p w14:paraId="1587BD1E" w14:textId="77777777" w:rsidR="00203C7D" w:rsidRPr="00203C7D" w:rsidRDefault="00203C7D" w:rsidP="00203C7D">
      <w:pPr>
        <w:autoSpaceDE w:val="0"/>
        <w:autoSpaceDN w:val="0"/>
        <w:adjustRightInd w:val="0"/>
        <w:rPr>
          <w:rFonts w:cs="Times New Roman"/>
          <w:szCs w:val="24"/>
        </w:rPr>
      </w:pPr>
    </w:p>
    <w:p w14:paraId="136EDF20"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In </w:t>
      </w:r>
      <w:r w:rsidRPr="00203C7D">
        <w:rPr>
          <w:rFonts w:cs="Times New Roman"/>
          <w:i/>
          <w:iCs/>
          <w:szCs w:val="24"/>
        </w:rPr>
        <w:t xml:space="preserve">Castro v. </w:t>
      </w:r>
      <w:proofErr w:type="spellStart"/>
      <w:r w:rsidRPr="00203C7D">
        <w:rPr>
          <w:rFonts w:cs="Times New Roman"/>
          <w:i/>
          <w:iCs/>
          <w:szCs w:val="24"/>
        </w:rPr>
        <w:t>Cnty</w:t>
      </w:r>
      <w:proofErr w:type="spellEnd"/>
      <w:r w:rsidRPr="00203C7D">
        <w:rPr>
          <w:rFonts w:cs="Times New Roman"/>
          <w:i/>
          <w:iCs/>
          <w:szCs w:val="24"/>
        </w:rPr>
        <w:t>. of Los Angeles</w:t>
      </w:r>
      <w:r w:rsidRPr="00203C7D">
        <w:rPr>
          <w:rFonts w:cs="Times New Roman"/>
          <w:szCs w:val="24"/>
        </w:rPr>
        <w:t>, 833 F.3d 1060, 1070 (9th Cir. 2016) (</w:t>
      </w:r>
      <w:proofErr w:type="spellStart"/>
      <w:r w:rsidRPr="00203C7D">
        <w:rPr>
          <w:rFonts w:cs="Times New Roman"/>
          <w:szCs w:val="24"/>
        </w:rPr>
        <w:t>en</w:t>
      </w:r>
      <w:proofErr w:type="spellEnd"/>
      <w:r w:rsidRPr="00203C7D">
        <w:rPr>
          <w:rFonts w:cs="Times New Roman"/>
          <w:szCs w:val="24"/>
        </w:rPr>
        <w:t xml:space="preserve"> banc), the Ninth Circuit overruled</w:t>
      </w:r>
      <w:r w:rsidRPr="00203C7D">
        <w:rPr>
          <w:rFonts w:cs="Times New Roman"/>
          <w:i/>
          <w:iCs/>
          <w:szCs w:val="24"/>
        </w:rPr>
        <w:t xml:space="preserve"> </w:t>
      </w:r>
      <w:proofErr w:type="spellStart"/>
      <w:r w:rsidRPr="00203C7D">
        <w:rPr>
          <w:rFonts w:cs="Times New Roman"/>
          <w:i/>
          <w:iCs/>
          <w:szCs w:val="24"/>
        </w:rPr>
        <w:t>Clouthier</w:t>
      </w:r>
      <w:proofErr w:type="spellEnd"/>
      <w:r w:rsidRPr="00203C7D">
        <w:rPr>
          <w:rFonts w:cs="Times New Roman"/>
          <w:i/>
          <w:iCs/>
          <w:szCs w:val="24"/>
        </w:rPr>
        <w:t xml:space="preserve"> v. County. of Contra Costa</w:t>
      </w:r>
      <w:r w:rsidRPr="00203C7D">
        <w:rPr>
          <w:rFonts w:cs="Times New Roman"/>
          <w:szCs w:val="24"/>
        </w:rPr>
        <w:t xml:space="preserve">, 591 F.3d 1232, 1253-54 (9th Cir. 2010), “to the extent that it identified a single deliberate indifference standard for all § 1983 claims . . . .”  </w:t>
      </w:r>
      <w:r w:rsidRPr="00203C7D">
        <w:rPr>
          <w:rFonts w:cs="Times New Roman"/>
          <w:i/>
          <w:iCs/>
          <w:szCs w:val="24"/>
        </w:rPr>
        <w:t>Castro</w:t>
      </w:r>
      <w:r w:rsidRPr="00203C7D">
        <w:rPr>
          <w:rFonts w:cs="Times New Roman"/>
          <w:szCs w:val="24"/>
        </w:rPr>
        <w:t xml:space="preserve"> at 1070.  The Ninth Circuit in </w:t>
      </w:r>
      <w:r w:rsidRPr="00203C7D">
        <w:rPr>
          <w:rFonts w:cs="Times New Roman"/>
          <w:i/>
          <w:iCs/>
          <w:szCs w:val="24"/>
        </w:rPr>
        <w:t xml:space="preserve">Castro </w:t>
      </w:r>
      <w:r w:rsidRPr="00203C7D">
        <w:rPr>
          <w:rFonts w:cs="Times New Roman"/>
          <w:szCs w:val="24"/>
        </w:rPr>
        <w:t xml:space="preserve">also approved a jury instruction for a pretrial detainee’s claim of failure to protect.  </w:t>
      </w:r>
      <w:r w:rsidRPr="00203C7D">
        <w:rPr>
          <w:rFonts w:cs="Times New Roman"/>
          <w:i/>
          <w:iCs/>
          <w:szCs w:val="24"/>
        </w:rPr>
        <w:t>See</w:t>
      </w:r>
      <w:r w:rsidRPr="00203C7D">
        <w:rPr>
          <w:rFonts w:cs="Times New Roman"/>
          <w:szCs w:val="24"/>
        </w:rPr>
        <w:t xml:space="preserve"> Instruction 9.31 (Particular Rights—Fourteenth Amendment—Pretrial Detainee’s Claim of Failure to Protect). </w:t>
      </w:r>
    </w:p>
    <w:p w14:paraId="1F727D15" w14:textId="77777777" w:rsidR="00203C7D" w:rsidRPr="00203C7D" w:rsidRDefault="00203C7D" w:rsidP="00203C7D">
      <w:pPr>
        <w:autoSpaceDE w:val="0"/>
        <w:autoSpaceDN w:val="0"/>
        <w:adjustRightInd w:val="0"/>
        <w:rPr>
          <w:rFonts w:cs="Times New Roman"/>
          <w:szCs w:val="24"/>
        </w:rPr>
      </w:pPr>
    </w:p>
    <w:p w14:paraId="063559C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 </w:t>
      </w:r>
      <w:r w:rsidRPr="00203C7D">
        <w:rPr>
          <w:rFonts w:cs="Times New Roman"/>
          <w:i/>
          <w:iCs/>
          <w:szCs w:val="24"/>
        </w:rPr>
        <w:t xml:space="preserve">See also Gordon v. </w:t>
      </w:r>
      <w:proofErr w:type="spellStart"/>
      <w:r w:rsidRPr="00203C7D">
        <w:rPr>
          <w:rFonts w:cs="Times New Roman"/>
          <w:i/>
          <w:iCs/>
          <w:szCs w:val="24"/>
        </w:rPr>
        <w:t>Cnty</w:t>
      </w:r>
      <w:proofErr w:type="spellEnd"/>
      <w:r w:rsidRPr="00203C7D">
        <w:rPr>
          <w:rFonts w:cs="Times New Roman"/>
          <w:i/>
          <w:iCs/>
          <w:szCs w:val="24"/>
        </w:rPr>
        <w:t>. of Orange</w:t>
      </w:r>
      <w:r w:rsidRPr="00203C7D">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203C7D">
        <w:rPr>
          <w:rFonts w:cs="Times New Roman"/>
          <w:i/>
          <w:iCs/>
          <w:szCs w:val="24"/>
        </w:rPr>
        <w:t>Castro</w:t>
      </w:r>
      <w:r w:rsidRPr="00203C7D">
        <w:rPr>
          <w:rFonts w:cs="Times New Roman"/>
          <w:szCs w:val="24"/>
        </w:rPr>
        <w:t xml:space="preserve">); </w:t>
      </w:r>
      <w:r w:rsidRPr="00203C7D">
        <w:rPr>
          <w:rFonts w:cs="Times New Roman"/>
          <w:i/>
          <w:iCs/>
          <w:szCs w:val="24"/>
        </w:rPr>
        <w:t xml:space="preserve">Sandoval v. </w:t>
      </w:r>
      <w:proofErr w:type="spellStart"/>
      <w:r w:rsidRPr="00203C7D">
        <w:rPr>
          <w:rFonts w:cs="Times New Roman"/>
          <w:i/>
          <w:iCs/>
          <w:szCs w:val="24"/>
        </w:rPr>
        <w:t>Cnty</w:t>
      </w:r>
      <w:proofErr w:type="spellEnd"/>
      <w:r w:rsidRPr="00203C7D">
        <w:rPr>
          <w:rFonts w:cs="Times New Roman"/>
          <w:i/>
          <w:iCs/>
          <w:szCs w:val="24"/>
        </w:rPr>
        <w:t>. of San Diego</w:t>
      </w:r>
      <w:r w:rsidRPr="00203C7D">
        <w:rPr>
          <w:rFonts w:cs="Times New Roman"/>
          <w:szCs w:val="24"/>
        </w:rPr>
        <w:t xml:space="preserve">, 985 F.3d 657 (9th Cir. 2021) (applying </w:t>
      </w:r>
      <w:r w:rsidRPr="00203C7D">
        <w:rPr>
          <w:rFonts w:cs="Times New Roman"/>
          <w:i/>
          <w:iCs/>
          <w:szCs w:val="24"/>
        </w:rPr>
        <w:t>Gordon</w:t>
      </w:r>
      <w:r w:rsidRPr="00203C7D">
        <w:rPr>
          <w:rFonts w:cs="Times New Roman"/>
          <w:szCs w:val="24"/>
        </w:rPr>
        <w:t xml:space="preserve"> to nurses’ alleged failure to provide proper care to pretrial detainee); </w:t>
      </w:r>
      <w:r w:rsidRPr="00203C7D">
        <w:rPr>
          <w:rFonts w:cs="Times New Roman"/>
          <w:i/>
          <w:iCs/>
          <w:szCs w:val="24"/>
        </w:rPr>
        <w:t xml:space="preserve">Gordon v. </w:t>
      </w:r>
      <w:proofErr w:type="spellStart"/>
      <w:r w:rsidRPr="00203C7D">
        <w:rPr>
          <w:rFonts w:cs="Times New Roman"/>
          <w:i/>
          <w:iCs/>
          <w:szCs w:val="24"/>
        </w:rPr>
        <w:t>Cnty</w:t>
      </w:r>
      <w:proofErr w:type="spellEnd"/>
      <w:r w:rsidRPr="00203C7D">
        <w:rPr>
          <w:rFonts w:cs="Times New Roman"/>
          <w:i/>
          <w:iCs/>
          <w:szCs w:val="24"/>
        </w:rPr>
        <w:t>. of Orange</w:t>
      </w:r>
      <w:r w:rsidRPr="00203C7D">
        <w:rPr>
          <w:rFonts w:cs="Times New Roman"/>
          <w:szCs w:val="24"/>
        </w:rPr>
        <w:t>, 6 F.4th 961 (</w:t>
      </w:r>
      <w:r w:rsidRPr="00203C7D">
        <w:rPr>
          <w:rFonts w:cs="Times New Roman"/>
          <w:bCs/>
          <w:szCs w:val="24"/>
        </w:rPr>
        <w:t>9th Cir. 2021)</w:t>
      </w:r>
      <w:r w:rsidRPr="00203C7D">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203C7D">
        <w:rPr>
          <w:rFonts w:cs="Times New Roman"/>
          <w:i/>
          <w:iCs/>
          <w:szCs w:val="24"/>
        </w:rPr>
        <w:t>Gordon</w:t>
      </w:r>
      <w:r w:rsidRPr="00203C7D">
        <w:rPr>
          <w:rFonts w:cs="Times New Roman"/>
          <w:szCs w:val="24"/>
        </w:rPr>
        <w:t xml:space="preserve">, 6 F.4th at 973.  While there is “no § 1983 liability for simply acting contrary to prison policy,” the standardized medical procedures of a prison can “help to underscore” that prison officials “had access to facts from which a reasonable person would </w:t>
      </w:r>
      <w:r w:rsidRPr="00203C7D">
        <w:rPr>
          <w:rFonts w:cs="Times New Roman"/>
          <w:szCs w:val="24"/>
        </w:rPr>
        <w:lastRenderedPageBreak/>
        <w:t>infer” that a particular patient “was at serious medical risk.”</w:t>
      </w:r>
      <w:r w:rsidRPr="00203C7D">
        <w:rPr>
          <w:rFonts w:cs="Times New Roman"/>
          <w:i/>
          <w:iCs/>
          <w:szCs w:val="24"/>
        </w:rPr>
        <w:t xml:space="preserve">  Russell v. </w:t>
      </w:r>
      <w:proofErr w:type="spellStart"/>
      <w:r w:rsidRPr="00203C7D">
        <w:rPr>
          <w:rFonts w:cs="Times New Roman"/>
          <w:i/>
          <w:iCs/>
          <w:szCs w:val="24"/>
        </w:rPr>
        <w:t>Lumitap</w:t>
      </w:r>
      <w:proofErr w:type="spellEnd"/>
      <w:r w:rsidRPr="00203C7D">
        <w:rPr>
          <w:rFonts w:cs="Times New Roman"/>
          <w:szCs w:val="24"/>
        </w:rPr>
        <w:t>, 31 F.4th 729, 742 (9th Cir. 2022).</w:t>
      </w:r>
    </w:p>
    <w:p w14:paraId="47C22E9D" w14:textId="77777777" w:rsidR="00203C7D" w:rsidRPr="00203C7D" w:rsidRDefault="00203C7D" w:rsidP="00203C7D">
      <w:pPr>
        <w:autoSpaceDE w:val="0"/>
        <w:autoSpaceDN w:val="0"/>
        <w:adjustRightInd w:val="0"/>
        <w:rPr>
          <w:rFonts w:cs="Times New Roman"/>
          <w:szCs w:val="24"/>
        </w:rPr>
      </w:pPr>
    </w:p>
    <w:p w14:paraId="7F831885" w14:textId="77777777" w:rsidR="00203C7D" w:rsidRPr="00203C7D" w:rsidRDefault="00203C7D" w:rsidP="00203C7D">
      <w:pPr>
        <w:spacing w:after="160" w:line="259" w:lineRule="auto"/>
        <w:jc w:val="right"/>
        <w:rPr>
          <w:rFonts w:asciiTheme="minorHAnsi" w:hAnsiTheme="minorHAnsi"/>
          <w:sz w:val="22"/>
        </w:rPr>
      </w:pPr>
      <w:r w:rsidRPr="00203C7D">
        <w:rPr>
          <w:rFonts w:cs="Times New Roman"/>
          <w:i/>
          <w:iCs/>
          <w:szCs w:val="24"/>
        </w:rPr>
        <w:t xml:space="preserve">Revised </w:t>
      </w:r>
      <w:bookmarkEnd w:id="164"/>
      <w:r w:rsidRPr="00203C7D">
        <w:rPr>
          <w:rFonts w:cs="Times New Roman"/>
          <w:i/>
          <w:iCs/>
          <w:szCs w:val="24"/>
        </w:rPr>
        <w:t>June 2022</w:t>
      </w:r>
    </w:p>
    <w:p w14:paraId="30A53CD6" w14:textId="63509E33" w:rsidR="00203C7D" w:rsidRPr="00060129" w:rsidRDefault="00203C7D" w:rsidP="00203C7D">
      <w:pPr>
        <w:autoSpaceDE w:val="0"/>
        <w:autoSpaceDN w:val="0"/>
        <w:adjustRightInd w:val="0"/>
      </w:pPr>
    </w:p>
    <w:p w14:paraId="36DE539A" w14:textId="605B0615" w:rsidR="006A4CD7" w:rsidRPr="000A7855" w:rsidRDefault="006A4CD7" w:rsidP="000A7855">
      <w:pPr>
        <w:spacing w:after="160" w:line="259" w:lineRule="auto"/>
        <w:jc w:val="right"/>
        <w:rPr>
          <w:rFonts w:asciiTheme="minorHAnsi" w:hAnsiTheme="minorHAnsi"/>
          <w:sz w:val="22"/>
        </w:rPr>
      </w:pPr>
      <w:r w:rsidRPr="00060129">
        <w:br w:type="page"/>
      </w:r>
    </w:p>
    <w:p w14:paraId="140D5F49" w14:textId="3446B372" w:rsidR="00203C7D" w:rsidRDefault="00AE2059" w:rsidP="007B75B7">
      <w:pPr>
        <w:pStyle w:val="Heading2"/>
      </w:pPr>
      <w:bookmarkStart w:id="165" w:name="_Toc117512454"/>
      <w:r w:rsidRPr="00AE2059">
        <w:lastRenderedPageBreak/>
        <w:t xml:space="preserve">9.31 </w:t>
      </w:r>
      <w:r w:rsidR="0020002F" w:rsidRPr="0020002F">
        <w:t>Particular Rights—Fourteenth Amendment—Pretrial</w:t>
      </w:r>
      <w:bookmarkEnd w:id="165"/>
      <w:r w:rsidR="0020002F" w:rsidRPr="0020002F">
        <w:t xml:space="preserve"> </w:t>
      </w:r>
    </w:p>
    <w:p w14:paraId="0A39FE76" w14:textId="74A3E304" w:rsidR="00AE2059" w:rsidRDefault="0020002F" w:rsidP="007B75B7">
      <w:pPr>
        <w:pStyle w:val="Heading2"/>
      </w:pPr>
      <w:bookmarkStart w:id="166" w:name="_Toc117512455"/>
      <w:r w:rsidRPr="0020002F">
        <w:t>Detainee’s Claim of Failure to Protect</w:t>
      </w:r>
      <w:bookmarkEnd w:id="166"/>
    </w:p>
    <w:p w14:paraId="6DE39B3A" w14:textId="77777777" w:rsidR="00AE2059" w:rsidRDefault="00AE2059" w:rsidP="00AE2059"/>
    <w:p w14:paraId="274DB536" w14:textId="77777777" w:rsidR="00305894" w:rsidRPr="00305894" w:rsidRDefault="00305894" w:rsidP="00305894">
      <w:r w:rsidRPr="00305894">
        <w:tab/>
        <w:t xml:space="preserve">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  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6B2DAEC8" w14:textId="77777777" w:rsidR="00305894" w:rsidRPr="00305894" w:rsidRDefault="00305894" w:rsidP="00305894"/>
    <w:p w14:paraId="52972A83" w14:textId="77777777" w:rsidR="00305894" w:rsidRPr="00305894" w:rsidRDefault="00305894" w:rsidP="00305894">
      <w:pPr>
        <w:ind w:left="1440" w:hanging="720"/>
      </w:pPr>
      <w:r w:rsidRPr="00305894">
        <w:t xml:space="preserve">1. </w:t>
      </w:r>
      <w:r w:rsidRPr="00305894">
        <w:tab/>
        <w:t xml:space="preserve">The defendant made an intentional decision regarding the conditions under which the plaintiff was confined;  </w:t>
      </w:r>
    </w:p>
    <w:p w14:paraId="0C46C72C" w14:textId="77777777" w:rsidR="00305894" w:rsidRPr="00305894" w:rsidRDefault="00305894" w:rsidP="00305894">
      <w:pPr>
        <w:ind w:left="1440" w:hanging="720"/>
      </w:pPr>
    </w:p>
    <w:p w14:paraId="1253A5D3" w14:textId="77777777" w:rsidR="00305894" w:rsidRPr="00305894" w:rsidRDefault="00305894" w:rsidP="00305894">
      <w:pPr>
        <w:ind w:left="1440" w:hanging="720"/>
      </w:pPr>
      <w:r w:rsidRPr="00305894">
        <w:t xml:space="preserve">2. </w:t>
      </w:r>
      <w:r w:rsidRPr="00305894">
        <w:tab/>
        <w:t xml:space="preserve">Those conditions put the plaintiff at substantial risk of suffering serious harm;  </w:t>
      </w:r>
    </w:p>
    <w:p w14:paraId="2E0D4407" w14:textId="77777777" w:rsidR="00305894" w:rsidRPr="00305894" w:rsidRDefault="00305894" w:rsidP="00305894">
      <w:pPr>
        <w:ind w:left="1440" w:hanging="720"/>
      </w:pPr>
    </w:p>
    <w:p w14:paraId="4DF7991C" w14:textId="77777777" w:rsidR="00305894" w:rsidRPr="00305894" w:rsidRDefault="00305894" w:rsidP="00305894">
      <w:pPr>
        <w:ind w:left="1440" w:hanging="720"/>
      </w:pPr>
      <w:r w:rsidRPr="00305894">
        <w:t xml:space="preserve">3. </w:t>
      </w:r>
      <w:r w:rsidRPr="00305894">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2EB99579" w14:textId="77777777" w:rsidR="00305894" w:rsidRPr="00305894" w:rsidRDefault="00305894" w:rsidP="00305894">
      <w:pPr>
        <w:ind w:left="1440" w:hanging="720"/>
      </w:pPr>
    </w:p>
    <w:p w14:paraId="20A815AE" w14:textId="77777777" w:rsidR="00305894" w:rsidRPr="00305894" w:rsidRDefault="00305894" w:rsidP="00305894">
      <w:pPr>
        <w:ind w:left="1440" w:hanging="720"/>
      </w:pPr>
      <w:r w:rsidRPr="00305894">
        <w:t xml:space="preserve">4. </w:t>
      </w:r>
      <w:r w:rsidRPr="00305894">
        <w:tab/>
        <w:t xml:space="preserve">By not taking such measures, the defendant caused the plaintiff’s injuries.  </w:t>
      </w:r>
    </w:p>
    <w:p w14:paraId="6B547C11" w14:textId="77777777" w:rsidR="00305894" w:rsidRPr="00305894" w:rsidRDefault="00305894" w:rsidP="00305894"/>
    <w:p w14:paraId="2328796F" w14:textId="77777777" w:rsidR="00305894" w:rsidRPr="00305894" w:rsidRDefault="00305894" w:rsidP="00305894">
      <w:r w:rsidRPr="00305894">
        <w:tab/>
        <w:t xml:space="preserve">With respect to the third element, the defendant’s conduct must be objectively unreasonable.  </w:t>
      </w:r>
    </w:p>
    <w:p w14:paraId="62C76878" w14:textId="77777777" w:rsidR="00305894" w:rsidRPr="00305894" w:rsidRDefault="00305894" w:rsidP="00305894"/>
    <w:p w14:paraId="16FFB8EF" w14:textId="77777777" w:rsidR="00305894" w:rsidRPr="00305894" w:rsidRDefault="00305894" w:rsidP="00305894">
      <w:pPr>
        <w:jc w:val="center"/>
        <w:rPr>
          <w:b/>
          <w:bCs/>
        </w:rPr>
      </w:pPr>
      <w:r w:rsidRPr="00305894">
        <w:rPr>
          <w:b/>
          <w:bCs/>
        </w:rPr>
        <w:t>Comment</w:t>
      </w:r>
    </w:p>
    <w:p w14:paraId="6B666D88" w14:textId="77777777" w:rsidR="00305894" w:rsidRPr="00305894" w:rsidRDefault="00305894" w:rsidP="00305894"/>
    <w:p w14:paraId="5384E9E6" w14:textId="77777777" w:rsidR="00305894" w:rsidRPr="00305894" w:rsidRDefault="00305894" w:rsidP="00305894">
      <w:pPr>
        <w:spacing w:after="160"/>
        <w:ind w:firstLine="720"/>
        <w:jc w:val="both"/>
        <w:rPr>
          <w:rFonts w:cs="Times New Roman"/>
          <w:szCs w:val="24"/>
        </w:rPr>
      </w:pPr>
      <w:r w:rsidRPr="00305894">
        <w:rPr>
          <w:rFonts w:cs="Times New Roman"/>
          <w:i/>
          <w:iCs/>
        </w:rPr>
        <w:t>See Castro v. County of Los Angeles</w:t>
      </w:r>
      <w:r w:rsidRPr="00305894">
        <w:rPr>
          <w:rFonts w:cs="Times New Roman"/>
        </w:rPr>
        <w:t>, 833 F.3d. 1060 (9th Cir. 2016) (</w:t>
      </w:r>
      <w:proofErr w:type="spellStart"/>
      <w:r w:rsidRPr="00305894">
        <w:rPr>
          <w:rFonts w:cs="Times New Roman"/>
        </w:rPr>
        <w:t>en</w:t>
      </w:r>
      <w:proofErr w:type="spellEnd"/>
      <w:r w:rsidRPr="00305894">
        <w:rPr>
          <w:rFonts w:cs="Times New Roman"/>
        </w:rPr>
        <w:t xml:space="preserve"> banc).  </w:t>
      </w:r>
      <w:r w:rsidRPr="00305894">
        <w:rPr>
          <w:rFonts w:cs="Times New Roman"/>
          <w:szCs w:val="24"/>
        </w:rPr>
        <w:t xml:space="preserve">After the Supreme Court decided </w:t>
      </w:r>
      <w:r w:rsidRPr="00305894">
        <w:rPr>
          <w:rFonts w:cs="Times New Roman"/>
          <w:i/>
          <w:iCs/>
          <w:szCs w:val="24"/>
        </w:rPr>
        <w:t>Kingsley</w:t>
      </w:r>
      <w:r w:rsidRPr="00305894">
        <w:rPr>
          <w:rFonts w:cs="Times New Roman"/>
          <w:szCs w:val="24"/>
        </w:rPr>
        <w:t xml:space="preserve">, the Ninth Circuit decided </w:t>
      </w:r>
      <w:r w:rsidRPr="00305894">
        <w:rPr>
          <w:rFonts w:cs="Times New Roman"/>
          <w:i/>
          <w:iCs/>
          <w:szCs w:val="24"/>
        </w:rPr>
        <w:t>Castro v. County of Los Angeles</w:t>
      </w:r>
      <w:r w:rsidRPr="00305894">
        <w:rPr>
          <w:rFonts w:cs="Times New Roman"/>
          <w:szCs w:val="24"/>
        </w:rPr>
        <w:t>, 833 F.3d 1060 (9th Cir. 2016) (</w:t>
      </w:r>
      <w:proofErr w:type="spellStart"/>
      <w:r w:rsidRPr="00305894">
        <w:rPr>
          <w:rFonts w:cs="Times New Roman"/>
          <w:szCs w:val="24"/>
        </w:rPr>
        <w:t>en</w:t>
      </w:r>
      <w:proofErr w:type="spellEnd"/>
      <w:r w:rsidRPr="00305894">
        <w:rPr>
          <w:rFonts w:cs="Times New Roman"/>
          <w:szCs w:val="24"/>
        </w:rPr>
        <w:t xml:space="preserve"> banc).  In </w:t>
      </w:r>
      <w:r w:rsidRPr="00305894">
        <w:rPr>
          <w:rFonts w:cs="Times New Roman"/>
          <w:i/>
          <w:iCs/>
          <w:szCs w:val="24"/>
        </w:rPr>
        <w:t>Castro</w:t>
      </w:r>
      <w:r w:rsidRPr="00305894">
        <w:rPr>
          <w:rFonts w:cs="Times New Roman"/>
          <w:szCs w:val="24"/>
        </w:rPr>
        <w:t xml:space="preserve">, the Ninth Circuit held that Castro, who was injured by an inmate while detained in a sobering cell, "had a due process right to be free from violence from other inmates."  </w:t>
      </w:r>
      <w:r w:rsidRPr="00305894">
        <w:rPr>
          <w:rFonts w:cs="Times New Roman"/>
          <w:i/>
          <w:iCs/>
          <w:szCs w:val="24"/>
        </w:rPr>
        <w:t>Id.</w:t>
      </w:r>
      <w:r w:rsidRPr="00305894">
        <w:rPr>
          <w:rFonts w:cs="Times New Roman"/>
          <w:szCs w:val="24"/>
        </w:rPr>
        <w:t xml:space="preserve"> at 1067.  The Ninth Circuit focused its discussion on the Fourteenth Amendment, but "neither Castro nor the majority claim[ed] that any other constitutional right [was] at issue."  </w:t>
      </w:r>
      <w:r w:rsidRPr="00305894">
        <w:rPr>
          <w:rFonts w:cs="Times New Roman"/>
          <w:i/>
          <w:iCs/>
          <w:szCs w:val="24"/>
        </w:rPr>
        <w:t>Id</w:t>
      </w:r>
      <w:r w:rsidRPr="00305894">
        <w:rPr>
          <w:rFonts w:cs="Times New Roman"/>
          <w:szCs w:val="24"/>
        </w:rPr>
        <w:t xml:space="preserve">. at 1067-70, 1084 (Ikuta, J., dissenting).  Analogizing to the Supreme Court’s excessive force analysis in </w:t>
      </w:r>
      <w:r w:rsidRPr="00305894">
        <w:rPr>
          <w:rFonts w:cs="Times New Roman"/>
          <w:i/>
          <w:iCs/>
          <w:szCs w:val="24"/>
        </w:rPr>
        <w:t>Kingsley</w:t>
      </w:r>
      <w:r w:rsidRPr="00305894">
        <w:rPr>
          <w:rFonts w:cs="Times New Roman"/>
          <w:szCs w:val="24"/>
        </w:rPr>
        <w:t xml:space="preserve">, the Ninth Circuit approved the following elements for a pretrial detainee’s failure-to-protect claim under the Fourteenth Amendment: </w:t>
      </w:r>
    </w:p>
    <w:p w14:paraId="2D0E012F" w14:textId="77777777" w:rsidR="00305894" w:rsidRPr="00305894" w:rsidRDefault="00305894" w:rsidP="00305894">
      <w:pPr>
        <w:spacing w:after="160"/>
        <w:ind w:left="720" w:right="720"/>
        <w:jc w:val="both"/>
        <w:rPr>
          <w:rFonts w:cs="Times New Roman"/>
          <w:szCs w:val="24"/>
        </w:rPr>
      </w:pPr>
      <w:r w:rsidRPr="00305894">
        <w:rPr>
          <w:rFonts w:cs="Times New Roman"/>
          <w:szCs w:val="24"/>
        </w:rPr>
        <w:t xml:space="preserve">(1)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 </w:t>
      </w:r>
    </w:p>
    <w:p w14:paraId="4C1E10C5" w14:textId="7C779A30" w:rsidR="00305894" w:rsidRPr="00305894" w:rsidRDefault="00305894" w:rsidP="00305894">
      <w:pPr>
        <w:rPr>
          <w:rFonts w:cs="Times New Roman"/>
        </w:rPr>
      </w:pPr>
      <w:r w:rsidRPr="00305894">
        <w:rPr>
          <w:rFonts w:cs="Times New Roman"/>
          <w:i/>
          <w:iCs/>
          <w:szCs w:val="24"/>
        </w:rPr>
        <w:t>Id.</w:t>
      </w:r>
      <w:r w:rsidRPr="00305894">
        <w:rPr>
          <w:rFonts w:cs="Times New Roman"/>
          <w:szCs w:val="24"/>
        </w:rPr>
        <w:t xml:space="preserve"> at 1071.</w:t>
      </w:r>
    </w:p>
    <w:p w14:paraId="6C2224E6" w14:textId="7CD1F5FF" w:rsidR="00305894" w:rsidRPr="00305894" w:rsidRDefault="00305894" w:rsidP="00305894">
      <w:pPr>
        <w:jc w:val="right"/>
        <w:rPr>
          <w:i/>
          <w:iCs/>
        </w:rPr>
      </w:pPr>
      <w:r w:rsidRPr="00305894">
        <w:rPr>
          <w:i/>
          <w:iCs/>
        </w:rPr>
        <w:t>Revised Mar. 2022</w:t>
      </w:r>
    </w:p>
    <w:p w14:paraId="3E02CFCC" w14:textId="580B6FC6" w:rsidR="00203C7D" w:rsidRDefault="006A4CD7" w:rsidP="007B75B7">
      <w:pPr>
        <w:pStyle w:val="Heading2"/>
      </w:pPr>
      <w:bookmarkStart w:id="167" w:name="_Toc117512456"/>
      <w:r w:rsidRPr="006A4CD7">
        <w:lastRenderedPageBreak/>
        <w:t xml:space="preserve">9.32 </w:t>
      </w:r>
      <w:r w:rsidR="0020002F" w:rsidRPr="0020002F">
        <w:t>Particular Rights—Fourteenth Amendment—Due Process—</w:t>
      </w:r>
      <w:bookmarkEnd w:id="167"/>
    </w:p>
    <w:p w14:paraId="3216432D" w14:textId="7B1BF705" w:rsidR="006A4CD7" w:rsidRPr="006A4CD7" w:rsidRDefault="0020002F" w:rsidP="007B75B7">
      <w:pPr>
        <w:pStyle w:val="Heading2"/>
      </w:pPr>
      <w:bookmarkStart w:id="168" w:name="_Toc117512457"/>
      <w:r w:rsidRPr="0020002F">
        <w:t>Interference with Parent/Child Relationship</w:t>
      </w:r>
      <w:bookmarkEnd w:id="168"/>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0A59CE0F" w14:textId="77777777" w:rsidR="00203C7D" w:rsidRPr="00203C7D" w:rsidRDefault="006A4CD7" w:rsidP="00203C7D">
      <w:pPr>
        <w:pStyle w:val="ListParagraph"/>
        <w:numPr>
          <w:ilvl w:val="0"/>
          <w:numId w:val="14"/>
        </w:numPr>
        <w:tabs>
          <w:tab w:val="left" w:pos="720"/>
        </w:tabs>
        <w:autoSpaceDE w:val="0"/>
        <w:autoSpaceDN w:val="0"/>
        <w:adjustRightInd w:val="0"/>
        <w:rPr>
          <w:rFonts w:cs="Times New Roman"/>
          <w:b/>
          <w:bCs/>
          <w:szCs w:val="24"/>
        </w:rPr>
      </w:pPr>
      <w:r w:rsidRPr="006A4CD7">
        <w:rPr>
          <w:rFonts w:cs="Times New Roman"/>
          <w:szCs w:val="24"/>
        </w:rPr>
        <w:tab/>
      </w:r>
      <w:r w:rsidR="00203C7D" w:rsidRPr="00203C7D">
        <w:rPr>
          <w:rFonts w:cs="Times New Roman"/>
          <w:b/>
          <w:bCs/>
          <w:szCs w:val="24"/>
        </w:rPr>
        <w:t>Introduction</w:t>
      </w:r>
    </w:p>
    <w:p w14:paraId="3242D810" w14:textId="77777777" w:rsidR="00203C7D" w:rsidRPr="00203C7D" w:rsidRDefault="00203C7D" w:rsidP="00203C7D">
      <w:pPr>
        <w:tabs>
          <w:tab w:val="left" w:pos="720"/>
        </w:tabs>
        <w:autoSpaceDE w:val="0"/>
        <w:autoSpaceDN w:val="0"/>
        <w:adjustRightInd w:val="0"/>
        <w:ind w:left="1080"/>
        <w:contextualSpacing/>
        <w:rPr>
          <w:rFonts w:cs="Times New Roman"/>
          <w:b/>
          <w:bCs/>
          <w:szCs w:val="24"/>
        </w:rPr>
      </w:pPr>
    </w:p>
    <w:p w14:paraId="4967A3A5"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Parents and children possess a constitutionally protected liberty interest in companionship and society with each other</w:t>
      </w:r>
      <w:r w:rsidRPr="00203C7D">
        <w:rPr>
          <w:rFonts w:cs="Times New Roman"/>
          <w:i/>
          <w:iCs/>
          <w:szCs w:val="24"/>
        </w:rPr>
        <w:t>.  Smith v. City of Fontana</w:t>
      </w:r>
      <w:r w:rsidRPr="00203C7D">
        <w:rPr>
          <w:rFonts w:cs="Times New Roman"/>
          <w:szCs w:val="24"/>
        </w:rPr>
        <w:t>, 818 F.2d 1411, 1418 (9th Cir. 1987)</w:t>
      </w:r>
      <w:r w:rsidRPr="00203C7D">
        <w:rPr>
          <w:rFonts w:cs="Times New Roman"/>
          <w:i/>
          <w:iCs/>
          <w:szCs w:val="24"/>
        </w:rPr>
        <w:t xml:space="preserve">, overruled on other grounds by </w:t>
      </w:r>
      <w:proofErr w:type="spellStart"/>
      <w:r w:rsidRPr="00203C7D">
        <w:rPr>
          <w:rFonts w:cs="Times New Roman"/>
          <w:i/>
          <w:iCs/>
          <w:szCs w:val="24"/>
        </w:rPr>
        <w:t>Hodgers-Durgin</w:t>
      </w:r>
      <w:proofErr w:type="spellEnd"/>
      <w:r w:rsidRPr="00203C7D">
        <w:rPr>
          <w:rFonts w:cs="Times New Roman"/>
          <w:i/>
          <w:iCs/>
          <w:szCs w:val="24"/>
        </w:rPr>
        <w:t xml:space="preserve"> v. de la Vina</w:t>
      </w:r>
      <w:r w:rsidRPr="00203C7D">
        <w:rPr>
          <w:rFonts w:cs="Times New Roman"/>
          <w:szCs w:val="24"/>
        </w:rPr>
        <w:t>, 199 F.3d 1037 (9th Cir. 1999) (</w:t>
      </w:r>
      <w:proofErr w:type="spellStart"/>
      <w:r w:rsidRPr="00203C7D">
        <w:rPr>
          <w:rFonts w:cs="Times New Roman"/>
          <w:szCs w:val="24"/>
        </w:rPr>
        <w:t>en</w:t>
      </w:r>
      <w:proofErr w:type="spellEnd"/>
      <w:r w:rsidRPr="00203C7D">
        <w:rPr>
          <w:rFonts w:cs="Times New Roman"/>
          <w:szCs w:val="24"/>
        </w:rPr>
        <w:t xml:space="preserve"> banc).  This liberty interest is rooted in the Fourteenth Amendment, which states in relevant part that “[n]o State shall . . . deprive any person of life, liberty, or property, without due process of law.”  U.S. Const. amend. XIV, § 1.</w:t>
      </w:r>
    </w:p>
    <w:p w14:paraId="27FDD5DF" w14:textId="77777777" w:rsidR="00203C7D" w:rsidRPr="00203C7D" w:rsidRDefault="00203C7D" w:rsidP="00203C7D">
      <w:pPr>
        <w:autoSpaceDE w:val="0"/>
        <w:autoSpaceDN w:val="0"/>
        <w:adjustRightInd w:val="0"/>
        <w:rPr>
          <w:rFonts w:cs="Times New Roman"/>
          <w:szCs w:val="24"/>
        </w:rPr>
      </w:pPr>
    </w:p>
    <w:p w14:paraId="50029930" w14:textId="524DDA37" w:rsidR="00203C7D" w:rsidRPr="00203C7D" w:rsidRDefault="00203C7D" w:rsidP="00203C7D">
      <w:pPr>
        <w:autoSpaceDE w:val="0"/>
        <w:autoSpaceDN w:val="0"/>
        <w:adjustRightInd w:val="0"/>
        <w:ind w:firstLine="720"/>
        <w:rPr>
          <w:rFonts w:cs="Times New Roman"/>
          <w:szCs w:val="24"/>
        </w:rPr>
      </w:pPr>
      <w:r w:rsidRPr="00203C7D">
        <w:rPr>
          <w:rFonts w:cs="Times New Roman"/>
          <w:szCs w:val="24"/>
        </w:rPr>
        <w:t xml:space="preserve">The protected liberty interest is independently held by both parent and child.  </w:t>
      </w:r>
      <w:r w:rsidRPr="00203C7D">
        <w:rPr>
          <w:rFonts w:cs="Times New Roman"/>
          <w:i/>
          <w:iCs/>
          <w:szCs w:val="24"/>
        </w:rPr>
        <w:t>City of Fontana</w:t>
      </w:r>
      <w:r w:rsidRPr="00203C7D">
        <w:rPr>
          <w:rFonts w:cs="Times New Roman"/>
          <w:szCs w:val="24"/>
        </w:rPr>
        <w:t xml:space="preserve">, 818 F.2d at 1418.  A parent’s right includes a custodial interest (but only while the child is a minor), and a companionship interest (even after a child reaches the age of majority).  </w:t>
      </w:r>
      <w:r w:rsidRPr="00203C7D">
        <w:rPr>
          <w:rFonts w:cs="Times New Roman"/>
          <w:i/>
          <w:iCs/>
          <w:szCs w:val="24"/>
        </w:rPr>
        <w:t xml:space="preserve">Id. </w:t>
      </w:r>
      <w:r w:rsidRPr="00203C7D">
        <w:rPr>
          <w:rFonts w:cs="Times New Roman"/>
          <w:szCs w:val="24"/>
        </w:rPr>
        <w:t xml:space="preserve">at 1419; </w:t>
      </w:r>
      <w:r w:rsidRPr="00203C7D">
        <w:rPr>
          <w:rFonts w:cs="Times New Roman"/>
          <w:i/>
          <w:iCs/>
          <w:szCs w:val="24"/>
        </w:rPr>
        <w:t>see, e.g.</w:t>
      </w:r>
      <w:r w:rsidRPr="00203C7D">
        <w:rPr>
          <w:rFonts w:cs="Times New Roman"/>
          <w:szCs w:val="24"/>
        </w:rPr>
        <w:t>,</w:t>
      </w:r>
      <w:r w:rsidRPr="00203C7D">
        <w:rPr>
          <w:rFonts w:cs="Times New Roman"/>
          <w:i/>
          <w:iCs/>
          <w:szCs w:val="24"/>
        </w:rPr>
        <w:t xml:space="preserve"> Strandberg v. City of Helena</w:t>
      </w:r>
      <w:r w:rsidRPr="00203C7D">
        <w:rPr>
          <w:rFonts w:cs="Times New Roman"/>
          <w:szCs w:val="24"/>
        </w:rPr>
        <w:t xml:space="preserve">, 791 F.2d 744, 748 n.1 (9th Cir. 1986) (recognizing that parents of deceased 22-year-old son could not allege constitutional right to parent a minor child, but could claim violation of right to companionship and society).  </w:t>
      </w:r>
      <w:r w:rsidR="00E255AA">
        <w:rPr>
          <w:rFonts w:cs="Times New Roman"/>
          <w:szCs w:val="24"/>
        </w:rPr>
        <w:t>Children, including adult children, may claim a violation of their right to familial association, but that right</w:t>
      </w:r>
      <w:r w:rsidRPr="00203C7D">
        <w:rPr>
          <w:rFonts w:cs="Times New Roman"/>
          <w:szCs w:val="24"/>
        </w:rPr>
        <w:t xml:space="preserve"> includes only a companionship interest.  </w:t>
      </w:r>
      <w:r w:rsidRPr="00203C7D">
        <w:rPr>
          <w:rFonts w:cs="Times New Roman"/>
          <w:i/>
          <w:iCs/>
          <w:szCs w:val="24"/>
        </w:rPr>
        <w:t>City of Fontana</w:t>
      </w:r>
      <w:r w:rsidRPr="00203C7D">
        <w:rPr>
          <w:rFonts w:cs="Times New Roman"/>
          <w:szCs w:val="24"/>
        </w:rPr>
        <w:t>, 818 F.2d at 1419</w:t>
      </w:r>
      <w:r w:rsidR="008977FC">
        <w:rPr>
          <w:rFonts w:cs="Times New Roman"/>
          <w:szCs w:val="24"/>
        </w:rPr>
        <w:t>;</w:t>
      </w:r>
      <w:r w:rsidRPr="00203C7D">
        <w:rPr>
          <w:rFonts w:cs="Times New Roman"/>
          <w:szCs w:val="24"/>
        </w:rPr>
        <w:t xml:space="preserve"> </w:t>
      </w:r>
      <w:r w:rsidR="006A4968" w:rsidRPr="00E4497B">
        <w:rPr>
          <w:rFonts w:cs="Times New Roman"/>
          <w:i/>
          <w:iCs/>
          <w:szCs w:val="24"/>
        </w:rPr>
        <w:t xml:space="preserve">Moreland v. Las Vegas Metro. Police </w:t>
      </w:r>
      <w:proofErr w:type="spellStart"/>
      <w:r w:rsidR="006A4968" w:rsidRPr="00E4497B">
        <w:rPr>
          <w:rFonts w:cs="Times New Roman"/>
          <w:i/>
          <w:iCs/>
          <w:szCs w:val="24"/>
        </w:rPr>
        <w:t>Dep’t</w:t>
      </w:r>
      <w:proofErr w:type="spellEnd"/>
      <w:r w:rsidR="006A4968" w:rsidRPr="00E4497B">
        <w:rPr>
          <w:rFonts w:cs="Times New Roman"/>
          <w:szCs w:val="24"/>
        </w:rPr>
        <w:t>, 159 F.3d 365, 371 (9th Cir. 1998)</w:t>
      </w:r>
      <w:r w:rsidR="006A4968" w:rsidRPr="003D5515">
        <w:rPr>
          <w:rFonts w:cs="Times New Roman"/>
          <w:szCs w:val="24"/>
        </w:rPr>
        <w:t>.</w:t>
      </w:r>
      <w:r w:rsidRPr="00203C7D">
        <w:rPr>
          <w:rFonts w:cs="Times New Roman"/>
          <w:szCs w:val="24"/>
        </w:rPr>
        <w:t xml:space="preserve"> State interference with these liberty interests may give rise to a Fourteenth Amendment due process claim that is cognizable under 42 U.S.C. § 1983.  </w:t>
      </w:r>
      <w:r w:rsidRPr="00203C7D">
        <w:rPr>
          <w:rFonts w:cs="Times New Roman"/>
          <w:i/>
          <w:iCs/>
          <w:szCs w:val="24"/>
        </w:rPr>
        <w:t>Kelson v. City of Springfield</w:t>
      </w:r>
      <w:r w:rsidRPr="00203C7D">
        <w:rPr>
          <w:rFonts w:cs="Times New Roman"/>
          <w:szCs w:val="24"/>
        </w:rPr>
        <w:t>, 767 F.2d 651, 654 (9th Cir. 1985).</w:t>
      </w:r>
      <w:r w:rsidRPr="00203C7D">
        <w:rPr>
          <w:rFonts w:cs="Times New Roman"/>
          <w:i/>
          <w:iCs/>
          <w:szCs w:val="24"/>
        </w:rPr>
        <w:t xml:space="preserve">  </w:t>
      </w:r>
      <w:r w:rsidRPr="00203C7D">
        <w:rPr>
          <w:rFonts w:cs="Times New Roman"/>
          <w:szCs w:val="24"/>
        </w:rPr>
        <w:t xml:space="preserve">Parents and children raising such claims are alleging a deprivation of their own liberty rights; they are not asserting the rights of the decedent or injured child or parent.  </w:t>
      </w:r>
      <w:r w:rsidRPr="00203C7D">
        <w:rPr>
          <w:rFonts w:cs="Times New Roman"/>
          <w:i/>
          <w:iCs/>
          <w:szCs w:val="24"/>
        </w:rPr>
        <w:t xml:space="preserve">Id. at </w:t>
      </w:r>
      <w:r w:rsidRPr="00203C7D">
        <w:rPr>
          <w:rFonts w:cs="Times New Roman"/>
          <w:szCs w:val="24"/>
        </w:rPr>
        <w:t>653 n.2.</w:t>
      </w:r>
    </w:p>
    <w:p w14:paraId="0EBBA3BA" w14:textId="77777777" w:rsidR="00203C7D" w:rsidRPr="00203C7D" w:rsidRDefault="00203C7D" w:rsidP="00203C7D">
      <w:pPr>
        <w:autoSpaceDE w:val="0"/>
        <w:autoSpaceDN w:val="0"/>
        <w:adjustRightInd w:val="0"/>
        <w:rPr>
          <w:rFonts w:cs="Times New Roman"/>
          <w:szCs w:val="24"/>
        </w:rPr>
      </w:pPr>
    </w:p>
    <w:p w14:paraId="4F84CF84" w14:textId="77777777" w:rsidR="00203C7D" w:rsidRPr="00203C7D" w:rsidRDefault="00203C7D" w:rsidP="00203C7D">
      <w:pPr>
        <w:keepLines/>
        <w:autoSpaceDE w:val="0"/>
        <w:autoSpaceDN w:val="0"/>
        <w:adjustRightInd w:val="0"/>
        <w:rPr>
          <w:rFonts w:cs="Times New Roman"/>
          <w:szCs w:val="24"/>
        </w:rPr>
      </w:pPr>
      <w:r w:rsidRPr="00203C7D">
        <w:rPr>
          <w:rFonts w:cs="Times New Roman"/>
          <w:szCs w:val="24"/>
        </w:rPr>
        <w:tab/>
        <w:t xml:space="preserve">The mere existence of a biological link between parent and child is not a sufficient basis to support a Fourteenth Amendment claim for loss of familial relationship rights. </w:t>
      </w:r>
      <w:r w:rsidRPr="00203C7D">
        <w:rPr>
          <w:rFonts w:cs="Times New Roman"/>
          <w:i/>
          <w:iCs/>
          <w:szCs w:val="24"/>
        </w:rPr>
        <w:t xml:space="preserve"> Wheeler v. City of Santa Clara</w:t>
      </w:r>
      <w:r w:rsidRPr="00203C7D">
        <w:rPr>
          <w:rFonts w:cs="Times New Roman"/>
          <w:szCs w:val="24"/>
        </w:rPr>
        <w:t xml:space="preserve">, 894 F.3d 1046, 1058 (9th Cir. 2018).  In order to bring a Fourteenth Amendment due process claim, the parent and child must have relationships “which reflect some assumption ‘of parental responsibility.’”  </w:t>
      </w:r>
      <w:r w:rsidRPr="00203C7D">
        <w:rPr>
          <w:rFonts w:cs="Times New Roman"/>
          <w:i/>
          <w:iCs/>
          <w:szCs w:val="24"/>
        </w:rPr>
        <w:t>Kirkpatrick v. County of Washoe</w:t>
      </w:r>
      <w:r w:rsidRPr="00203C7D">
        <w:rPr>
          <w:rFonts w:cs="Times New Roman"/>
          <w:szCs w:val="24"/>
        </w:rPr>
        <w:t>, 843 F.3d 784, 789 (9th Cir. 2016) (</w:t>
      </w:r>
      <w:proofErr w:type="spellStart"/>
      <w:r w:rsidRPr="00203C7D">
        <w:rPr>
          <w:rFonts w:cs="Times New Roman"/>
          <w:szCs w:val="24"/>
        </w:rPr>
        <w:t>en</w:t>
      </w:r>
      <w:proofErr w:type="spellEnd"/>
      <w:r w:rsidRPr="00203C7D">
        <w:rPr>
          <w:rFonts w:cs="Times New Roman"/>
          <w:szCs w:val="24"/>
        </w:rPr>
        <w:t xml:space="preserve"> banc) (“It is when an unwed father demonstrates a full commitment to the responsibilities of parenthood by coming forward to participate in the rearing of his child that his interest in personal contact with his child acquires substantial protection under the due process clause.”) (internal quotation marks and brackets omitted).  Parents can bring a Fourteenth Amendment due process claim only if they demonstrate “consistent involvement in a child’s life and participation in child-rearing activities.” </w:t>
      </w:r>
      <w:r w:rsidRPr="00203C7D">
        <w:rPr>
          <w:rFonts w:cs="Times New Roman"/>
          <w:i/>
          <w:iCs/>
          <w:szCs w:val="24"/>
        </w:rPr>
        <w:t xml:space="preserve"> Wheeler</w:t>
      </w:r>
      <w:r w:rsidRPr="00203C7D">
        <w:rPr>
          <w:rFonts w:cs="Times New Roman"/>
          <w:szCs w:val="24"/>
        </w:rPr>
        <w:t xml:space="preserve">, 894 F.3d at 1058. </w:t>
      </w:r>
      <w:r w:rsidRPr="00203C7D">
        <w:rPr>
          <w:rFonts w:cs="Times New Roman"/>
          <w:i/>
          <w:iCs/>
          <w:szCs w:val="24"/>
        </w:rPr>
        <w:t xml:space="preserve"> </w:t>
      </w:r>
      <w:r w:rsidRPr="00203C7D">
        <w:rPr>
          <w:rFonts w:cs="Times New Roman"/>
          <w:szCs w:val="24"/>
        </w:rPr>
        <w:t xml:space="preserve">Children must make the same showing.  </w:t>
      </w:r>
      <w:r w:rsidRPr="00203C7D">
        <w:rPr>
          <w:rFonts w:cs="Times New Roman"/>
          <w:i/>
          <w:iCs/>
          <w:szCs w:val="24"/>
        </w:rPr>
        <w:t xml:space="preserve">See id. </w:t>
      </w:r>
      <w:r w:rsidRPr="00203C7D">
        <w:rPr>
          <w:rFonts w:cs="Times New Roman"/>
          <w:szCs w:val="24"/>
        </w:rPr>
        <w:t xml:space="preserve">(holding relationship between child adopted as infant and biological mother insufficient for child to bring Fourteenth Amendment loss of companionship claim). </w:t>
      </w:r>
    </w:p>
    <w:p w14:paraId="3519D697" w14:textId="77777777" w:rsidR="00203C7D" w:rsidRPr="00203C7D" w:rsidRDefault="00203C7D" w:rsidP="00203C7D">
      <w:pPr>
        <w:keepLines/>
        <w:autoSpaceDE w:val="0"/>
        <w:autoSpaceDN w:val="0"/>
        <w:adjustRightInd w:val="0"/>
        <w:rPr>
          <w:rFonts w:cs="Times New Roman"/>
          <w:szCs w:val="24"/>
        </w:rPr>
      </w:pPr>
    </w:p>
    <w:p w14:paraId="3B4A3E5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Other familial relationships may not give rise to a protectable liberty interest.  The extent to which grandparents have such an interest has not been decided, although a noncustodial grandparent generally does not have a protectable interest.  </w:t>
      </w:r>
      <w:r w:rsidRPr="00203C7D">
        <w:rPr>
          <w:rFonts w:cs="Times New Roman"/>
          <w:i/>
          <w:iCs/>
          <w:szCs w:val="24"/>
        </w:rPr>
        <w:t>See</w:t>
      </w:r>
      <w:r w:rsidRPr="00203C7D">
        <w:rPr>
          <w:rFonts w:cs="Times New Roman"/>
          <w:szCs w:val="24"/>
        </w:rPr>
        <w:t xml:space="preserve"> </w:t>
      </w:r>
      <w:r w:rsidRPr="00203C7D">
        <w:rPr>
          <w:rFonts w:cs="Times New Roman"/>
          <w:i/>
          <w:iCs/>
          <w:szCs w:val="24"/>
        </w:rPr>
        <w:t>Miller v. California</w:t>
      </w:r>
      <w:r w:rsidRPr="00203C7D">
        <w:rPr>
          <w:rFonts w:cs="Times New Roman"/>
          <w:szCs w:val="24"/>
        </w:rPr>
        <w:t xml:space="preserve">, 355 F.3d 1172, 1176 (9th Cir. 2004).  Siblings cannot bring claims under the Fourteenth Amendment for the deprivation of their liberty interest arising out of their relationship with their sibling.  </w:t>
      </w:r>
      <w:r w:rsidRPr="00203C7D">
        <w:rPr>
          <w:rFonts w:cs="Times New Roman"/>
          <w:i/>
          <w:iCs/>
          <w:szCs w:val="24"/>
        </w:rPr>
        <w:t xml:space="preserve">Ward v. </w:t>
      </w:r>
      <w:r w:rsidRPr="00203C7D">
        <w:rPr>
          <w:rFonts w:cs="Times New Roman"/>
          <w:i/>
          <w:iCs/>
          <w:szCs w:val="24"/>
        </w:rPr>
        <w:lastRenderedPageBreak/>
        <w:t>City of San Jose</w:t>
      </w:r>
      <w:r w:rsidRPr="00203C7D">
        <w:rPr>
          <w:rFonts w:cs="Times New Roman"/>
          <w:szCs w:val="24"/>
        </w:rPr>
        <w:t xml:space="preserve">, 967 F.2d 280, 284 (9th Cir. 1991), </w:t>
      </w:r>
      <w:r w:rsidRPr="00203C7D">
        <w:rPr>
          <w:rFonts w:cs="Times New Roman"/>
          <w:i/>
          <w:iCs/>
          <w:szCs w:val="24"/>
        </w:rPr>
        <w:t xml:space="preserve">as amended on denial of reh’g </w:t>
      </w:r>
      <w:r w:rsidRPr="00203C7D">
        <w:rPr>
          <w:rFonts w:cs="Times New Roman"/>
          <w:szCs w:val="24"/>
        </w:rPr>
        <w:t>(June 16, 1992).</w:t>
      </w:r>
    </w:p>
    <w:p w14:paraId="2A456CA3" w14:textId="77777777" w:rsidR="00203C7D" w:rsidRPr="00203C7D" w:rsidRDefault="00203C7D" w:rsidP="00203C7D">
      <w:pPr>
        <w:autoSpaceDE w:val="0"/>
        <w:autoSpaceDN w:val="0"/>
        <w:adjustRightInd w:val="0"/>
        <w:rPr>
          <w:rFonts w:cs="Times New Roman"/>
          <w:szCs w:val="24"/>
        </w:rPr>
      </w:pPr>
    </w:p>
    <w:p w14:paraId="4465806E" w14:textId="7231806D" w:rsidR="00203C7D" w:rsidRPr="00203C7D" w:rsidRDefault="00203C7D" w:rsidP="00203C7D">
      <w:pPr>
        <w:keepNext/>
        <w:keepLines/>
        <w:numPr>
          <w:ilvl w:val="0"/>
          <w:numId w:val="14"/>
        </w:numPr>
        <w:tabs>
          <w:tab w:val="left" w:pos="720"/>
        </w:tabs>
        <w:autoSpaceDE w:val="0"/>
        <w:autoSpaceDN w:val="0"/>
        <w:adjustRightInd w:val="0"/>
        <w:spacing w:after="160" w:line="259" w:lineRule="auto"/>
        <w:contextualSpacing/>
        <w:rPr>
          <w:rFonts w:cs="Times New Roman"/>
          <w:b/>
          <w:bCs/>
          <w:szCs w:val="24"/>
        </w:rPr>
      </w:pPr>
      <w:r>
        <w:rPr>
          <w:rFonts w:cs="Times New Roman"/>
          <w:b/>
          <w:bCs/>
          <w:szCs w:val="24"/>
        </w:rPr>
        <w:t xml:space="preserve">     </w:t>
      </w:r>
      <w:r w:rsidRPr="00203C7D">
        <w:rPr>
          <w:rFonts w:cs="Times New Roman"/>
          <w:b/>
          <w:bCs/>
          <w:szCs w:val="24"/>
        </w:rPr>
        <w:t>Two Types of Claims: Procedural and Substantive</w:t>
      </w:r>
    </w:p>
    <w:p w14:paraId="04FCE64A" w14:textId="77777777" w:rsidR="00203C7D" w:rsidRPr="00203C7D" w:rsidRDefault="00203C7D" w:rsidP="00203C7D">
      <w:pPr>
        <w:keepNext/>
        <w:keepLines/>
        <w:tabs>
          <w:tab w:val="left" w:pos="720"/>
        </w:tabs>
        <w:autoSpaceDE w:val="0"/>
        <w:autoSpaceDN w:val="0"/>
        <w:adjustRightInd w:val="0"/>
        <w:ind w:left="1080"/>
        <w:contextualSpacing/>
        <w:rPr>
          <w:rFonts w:cs="Times New Roman"/>
          <w:szCs w:val="24"/>
        </w:rPr>
      </w:pPr>
    </w:p>
    <w:p w14:paraId="751B4EB1"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claim of interference with the parent/child relationship in violation of the Fourteenth Amendment may be brought as either a procedural due process claim or a substantive due process claim.  </w:t>
      </w:r>
      <w:r w:rsidRPr="00203C7D">
        <w:rPr>
          <w:rFonts w:cs="Times New Roman"/>
          <w:i/>
          <w:iCs/>
          <w:szCs w:val="24"/>
        </w:rPr>
        <w:t>See City of Fontana</w:t>
      </w:r>
      <w:r w:rsidRPr="00203C7D">
        <w:rPr>
          <w:rFonts w:cs="Times New Roman"/>
          <w:szCs w:val="24"/>
        </w:rPr>
        <w:t xml:space="preserve">, 818 F.2d at 1419–20.  </w:t>
      </w:r>
    </w:p>
    <w:p w14:paraId="33A6C3C7" w14:textId="77777777" w:rsidR="00203C7D" w:rsidRPr="00203C7D" w:rsidRDefault="00203C7D" w:rsidP="00203C7D">
      <w:pPr>
        <w:autoSpaceDE w:val="0"/>
        <w:autoSpaceDN w:val="0"/>
        <w:adjustRightInd w:val="0"/>
        <w:rPr>
          <w:rFonts w:cs="Times New Roman"/>
          <w:szCs w:val="24"/>
        </w:rPr>
      </w:pPr>
    </w:p>
    <w:p w14:paraId="1FB17D4A"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procedural due process claim may arise when the state interferes with the parent-child relationship for the purpose of furthering a legitimate state interest.  </w:t>
      </w:r>
      <w:r w:rsidRPr="00203C7D">
        <w:rPr>
          <w:rFonts w:cs="Times New Roman"/>
          <w:i/>
          <w:iCs/>
          <w:szCs w:val="24"/>
        </w:rPr>
        <w:t xml:space="preserve">See id. </w:t>
      </w:r>
      <w:r w:rsidRPr="00203C7D">
        <w:rPr>
          <w:rFonts w:cs="Times New Roman"/>
          <w:szCs w:val="24"/>
        </w:rPr>
        <w:t xml:space="preserve">at 1419.  Thus, “where the best interests of the child arguably warrants termination of the parent’s custodial rights, the state may legitimately interfere so long as it provides ‘fundamentally fair procedures.’”  </w:t>
      </w:r>
      <w:r w:rsidRPr="00203C7D">
        <w:rPr>
          <w:rFonts w:cs="Times New Roman"/>
          <w:i/>
          <w:iCs/>
          <w:szCs w:val="24"/>
        </w:rPr>
        <w:t xml:space="preserve">Id. </w:t>
      </w:r>
      <w:r w:rsidRPr="00203C7D">
        <w:rPr>
          <w:rFonts w:cs="Times New Roman"/>
          <w:szCs w:val="24"/>
        </w:rPr>
        <w:t xml:space="preserve">(quoting </w:t>
      </w:r>
      <w:proofErr w:type="spellStart"/>
      <w:r w:rsidRPr="00203C7D">
        <w:rPr>
          <w:rFonts w:cs="Times New Roman"/>
          <w:i/>
          <w:iCs/>
          <w:szCs w:val="24"/>
        </w:rPr>
        <w:t>Santosky</w:t>
      </w:r>
      <w:proofErr w:type="spellEnd"/>
      <w:r w:rsidRPr="00203C7D">
        <w:rPr>
          <w:rFonts w:cs="Times New Roman"/>
          <w:i/>
          <w:iCs/>
          <w:szCs w:val="24"/>
        </w:rPr>
        <w:t xml:space="preserve"> v. Kramer</w:t>
      </w:r>
      <w:r w:rsidRPr="00203C7D">
        <w:rPr>
          <w:rFonts w:cs="Times New Roman"/>
          <w:szCs w:val="24"/>
        </w:rPr>
        <w:t xml:space="preserve">, 455 U.S. 745, 754 (1982)).  </w:t>
      </w:r>
    </w:p>
    <w:p w14:paraId="77204B1C" w14:textId="77777777" w:rsidR="00203C7D" w:rsidRPr="00203C7D" w:rsidRDefault="00203C7D" w:rsidP="00203C7D">
      <w:pPr>
        <w:autoSpaceDE w:val="0"/>
        <w:autoSpaceDN w:val="0"/>
        <w:adjustRightInd w:val="0"/>
        <w:rPr>
          <w:rFonts w:cs="Times New Roman"/>
          <w:szCs w:val="24"/>
        </w:rPr>
      </w:pPr>
    </w:p>
    <w:p w14:paraId="2CEE591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substantive due process claim may arise when the state interferes with the parent-child relationship “for purposes of oppression.”  </w:t>
      </w:r>
      <w:r w:rsidRPr="00203C7D">
        <w:rPr>
          <w:rFonts w:cs="Times New Roman"/>
          <w:i/>
          <w:iCs/>
          <w:szCs w:val="24"/>
        </w:rPr>
        <w:t>Id.</w:t>
      </w:r>
      <w:r w:rsidRPr="00203C7D">
        <w:rPr>
          <w:rFonts w:cs="Times New Roman"/>
          <w:szCs w:val="24"/>
        </w:rPr>
        <w:t xml:space="preserve"> (quoting </w:t>
      </w:r>
      <w:r w:rsidRPr="00203C7D">
        <w:rPr>
          <w:rFonts w:cs="Times New Roman"/>
          <w:i/>
          <w:iCs/>
          <w:szCs w:val="24"/>
        </w:rPr>
        <w:t>Daniels v. Williams</w:t>
      </w:r>
      <w:r w:rsidRPr="00203C7D">
        <w:rPr>
          <w:rFonts w:cs="Times New Roman"/>
          <w:szCs w:val="24"/>
        </w:rPr>
        <w:t xml:space="preserve">, 474 U.S. 327, 331 (1986)).  For instance, “the state has no legitimate interest in interfering with this liberty interest through the use of </w:t>
      </w:r>
      <w:r w:rsidRPr="00203C7D">
        <w:rPr>
          <w:rFonts w:cs="Times New Roman"/>
          <w:i/>
          <w:iCs/>
          <w:szCs w:val="24"/>
        </w:rPr>
        <w:t>excessive</w:t>
      </w:r>
      <w:r w:rsidRPr="00203C7D">
        <w:rPr>
          <w:rFonts w:cs="Times New Roman"/>
          <w:szCs w:val="24"/>
        </w:rPr>
        <w:t xml:space="preserve"> force by police officers.”  </w:t>
      </w:r>
      <w:r w:rsidRPr="00203C7D">
        <w:rPr>
          <w:rFonts w:cs="Times New Roman"/>
          <w:i/>
          <w:iCs/>
          <w:szCs w:val="24"/>
        </w:rPr>
        <w:t xml:space="preserve">Id. </w:t>
      </w:r>
      <w:r w:rsidRPr="00203C7D">
        <w:rPr>
          <w:rFonts w:cs="Times New Roman"/>
          <w:szCs w:val="24"/>
        </w:rPr>
        <w:t>at 1419–20.  Each type of claim is evaluated under a distinct standard.</w:t>
      </w:r>
    </w:p>
    <w:p w14:paraId="4EDCEB86" w14:textId="77777777" w:rsidR="00203C7D" w:rsidRPr="00203C7D" w:rsidRDefault="00203C7D" w:rsidP="00203C7D">
      <w:pPr>
        <w:autoSpaceDE w:val="0"/>
        <w:autoSpaceDN w:val="0"/>
        <w:adjustRightInd w:val="0"/>
        <w:rPr>
          <w:rFonts w:cs="Times New Roman"/>
          <w:szCs w:val="24"/>
        </w:rPr>
      </w:pPr>
    </w:p>
    <w:p w14:paraId="0C444C8C" w14:textId="77777777" w:rsidR="00203C7D" w:rsidRPr="00203C7D" w:rsidRDefault="00203C7D" w:rsidP="00203C7D">
      <w:pPr>
        <w:keepNext/>
        <w:keepLines/>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A.</w:t>
      </w:r>
      <w:r w:rsidRPr="00203C7D">
        <w:rPr>
          <w:rFonts w:cs="Times New Roman"/>
          <w:b/>
          <w:bCs/>
          <w:szCs w:val="24"/>
        </w:rPr>
        <w:tab/>
        <w:t>Standard for Procedural Due Process Violation</w:t>
      </w:r>
    </w:p>
    <w:p w14:paraId="33395AAC" w14:textId="77777777" w:rsidR="00203C7D" w:rsidRPr="00203C7D" w:rsidRDefault="00203C7D" w:rsidP="00203C7D">
      <w:pPr>
        <w:keepNext/>
        <w:autoSpaceDE w:val="0"/>
        <w:autoSpaceDN w:val="0"/>
        <w:adjustRightInd w:val="0"/>
        <w:rPr>
          <w:rFonts w:cs="Times New Roman"/>
          <w:b/>
          <w:bCs/>
          <w:szCs w:val="24"/>
        </w:rPr>
      </w:pPr>
    </w:p>
    <w:p w14:paraId="3A583AB9" w14:textId="323062D4"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Procedural due process claims typically arise when a state official removes a child from a parent’s care.  For such claims, “[t]he Fourteenth Amendment guarantees that parents will not be separated from their children without due process of law except in emergencies.”  </w:t>
      </w:r>
      <w:r w:rsidRPr="00203C7D">
        <w:rPr>
          <w:rFonts w:cs="Times New Roman"/>
          <w:i/>
          <w:iCs/>
          <w:szCs w:val="24"/>
        </w:rPr>
        <w:t>Rogers v. County of San Joaquin</w:t>
      </w:r>
      <w:r w:rsidRPr="00203C7D">
        <w:rPr>
          <w:rFonts w:cs="Times New Roman"/>
          <w:szCs w:val="24"/>
        </w:rPr>
        <w:t xml:space="preserve">, 487 F.3d 1288, 1294 (9th Cir. 2007) (quoting </w:t>
      </w:r>
      <w:proofErr w:type="spellStart"/>
      <w:r w:rsidRPr="00203C7D">
        <w:rPr>
          <w:rFonts w:cs="Times New Roman"/>
          <w:i/>
          <w:iCs/>
          <w:szCs w:val="24"/>
        </w:rPr>
        <w:t>Mabe</w:t>
      </w:r>
      <w:proofErr w:type="spellEnd"/>
      <w:r w:rsidRPr="00203C7D">
        <w:rPr>
          <w:rFonts w:cs="Times New Roman"/>
          <w:i/>
          <w:iCs/>
          <w:szCs w:val="24"/>
        </w:rPr>
        <w:t xml:space="preserve"> v. San Bernardino </w:t>
      </w:r>
      <w:proofErr w:type="spellStart"/>
      <w:r w:rsidRPr="00203C7D">
        <w:rPr>
          <w:rFonts w:cs="Times New Roman"/>
          <w:i/>
          <w:iCs/>
          <w:szCs w:val="24"/>
        </w:rPr>
        <w:t>Cnty</w:t>
      </w:r>
      <w:proofErr w:type="spellEnd"/>
      <w:r w:rsidRPr="00203C7D">
        <w:rPr>
          <w:rFonts w:cs="Times New Roman"/>
          <w:i/>
          <w:iCs/>
          <w:szCs w:val="24"/>
        </w:rPr>
        <w:t xml:space="preserve">., </w:t>
      </w:r>
      <w:proofErr w:type="spellStart"/>
      <w:r w:rsidRPr="00203C7D">
        <w:rPr>
          <w:rFonts w:cs="Times New Roman"/>
          <w:i/>
          <w:iCs/>
          <w:szCs w:val="24"/>
        </w:rPr>
        <w:t>Dep’t</w:t>
      </w:r>
      <w:proofErr w:type="spellEnd"/>
      <w:r w:rsidRPr="00203C7D">
        <w:rPr>
          <w:rFonts w:cs="Times New Roman"/>
          <w:i/>
          <w:iCs/>
          <w:szCs w:val="24"/>
        </w:rPr>
        <w:t xml:space="preserve"> of Pub. Soc. Servs.</w:t>
      </w:r>
      <w:r w:rsidRPr="00203C7D">
        <w:rPr>
          <w:rFonts w:cs="Times New Roman"/>
          <w:szCs w:val="24"/>
        </w:rPr>
        <w:t xml:space="preserve">, 237 F.3d 1101, 1107 (9th Cir. 2001)).  Removing a child from a parent’s custody violates the Fourteenth Amendment unless the removal (1) is authorized by a court order (typically a warrant); or (2) is supported by “reasonable cause to believe that the child is in imminent danger of serious bodily injury,” and the scope of intrusion does not extend beyond that which is reasonably necessary. </w:t>
      </w:r>
      <w:r w:rsidRPr="00203C7D">
        <w:rPr>
          <w:rFonts w:cs="Times New Roman"/>
          <w:i/>
          <w:iCs/>
          <w:szCs w:val="24"/>
        </w:rPr>
        <w:t xml:space="preserve"> Id. </w:t>
      </w:r>
      <w:r w:rsidRPr="00203C7D">
        <w:rPr>
          <w:rFonts w:cs="Times New Roman"/>
          <w:szCs w:val="24"/>
        </w:rPr>
        <w:t xml:space="preserve">(quoting </w:t>
      </w:r>
      <w:proofErr w:type="spellStart"/>
      <w:r w:rsidRPr="00203C7D">
        <w:rPr>
          <w:rFonts w:cs="Times New Roman"/>
          <w:i/>
          <w:iCs/>
          <w:szCs w:val="24"/>
        </w:rPr>
        <w:t>Mabe</w:t>
      </w:r>
      <w:proofErr w:type="spellEnd"/>
      <w:r w:rsidRPr="00203C7D">
        <w:rPr>
          <w:rFonts w:cs="Times New Roman"/>
          <w:szCs w:val="24"/>
        </w:rPr>
        <w:t xml:space="preserve">, 237 F.3d at 1106). </w:t>
      </w:r>
      <w:r w:rsidR="004212B4">
        <w:rPr>
          <w:rFonts w:cs="Times New Roman"/>
          <w:szCs w:val="24"/>
        </w:rPr>
        <w:t xml:space="preserve"> </w:t>
      </w:r>
      <w:r w:rsidR="000D6C1C" w:rsidRPr="0023021D">
        <w:rPr>
          <w:rFonts w:cs="Times New Roman"/>
          <w:szCs w:val="24"/>
        </w:rPr>
        <w:t xml:space="preserve">Even if the removal is pursuant to a court order, the right may be violated if the court order was obtained through judicial deception, that is, if a plaintiff alleges “(1) a misrepresentation or omission (2) made deliberately or with a reckless disregard for the truth, that was (3) material to the judicial deception.”  </w:t>
      </w:r>
      <w:r w:rsidR="000D6C1C" w:rsidRPr="0023021D">
        <w:rPr>
          <w:rFonts w:cs="Times New Roman"/>
          <w:i/>
          <w:iCs/>
          <w:szCs w:val="24"/>
        </w:rPr>
        <w:t xml:space="preserve">David v. </w:t>
      </w:r>
      <w:proofErr w:type="spellStart"/>
      <w:r w:rsidR="000D6C1C" w:rsidRPr="0023021D">
        <w:rPr>
          <w:rFonts w:cs="Times New Roman"/>
          <w:i/>
          <w:iCs/>
          <w:szCs w:val="24"/>
        </w:rPr>
        <w:t>Kaulukukui</w:t>
      </w:r>
      <w:proofErr w:type="spellEnd"/>
      <w:r w:rsidR="000D6C1C" w:rsidRPr="0023021D">
        <w:rPr>
          <w:rFonts w:cs="Times New Roman"/>
          <w:szCs w:val="24"/>
        </w:rPr>
        <w:t xml:space="preserve">, </w:t>
      </w:r>
      <w:r w:rsidR="000D6C1C">
        <w:rPr>
          <w:rFonts w:cs="Times New Roman"/>
          <w:szCs w:val="24"/>
        </w:rPr>
        <w:t>38 F.4</w:t>
      </w:r>
      <w:r w:rsidR="000D6C1C" w:rsidRPr="003F67EE">
        <w:rPr>
          <w:rFonts w:cs="Times New Roman"/>
          <w:szCs w:val="24"/>
        </w:rPr>
        <w:t xml:space="preserve">th </w:t>
      </w:r>
      <w:r w:rsidR="000D6C1C">
        <w:rPr>
          <w:rFonts w:cs="Times New Roman"/>
          <w:szCs w:val="24"/>
        </w:rPr>
        <w:t xml:space="preserve">792 </w:t>
      </w:r>
      <w:r w:rsidR="000D6C1C" w:rsidRPr="0023021D">
        <w:rPr>
          <w:rFonts w:cs="Times New Roman"/>
          <w:szCs w:val="24"/>
        </w:rPr>
        <w:t xml:space="preserve">(9th Cir. 2022).  “A </w:t>
      </w:r>
      <w:proofErr w:type="spellStart"/>
      <w:r w:rsidR="000D6C1C" w:rsidRPr="0023021D">
        <w:rPr>
          <w:rFonts w:cs="Times New Roman"/>
          <w:szCs w:val="24"/>
        </w:rPr>
        <w:t>misrepresention</w:t>
      </w:r>
      <w:proofErr w:type="spellEnd"/>
      <w:r w:rsidR="000D6C1C" w:rsidRPr="0023021D">
        <w:rPr>
          <w:rFonts w:cs="Times New Roman"/>
          <w:szCs w:val="24"/>
        </w:rPr>
        <w:t xml:space="preserve"> or omission is material if a court would have declined to issue the order had [the defendant] been truthful.” </w:t>
      </w:r>
      <w:r w:rsidR="000D6C1C" w:rsidRPr="0023021D">
        <w:rPr>
          <w:rFonts w:cs="Times New Roman"/>
          <w:i/>
          <w:iCs/>
          <w:szCs w:val="24"/>
        </w:rPr>
        <w:t>Id.</w:t>
      </w:r>
      <w:r w:rsidRPr="00203C7D">
        <w:rPr>
          <w:rFonts w:cs="Times New Roman"/>
          <w:szCs w:val="24"/>
        </w:rPr>
        <w:t xml:space="preserve"> The “mere threat of separation” is insufficient to give rise to a Fourteenth Amendment claim “based on a minor being separated from his or her parents.”  </w:t>
      </w:r>
      <w:r w:rsidRPr="00203C7D">
        <w:rPr>
          <w:rFonts w:cs="Times New Roman"/>
          <w:i/>
          <w:iCs/>
          <w:szCs w:val="24"/>
        </w:rPr>
        <w:t>Dees v. County of San Diego</w:t>
      </w:r>
      <w:r w:rsidRPr="00203C7D">
        <w:rPr>
          <w:rFonts w:cs="Times New Roman"/>
          <w:szCs w:val="24"/>
        </w:rPr>
        <w:t xml:space="preserve">, 960 F.3d 1145, 1152 (9th Cir. 2020). </w:t>
      </w:r>
    </w:p>
    <w:p w14:paraId="65D1948F" w14:textId="77777777" w:rsidR="00203C7D" w:rsidRPr="00203C7D" w:rsidRDefault="00203C7D" w:rsidP="00203C7D">
      <w:pPr>
        <w:autoSpaceDE w:val="0"/>
        <w:autoSpaceDN w:val="0"/>
        <w:adjustRightInd w:val="0"/>
        <w:rPr>
          <w:rFonts w:cs="Times New Roman"/>
          <w:szCs w:val="24"/>
        </w:rPr>
      </w:pPr>
    </w:p>
    <w:p w14:paraId="343D2B7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Removing children from their parents’ custody without court authorization is permissible when officials have reasonable cause to believe that the children are at imminent risk of serious bodily injury or molestation in the time it would take them to get a warrant.  </w:t>
      </w:r>
      <w:r w:rsidRPr="00203C7D">
        <w:rPr>
          <w:rFonts w:cs="Times New Roman"/>
          <w:i/>
          <w:iCs/>
          <w:szCs w:val="24"/>
        </w:rPr>
        <w:t>Rogers</w:t>
      </w:r>
      <w:r w:rsidRPr="00203C7D">
        <w:rPr>
          <w:rFonts w:cs="Times New Roman"/>
          <w:szCs w:val="24"/>
        </w:rPr>
        <w:t xml:space="preserve">, 487 F.3d at 1294–95; </w:t>
      </w:r>
      <w:r w:rsidRPr="00203C7D">
        <w:rPr>
          <w:rFonts w:cs="Times New Roman"/>
          <w:i/>
          <w:iCs/>
          <w:szCs w:val="24"/>
        </w:rPr>
        <w:t>see also Wallis v. Spencer</w:t>
      </w:r>
      <w:r w:rsidRPr="00203C7D">
        <w:rPr>
          <w:rFonts w:cs="Times New Roman"/>
          <w:szCs w:val="24"/>
        </w:rPr>
        <w:t xml:space="preserve">, 202 F.3d 1126, 1138 (9th Cir. 2000).  Serious allegations of abuse must be investigated and corroborated before they will give rise to “a reasonable inference of imminent danger sufficient to justify taking children into temporary custody.”  </w:t>
      </w:r>
      <w:proofErr w:type="spellStart"/>
      <w:r w:rsidRPr="00203C7D">
        <w:rPr>
          <w:rFonts w:cs="Times New Roman"/>
          <w:i/>
          <w:iCs/>
          <w:szCs w:val="24"/>
        </w:rPr>
        <w:t>Demaree</w:t>
      </w:r>
      <w:proofErr w:type="spellEnd"/>
      <w:r w:rsidRPr="00203C7D">
        <w:rPr>
          <w:rFonts w:cs="Times New Roman"/>
          <w:i/>
          <w:iCs/>
          <w:szCs w:val="24"/>
        </w:rPr>
        <w:t xml:space="preserve"> v. </w:t>
      </w:r>
      <w:r w:rsidRPr="00203C7D">
        <w:rPr>
          <w:rFonts w:cs="Times New Roman"/>
          <w:i/>
          <w:iCs/>
          <w:szCs w:val="24"/>
        </w:rPr>
        <w:lastRenderedPageBreak/>
        <w:t>Pederson</w:t>
      </w:r>
      <w:r w:rsidRPr="00203C7D">
        <w:rPr>
          <w:rFonts w:cs="Times New Roman"/>
          <w:szCs w:val="24"/>
        </w:rPr>
        <w:t xml:space="preserve">, 887 F.3d 870, 879 (9th Cir. 2018) (per </w:t>
      </w:r>
      <w:proofErr w:type="spellStart"/>
      <w:r w:rsidRPr="00203C7D">
        <w:rPr>
          <w:rFonts w:cs="Times New Roman"/>
          <w:szCs w:val="24"/>
        </w:rPr>
        <w:t>curiam</w:t>
      </w:r>
      <w:proofErr w:type="spellEnd"/>
      <w:r w:rsidRPr="00203C7D">
        <w:rPr>
          <w:rFonts w:cs="Times New Roman"/>
          <w:szCs w:val="24"/>
        </w:rPr>
        <w:t xml:space="preserve">) (internal quotation marks omitted).  There must be “specific, articulable evidence that provides reasonable cause to believe that a child is in imminent danger of abuse.”  </w:t>
      </w:r>
      <w:r w:rsidRPr="00203C7D">
        <w:rPr>
          <w:rFonts w:cs="Times New Roman"/>
          <w:i/>
          <w:iCs/>
          <w:szCs w:val="24"/>
        </w:rPr>
        <w:t>Wallis</w:t>
      </w:r>
      <w:r w:rsidRPr="00203C7D">
        <w:rPr>
          <w:rFonts w:cs="Times New Roman"/>
          <w:szCs w:val="24"/>
        </w:rPr>
        <w:t xml:space="preserve">, 202 F.3d at 1138; </w:t>
      </w:r>
      <w:r w:rsidRPr="00203C7D">
        <w:rPr>
          <w:rFonts w:cs="Times New Roman"/>
          <w:i/>
          <w:iCs/>
          <w:szCs w:val="24"/>
        </w:rPr>
        <w:t>see also</w:t>
      </w:r>
      <w:r w:rsidRPr="00203C7D">
        <w:rPr>
          <w:rFonts w:cs="Times New Roman"/>
          <w:szCs w:val="24"/>
        </w:rPr>
        <w:t xml:space="preserve"> </w:t>
      </w:r>
      <w:proofErr w:type="spellStart"/>
      <w:r w:rsidRPr="00203C7D">
        <w:rPr>
          <w:rFonts w:cs="Times New Roman"/>
          <w:i/>
          <w:iCs/>
          <w:szCs w:val="24"/>
        </w:rPr>
        <w:t>Sjurset</w:t>
      </w:r>
      <w:proofErr w:type="spellEnd"/>
      <w:r w:rsidRPr="00203C7D">
        <w:rPr>
          <w:rFonts w:cs="Times New Roman"/>
          <w:i/>
          <w:iCs/>
          <w:szCs w:val="24"/>
        </w:rPr>
        <w:t xml:space="preserve"> v. Button</w:t>
      </w:r>
      <w:r w:rsidRPr="00203C7D">
        <w:rPr>
          <w:rFonts w:cs="Times New Roman"/>
          <w:szCs w:val="24"/>
        </w:rPr>
        <w:t>, 810 F.3d 609, 622 (9th Cir. 2015) (holding officials’ belief of imminent danger objectively reasonable where mother who had tested positive for drugs and had previously been convicted of child endangerment prevented officers from verifying child’s safety, and officials could not have obtained court order for 36 hours).</w:t>
      </w:r>
    </w:p>
    <w:p w14:paraId="29B9FF5A" w14:textId="77777777" w:rsidR="00203C7D" w:rsidRPr="00203C7D" w:rsidRDefault="00203C7D" w:rsidP="00203C7D">
      <w:pPr>
        <w:autoSpaceDE w:val="0"/>
        <w:autoSpaceDN w:val="0"/>
        <w:adjustRightInd w:val="0"/>
        <w:rPr>
          <w:rFonts w:cs="Times New Roman"/>
          <w:szCs w:val="24"/>
        </w:rPr>
      </w:pPr>
    </w:p>
    <w:p w14:paraId="5F85E839"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Conversely, removing children from their parents’ custody without a court’s authorization can give rise to a violation of a liberty interest when there is no imminent risk of physical or sexual abuse.  </w:t>
      </w:r>
      <w:proofErr w:type="spellStart"/>
      <w:r w:rsidRPr="00203C7D">
        <w:rPr>
          <w:rFonts w:cs="Times New Roman"/>
          <w:i/>
          <w:iCs/>
          <w:szCs w:val="24"/>
        </w:rPr>
        <w:t>Demaree</w:t>
      </w:r>
      <w:proofErr w:type="spellEnd"/>
      <w:r w:rsidRPr="00203C7D">
        <w:rPr>
          <w:rFonts w:cs="Times New Roman"/>
          <w:szCs w:val="24"/>
        </w:rPr>
        <w:t xml:space="preserve">, 887 F.3d at 879 (holding officials unconstitutionally removed children from parents’ custody because officials’ fear of “sexual exploitation” based on nude photos of children was not objectively reasonable since photos were not distributed, did not depict sexual conduct, and did not reflect risk of physical sexual abuse).  Evidence that children are malnourished, their home is disorderly or unsanitary, or that their parents lack health insurance or fail to provide them daycare does not constitute exigent circumstances.  </w:t>
      </w:r>
      <w:r w:rsidRPr="00203C7D">
        <w:rPr>
          <w:rFonts w:cs="Times New Roman"/>
          <w:i/>
          <w:iCs/>
          <w:szCs w:val="24"/>
        </w:rPr>
        <w:t>Rogers</w:t>
      </w:r>
      <w:r w:rsidRPr="00203C7D">
        <w:rPr>
          <w:rFonts w:cs="Times New Roman"/>
          <w:szCs w:val="24"/>
        </w:rPr>
        <w:t>,</w:t>
      </w:r>
      <w:r w:rsidRPr="00203C7D">
        <w:rPr>
          <w:rFonts w:cs="Times New Roman"/>
          <w:i/>
          <w:iCs/>
          <w:szCs w:val="24"/>
        </w:rPr>
        <w:t xml:space="preserve"> </w:t>
      </w:r>
      <w:r w:rsidRPr="00203C7D">
        <w:rPr>
          <w:rFonts w:cs="Times New Roman"/>
          <w:szCs w:val="24"/>
        </w:rPr>
        <w:t xml:space="preserve">487 F.3d at 1296. </w:t>
      </w:r>
    </w:p>
    <w:p w14:paraId="2F2ACC51" w14:textId="77777777" w:rsidR="00203C7D" w:rsidRPr="00203C7D" w:rsidRDefault="00203C7D" w:rsidP="00203C7D">
      <w:pPr>
        <w:autoSpaceDE w:val="0"/>
        <w:autoSpaceDN w:val="0"/>
        <w:adjustRightInd w:val="0"/>
        <w:rPr>
          <w:rFonts w:cs="Times New Roman"/>
          <w:b/>
          <w:bCs/>
          <w:szCs w:val="24"/>
        </w:rPr>
      </w:pPr>
    </w:p>
    <w:p w14:paraId="17ED11B3"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r w:rsidRPr="00203C7D">
        <w:rPr>
          <w:rFonts w:cs="Times New Roman"/>
          <w:b/>
          <w:bCs/>
          <w:szCs w:val="24"/>
        </w:rPr>
        <w:tab/>
        <w:t>B.</w:t>
      </w:r>
      <w:r w:rsidRPr="00203C7D">
        <w:rPr>
          <w:rFonts w:cs="Times New Roman"/>
          <w:b/>
          <w:bCs/>
          <w:szCs w:val="24"/>
        </w:rPr>
        <w:tab/>
        <w:t>Standard for Substantive Due Process Violation</w:t>
      </w:r>
    </w:p>
    <w:p w14:paraId="7CCCC46F" w14:textId="77777777" w:rsidR="00203C7D" w:rsidRPr="00203C7D" w:rsidRDefault="00203C7D" w:rsidP="00203C7D">
      <w:pPr>
        <w:tabs>
          <w:tab w:val="left" w:pos="720"/>
          <w:tab w:val="left" w:pos="1440"/>
        </w:tabs>
        <w:autoSpaceDE w:val="0"/>
        <w:autoSpaceDN w:val="0"/>
        <w:adjustRightInd w:val="0"/>
        <w:ind w:left="1440" w:hanging="1440"/>
        <w:rPr>
          <w:rFonts w:cs="Times New Roman"/>
          <w:b/>
          <w:bCs/>
          <w:szCs w:val="24"/>
        </w:rPr>
      </w:pPr>
    </w:p>
    <w:p w14:paraId="5698D04E" w14:textId="77777777" w:rsidR="00203C7D" w:rsidRPr="00203C7D" w:rsidRDefault="00203C7D" w:rsidP="00203C7D">
      <w:pPr>
        <w:autoSpaceDE w:val="0"/>
        <w:autoSpaceDN w:val="0"/>
        <w:adjustRightInd w:val="0"/>
        <w:rPr>
          <w:rFonts w:cs="Times New Roman"/>
          <w:szCs w:val="24"/>
        </w:rPr>
      </w:pPr>
      <w:r w:rsidRPr="00203C7D">
        <w:rPr>
          <w:rFonts w:cs="Times New Roman"/>
          <w:b/>
          <w:bCs/>
          <w:szCs w:val="24"/>
        </w:rPr>
        <w:tab/>
      </w:r>
      <w:r w:rsidRPr="00203C7D">
        <w:rPr>
          <w:rFonts w:cs="Times New Roman"/>
          <w:szCs w:val="24"/>
        </w:rPr>
        <w:t xml:space="preserve">A substantive due process claim of impermissible interference with familial association arises when a state official harms a parent or child in a manner that shocks the conscience.  </w:t>
      </w:r>
      <w:r w:rsidRPr="00203C7D">
        <w:rPr>
          <w:rFonts w:cs="Times New Roman"/>
          <w:i/>
          <w:iCs/>
          <w:szCs w:val="24"/>
        </w:rPr>
        <w:t>Porter v. Osborn</w:t>
      </w:r>
      <w:r w:rsidRPr="00203C7D">
        <w:rPr>
          <w:rFonts w:cs="Times New Roman"/>
          <w:szCs w:val="24"/>
        </w:rPr>
        <w:t>, 546 F.3d 1131, 1137 (9th Cir. 2008). “[O]</w:t>
      </w:r>
      <w:proofErr w:type="spellStart"/>
      <w:r w:rsidRPr="00203C7D">
        <w:rPr>
          <w:rFonts w:cs="Times New Roman"/>
          <w:szCs w:val="24"/>
        </w:rPr>
        <w:t>nly</w:t>
      </w:r>
      <w:proofErr w:type="spellEnd"/>
      <w:r w:rsidRPr="00203C7D">
        <w:rPr>
          <w:rFonts w:cs="Times New Roman"/>
          <w:szCs w:val="24"/>
        </w:rPr>
        <w:t xml:space="preserve"> official conduct that ‘shocks the conscience’ is cognizable as a due process violation.  </w:t>
      </w:r>
      <w:r w:rsidRPr="00203C7D">
        <w:rPr>
          <w:rFonts w:cs="Times New Roman"/>
          <w:i/>
          <w:iCs/>
          <w:szCs w:val="24"/>
        </w:rPr>
        <w:t xml:space="preserve">Id. </w:t>
      </w:r>
      <w:r w:rsidRPr="00203C7D">
        <w:rPr>
          <w:rFonts w:cs="Times New Roman"/>
          <w:szCs w:val="24"/>
        </w:rPr>
        <w:t xml:space="preserve">(quoting </w:t>
      </w:r>
      <w:proofErr w:type="spellStart"/>
      <w:r w:rsidRPr="00203C7D">
        <w:rPr>
          <w:rFonts w:cs="Times New Roman"/>
          <w:i/>
          <w:iCs/>
          <w:szCs w:val="24"/>
        </w:rPr>
        <w:t>Cnty</w:t>
      </w:r>
      <w:proofErr w:type="spellEnd"/>
      <w:r w:rsidRPr="00203C7D">
        <w:rPr>
          <w:rFonts w:cs="Times New Roman"/>
          <w:i/>
          <w:iCs/>
          <w:szCs w:val="24"/>
        </w:rPr>
        <w:t>. of Sacramento v. Lewis</w:t>
      </w:r>
      <w:r w:rsidRPr="00203C7D">
        <w:rPr>
          <w:rFonts w:cs="Times New Roman"/>
          <w:szCs w:val="24"/>
        </w:rPr>
        <w:t xml:space="preserve">, 523 U.S. 833, 846 (1998)). </w:t>
      </w:r>
    </w:p>
    <w:p w14:paraId="3F7C3573" w14:textId="77777777" w:rsidR="00203C7D" w:rsidRPr="00203C7D" w:rsidRDefault="00203C7D" w:rsidP="00203C7D">
      <w:pPr>
        <w:autoSpaceDE w:val="0"/>
        <w:autoSpaceDN w:val="0"/>
        <w:adjustRightInd w:val="0"/>
        <w:rPr>
          <w:rFonts w:cs="Times New Roman"/>
          <w:szCs w:val="24"/>
        </w:rPr>
      </w:pPr>
    </w:p>
    <w:p w14:paraId="1B1B52F3" w14:textId="4A80399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A Fourteenth Amendment substantive due process claim is distinct from a claim arising under the Fourth Amendment.  </w:t>
      </w:r>
      <w:r w:rsidRPr="00203C7D">
        <w:rPr>
          <w:rFonts w:cs="Times New Roman"/>
          <w:i/>
          <w:iCs/>
          <w:szCs w:val="24"/>
        </w:rPr>
        <w:t>See Lewis</w:t>
      </w:r>
      <w:r w:rsidRPr="00203C7D">
        <w:rPr>
          <w:rFonts w:cs="Times New Roman"/>
          <w:szCs w:val="24"/>
        </w:rPr>
        <w:t>, 523 U.S.</w:t>
      </w:r>
      <w:r w:rsidRPr="00203C7D">
        <w:rPr>
          <w:rFonts w:cs="Times New Roman"/>
          <w:i/>
          <w:iCs/>
          <w:szCs w:val="24"/>
        </w:rPr>
        <w:t xml:space="preserve"> </w:t>
      </w:r>
      <w:r w:rsidRPr="00203C7D">
        <w:rPr>
          <w:rFonts w:cs="Times New Roman"/>
          <w:szCs w:val="24"/>
        </w:rPr>
        <w:t xml:space="preserve">at 843.  A Fourth Amendment excessive force claim requires the victim to establish that the officer’s conduct was objectively unreasonable.  </w:t>
      </w:r>
      <w:r w:rsidRPr="00203C7D">
        <w:rPr>
          <w:rFonts w:cs="Times New Roman"/>
          <w:i/>
          <w:iCs/>
          <w:szCs w:val="24"/>
        </w:rPr>
        <w:t>Ochoa v. City of Mesa</w:t>
      </w:r>
      <w:r w:rsidRPr="00203C7D">
        <w:rPr>
          <w:rFonts w:cs="Times New Roman"/>
          <w:szCs w:val="24"/>
        </w:rPr>
        <w:t>, 26 F.4th 1050, 1056 (9th Cir. 2022).  But that Fourth Amendment standard is less demanding than the “shocks the conscience” standard that applies to substantive due process</w:t>
      </w:r>
      <w:r w:rsidR="004C5D62">
        <w:rPr>
          <w:rFonts w:cs="Times New Roman"/>
          <w:szCs w:val="24"/>
        </w:rPr>
        <w:t xml:space="preserve"> familial association</w:t>
      </w:r>
      <w:r w:rsidRPr="00203C7D">
        <w:rPr>
          <w:rFonts w:cs="Times New Roman"/>
          <w:szCs w:val="24"/>
        </w:rPr>
        <w:t xml:space="preserve"> claims under the Fourteenth Amendment</w:t>
      </w:r>
      <w:r w:rsidR="004C5D62">
        <w:rPr>
          <w:rFonts w:cs="Times New Roman"/>
          <w:szCs w:val="24"/>
        </w:rPr>
        <w:t xml:space="preserve"> brought by the parent or child of the victim</w:t>
      </w:r>
      <w:r w:rsidRPr="00203C7D">
        <w:rPr>
          <w:rFonts w:cs="Times New Roman"/>
          <w:szCs w:val="24"/>
        </w:rPr>
        <w:t xml:space="preserve">.  </w:t>
      </w:r>
      <w:r w:rsidRPr="00203C7D">
        <w:rPr>
          <w:rFonts w:cs="Times New Roman"/>
          <w:i/>
          <w:iCs/>
          <w:szCs w:val="24"/>
        </w:rPr>
        <w:t>See id.</w:t>
      </w:r>
      <w:r w:rsidRPr="00203C7D">
        <w:rPr>
          <w:rFonts w:cs="Times New Roman"/>
          <w:szCs w:val="24"/>
        </w:rPr>
        <w:t xml:space="preserve"> at 1056-57.  Accordingly, “it may be possible for an officer’s conduct to be objectively unreasonable under the Fourth Amendment yet still not infringe the more demanding standard that governs substantive due process claims under the Fourteenth Amendment.”  </w:t>
      </w:r>
      <w:r w:rsidRPr="00203C7D">
        <w:rPr>
          <w:rFonts w:cs="Times New Roman"/>
          <w:i/>
          <w:iCs/>
          <w:szCs w:val="24"/>
        </w:rPr>
        <w:t xml:space="preserve">Id. </w:t>
      </w:r>
      <w:r w:rsidRPr="00203C7D">
        <w:rPr>
          <w:rFonts w:cs="Times New Roman"/>
          <w:szCs w:val="24"/>
        </w:rPr>
        <w:t>at 1057</w:t>
      </w:r>
      <w:r w:rsidRPr="00203C7D">
        <w:rPr>
          <w:rFonts w:cs="Times New Roman"/>
          <w:i/>
          <w:iCs/>
          <w:szCs w:val="24"/>
        </w:rPr>
        <w:t xml:space="preserve"> </w:t>
      </w:r>
      <w:r w:rsidRPr="00203C7D">
        <w:rPr>
          <w:rFonts w:cs="Times New Roman"/>
          <w:szCs w:val="24"/>
        </w:rPr>
        <w:t xml:space="preserve">(internal quotation marks and brackets omitted). </w:t>
      </w:r>
    </w:p>
    <w:p w14:paraId="0249E369" w14:textId="77777777" w:rsidR="00203C7D" w:rsidRPr="00203C7D" w:rsidRDefault="00203C7D" w:rsidP="00203C7D">
      <w:pPr>
        <w:autoSpaceDE w:val="0"/>
        <w:autoSpaceDN w:val="0"/>
        <w:adjustRightInd w:val="0"/>
        <w:rPr>
          <w:rFonts w:cs="Times New Roman"/>
          <w:szCs w:val="24"/>
          <w:highlight w:val="yellow"/>
        </w:rPr>
      </w:pPr>
    </w:p>
    <w:p w14:paraId="67A5F049" w14:textId="342E268E"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“There are two tests used to decide whether officers’ conduct ‘shocks the conscience.’”  </w:t>
      </w:r>
      <w:r w:rsidRPr="00203C7D">
        <w:rPr>
          <w:rFonts w:cs="Times New Roman"/>
          <w:i/>
          <w:iCs/>
          <w:szCs w:val="24"/>
        </w:rPr>
        <w:t xml:space="preserve">Id. </w:t>
      </w:r>
      <w:r w:rsidRPr="00203C7D">
        <w:rPr>
          <w:rFonts w:cs="Times New Roman"/>
          <w:szCs w:val="24"/>
        </w:rPr>
        <w:t xml:space="preserve">at 1056.  A state official’s conduct may shock the conscience if (1) the official acted with a “purpose to harm” the victim for reasons unrelated to legitimate law enforcement objectives; or (2) the official acted with “deliberate indifference” to the victim.  </w:t>
      </w:r>
      <w:r w:rsidRPr="00203C7D">
        <w:rPr>
          <w:rFonts w:cs="Times New Roman"/>
          <w:i/>
          <w:iCs/>
          <w:szCs w:val="24"/>
        </w:rPr>
        <w:t>Porter</w:t>
      </w:r>
      <w:r w:rsidRPr="00203C7D">
        <w:rPr>
          <w:rFonts w:cs="Times New Roman"/>
          <w:szCs w:val="24"/>
        </w:rPr>
        <w:t xml:space="preserve">, 546 F.3d at 1137.  Which test applies turns on the specific circumstances of the underlying events in each case.  If the encounter at issue escalated so quickly that the officer had to make a snap judgment, the plaintiff must show the officer acted with a “purpose to harm.”  </w:t>
      </w:r>
      <w:r w:rsidRPr="00203C7D">
        <w:rPr>
          <w:rFonts w:cs="Times New Roman"/>
          <w:i/>
          <w:iCs/>
          <w:szCs w:val="24"/>
        </w:rPr>
        <w:t xml:space="preserve">See id.  </w:t>
      </w:r>
      <w:r w:rsidRPr="00203C7D">
        <w:rPr>
          <w:rFonts w:cs="Times New Roman"/>
          <w:szCs w:val="24"/>
        </w:rPr>
        <w:t xml:space="preserve">However, if the situation evolved within a time frame that allowed officers to reflect before acting, the plaintiff must show the officer acted with “deliberate indifference.”  </w:t>
      </w:r>
      <w:r w:rsidRPr="00203C7D">
        <w:rPr>
          <w:rFonts w:cs="Times New Roman"/>
          <w:i/>
          <w:iCs/>
          <w:szCs w:val="24"/>
        </w:rPr>
        <w:t>See id.</w:t>
      </w:r>
      <w:r w:rsidRPr="00203C7D">
        <w:rPr>
          <w:rFonts w:cs="Times New Roman"/>
          <w:szCs w:val="24"/>
        </w:rPr>
        <w:t xml:space="preserve">  </w:t>
      </w:r>
    </w:p>
    <w:p w14:paraId="640002C0" w14:textId="77777777" w:rsidR="00203C7D" w:rsidRPr="00203C7D" w:rsidRDefault="00203C7D" w:rsidP="00203C7D">
      <w:pPr>
        <w:autoSpaceDE w:val="0"/>
        <w:autoSpaceDN w:val="0"/>
        <w:adjustRightInd w:val="0"/>
        <w:rPr>
          <w:rFonts w:cs="Times New Roman"/>
          <w:szCs w:val="24"/>
        </w:rPr>
      </w:pPr>
    </w:p>
    <w:p w14:paraId="6F76759C"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b/>
          <w:bCs/>
          <w:szCs w:val="24"/>
        </w:rPr>
      </w:pPr>
      <w:r w:rsidRPr="00203C7D">
        <w:rPr>
          <w:rFonts w:cs="Times New Roman"/>
          <w:b/>
          <w:bCs/>
          <w:szCs w:val="24"/>
        </w:rPr>
        <w:lastRenderedPageBreak/>
        <w:t>Purpose to Harm Standard</w:t>
      </w:r>
    </w:p>
    <w:p w14:paraId="2E8AD729"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F6D128B" w14:textId="72DB0D1F"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Supreme Court developed the purpose-to-harm standard in recognition that not every harm caused by </w:t>
      </w:r>
      <w:r w:rsidR="004C5D62">
        <w:rPr>
          <w:rFonts w:cs="Times New Roman"/>
          <w:szCs w:val="24"/>
        </w:rPr>
        <w:t>government officials</w:t>
      </w:r>
      <w:r w:rsidRPr="00203C7D">
        <w:rPr>
          <w:rFonts w:cs="Times New Roman"/>
          <w:szCs w:val="24"/>
        </w:rPr>
        <w:t xml:space="preserve"> gives rise to a Fourteenth Amendment claim.  </w:t>
      </w:r>
      <w:r w:rsidRPr="00203C7D">
        <w:rPr>
          <w:rFonts w:cs="Times New Roman"/>
          <w:i/>
          <w:iCs/>
          <w:szCs w:val="24"/>
        </w:rPr>
        <w:t>See Lewis</w:t>
      </w:r>
      <w:r w:rsidRPr="00203C7D">
        <w:rPr>
          <w:rFonts w:cs="Times New Roman"/>
          <w:szCs w:val="24"/>
        </w:rPr>
        <w:t xml:space="preserve">, 523 U.S. at 848–49.  For instance, “when unforeseen circumstances demand an officer’s instant judgment, even precipitate recklessness fails to inch close enough to harmful purpose” so as to shock the conscience.  </w:t>
      </w:r>
      <w:r w:rsidRPr="00203C7D">
        <w:rPr>
          <w:rFonts w:cs="Times New Roman"/>
          <w:i/>
          <w:iCs/>
          <w:szCs w:val="24"/>
        </w:rPr>
        <w:t xml:space="preserve">Id. </w:t>
      </w:r>
      <w:r w:rsidRPr="00203C7D">
        <w:rPr>
          <w:rFonts w:cs="Times New Roman"/>
          <w:szCs w:val="24"/>
        </w:rPr>
        <w:t>at 853.</w:t>
      </w:r>
      <w:r w:rsidRPr="00203C7D">
        <w:rPr>
          <w:rFonts w:cs="Times New Roman"/>
          <w:i/>
          <w:iCs/>
          <w:szCs w:val="24"/>
        </w:rPr>
        <w:t xml:space="preserve">  </w:t>
      </w:r>
      <w:r w:rsidRPr="00203C7D">
        <w:rPr>
          <w:rFonts w:cs="Times New Roman"/>
          <w:szCs w:val="24"/>
        </w:rPr>
        <w:t xml:space="preserve">These circumstances may include high speed police chases, </w:t>
      </w:r>
      <w:r w:rsidRPr="00203C7D">
        <w:rPr>
          <w:rFonts w:cs="Times New Roman"/>
          <w:i/>
          <w:iCs/>
          <w:szCs w:val="24"/>
        </w:rPr>
        <w:t xml:space="preserve">see id. </w:t>
      </w:r>
      <w:r w:rsidRPr="00203C7D">
        <w:rPr>
          <w:rFonts w:cs="Times New Roman"/>
          <w:szCs w:val="24"/>
        </w:rPr>
        <w:t xml:space="preserve">at 855, responding to a gunfight in a crowded parking lot, </w:t>
      </w:r>
      <w:r w:rsidRPr="00203C7D">
        <w:rPr>
          <w:rFonts w:cs="Times New Roman"/>
          <w:i/>
          <w:iCs/>
          <w:szCs w:val="24"/>
        </w:rPr>
        <w:t xml:space="preserve">Moreland v. Las Vegas Metro. Police </w:t>
      </w:r>
      <w:proofErr w:type="spellStart"/>
      <w:r w:rsidRPr="00203C7D">
        <w:rPr>
          <w:rFonts w:cs="Times New Roman"/>
          <w:i/>
          <w:iCs/>
          <w:szCs w:val="24"/>
        </w:rPr>
        <w:t>Dep’t</w:t>
      </w:r>
      <w:proofErr w:type="spellEnd"/>
      <w:r w:rsidRPr="00203C7D">
        <w:rPr>
          <w:rFonts w:cs="Times New Roman"/>
          <w:szCs w:val="24"/>
        </w:rPr>
        <w:t xml:space="preserve">, 159 F.3d 365, 368 (9th Cir. 1998), and other situations requiring split-second decisions, where the officer did not have a “practical” opportunity for “actual deliberation,” </w:t>
      </w:r>
      <w:r w:rsidRPr="00203C7D">
        <w:rPr>
          <w:rFonts w:cs="Times New Roman"/>
          <w:i/>
          <w:iCs/>
          <w:szCs w:val="24"/>
        </w:rPr>
        <w:t>Lewis</w:t>
      </w:r>
      <w:r w:rsidRPr="00203C7D">
        <w:rPr>
          <w:rFonts w:cs="Times New Roman"/>
          <w:szCs w:val="24"/>
        </w:rPr>
        <w:t>,</w:t>
      </w:r>
      <w:r w:rsidRPr="00203C7D">
        <w:rPr>
          <w:rFonts w:cs="Times New Roman"/>
          <w:i/>
          <w:iCs/>
          <w:szCs w:val="24"/>
        </w:rPr>
        <w:t xml:space="preserve"> </w:t>
      </w:r>
      <w:r w:rsidRPr="00203C7D">
        <w:rPr>
          <w:rFonts w:cs="Times New Roman"/>
          <w:szCs w:val="24"/>
        </w:rPr>
        <w:t xml:space="preserve">523 U.S. at 851. </w:t>
      </w:r>
    </w:p>
    <w:p w14:paraId="366D1F63" w14:textId="77777777" w:rsidR="00203C7D" w:rsidRPr="00203C7D" w:rsidRDefault="00203C7D" w:rsidP="00203C7D">
      <w:pPr>
        <w:autoSpaceDE w:val="0"/>
        <w:autoSpaceDN w:val="0"/>
        <w:adjustRightInd w:val="0"/>
        <w:rPr>
          <w:rFonts w:cs="Times New Roman"/>
          <w:szCs w:val="24"/>
        </w:rPr>
      </w:pPr>
    </w:p>
    <w:p w14:paraId="66F031C2" w14:textId="37B09660" w:rsidR="00203C7D" w:rsidRPr="00203C7D" w:rsidRDefault="00203C7D" w:rsidP="004C5D62">
      <w:pPr>
        <w:autoSpaceDE w:val="0"/>
        <w:autoSpaceDN w:val="0"/>
        <w:adjustRightInd w:val="0"/>
        <w:rPr>
          <w:rFonts w:cs="Times New Roman"/>
          <w:szCs w:val="24"/>
        </w:rPr>
      </w:pPr>
      <w:r w:rsidRPr="00203C7D">
        <w:rPr>
          <w:rFonts w:cs="Times New Roman"/>
          <w:szCs w:val="24"/>
        </w:rPr>
        <w:tab/>
      </w:r>
      <w:r w:rsidR="004C5D62">
        <w:rPr>
          <w:rFonts w:cs="Times New Roman"/>
          <w:szCs w:val="24"/>
        </w:rPr>
        <w:t xml:space="preserve">In </w:t>
      </w:r>
      <w:r w:rsidR="004C5D62" w:rsidRPr="0084313B">
        <w:rPr>
          <w:rFonts w:cs="Times New Roman"/>
          <w:i/>
          <w:iCs/>
          <w:szCs w:val="24"/>
        </w:rPr>
        <w:t>Porter v. Osborn</w:t>
      </w:r>
      <w:r w:rsidR="004C5D62" w:rsidRPr="0084313B">
        <w:rPr>
          <w:rFonts w:cs="Times New Roman"/>
          <w:szCs w:val="24"/>
        </w:rPr>
        <w:t>,</w:t>
      </w:r>
      <w:r w:rsidR="004C5D62">
        <w:rPr>
          <w:rFonts w:cs="Times New Roman"/>
          <w:szCs w:val="24"/>
        </w:rPr>
        <w:t xml:space="preserve"> </w:t>
      </w:r>
      <w:r w:rsidR="004C5D62" w:rsidRPr="0084313B">
        <w:rPr>
          <w:rFonts w:cs="Times New Roman"/>
          <w:szCs w:val="24"/>
        </w:rPr>
        <w:t>546 F. 3d 1131 (9th Cir. 2008), the Ninth Circuit held that the “purpose to harm” standard applied to a Fourteenth Amendment familial association claim brought by the surviving parents of a motorist who was shot and killed, “[d]</w:t>
      </w:r>
      <w:proofErr w:type="spellStart"/>
      <w:r w:rsidR="004C5D62" w:rsidRPr="0084313B">
        <w:rPr>
          <w:rFonts w:cs="Times New Roman"/>
          <w:szCs w:val="24"/>
        </w:rPr>
        <w:t>ue</w:t>
      </w:r>
      <w:proofErr w:type="spellEnd"/>
      <w:r w:rsidR="004C5D62" w:rsidRPr="0084313B">
        <w:rPr>
          <w:rFonts w:cs="Times New Roman"/>
          <w:szCs w:val="24"/>
        </w:rPr>
        <w:t xml:space="preserve"> to the rapidly escalating nature of the confrontation” with the motorist, such that actual</w:t>
      </w:r>
      <w:r w:rsidR="004C5D62">
        <w:rPr>
          <w:rFonts w:cs="Times New Roman"/>
          <w:szCs w:val="24"/>
        </w:rPr>
        <w:t xml:space="preserve"> </w:t>
      </w:r>
      <w:r w:rsidR="004C5D62" w:rsidRPr="0084313B">
        <w:rPr>
          <w:rFonts w:cs="Times New Roman"/>
          <w:szCs w:val="24"/>
        </w:rPr>
        <w:t>deliberation was not practical.</w:t>
      </w:r>
      <w:r w:rsidR="004C5D62">
        <w:rPr>
          <w:rFonts w:cs="Times New Roman"/>
          <w:szCs w:val="24"/>
        </w:rPr>
        <w:t xml:space="preserve">  </w:t>
      </w:r>
      <w:r w:rsidR="004C5D62" w:rsidRPr="0084313B">
        <w:rPr>
          <w:rFonts w:cs="Times New Roman"/>
          <w:i/>
          <w:iCs/>
          <w:szCs w:val="24"/>
        </w:rPr>
        <w:t xml:space="preserve">Id. </w:t>
      </w:r>
      <w:r w:rsidR="004C5D62" w:rsidRPr="0084313B">
        <w:rPr>
          <w:rFonts w:cs="Times New Roman"/>
          <w:szCs w:val="24"/>
        </w:rPr>
        <w:t xml:space="preserve">at 1137. </w:t>
      </w:r>
      <w:r w:rsidR="004C5D62">
        <w:rPr>
          <w:rFonts w:cs="Times New Roman"/>
          <w:szCs w:val="24"/>
        </w:rPr>
        <w:t xml:space="preserve"> </w:t>
      </w:r>
      <w:r w:rsidR="004C5D62" w:rsidRPr="0084313B">
        <w:rPr>
          <w:rFonts w:cs="Times New Roman"/>
          <w:szCs w:val="24"/>
        </w:rPr>
        <w:t>Similarly, in</w:t>
      </w:r>
      <w:r w:rsidR="004C5D62">
        <w:rPr>
          <w:rFonts w:cs="Times New Roman"/>
          <w:szCs w:val="24"/>
        </w:rPr>
        <w:t xml:space="preserve"> </w:t>
      </w:r>
      <w:r w:rsidR="004C5D62" w:rsidRPr="003D5515">
        <w:rPr>
          <w:rFonts w:cs="Times New Roman"/>
          <w:i/>
          <w:iCs/>
          <w:szCs w:val="24"/>
        </w:rPr>
        <w:t>Ochoa</w:t>
      </w:r>
      <w:r w:rsidR="004C5D62">
        <w:rPr>
          <w:rFonts w:cs="Times New Roman"/>
          <w:i/>
          <w:iCs/>
          <w:szCs w:val="24"/>
        </w:rPr>
        <w:t xml:space="preserve"> v. City of Mesa</w:t>
      </w:r>
      <w:r w:rsidR="004C5D62" w:rsidRPr="003D5515">
        <w:rPr>
          <w:rFonts w:cs="Times New Roman"/>
          <w:szCs w:val="24"/>
        </w:rPr>
        <w:t>, 26 F.4th</w:t>
      </w:r>
      <w:r w:rsidR="004C5D62">
        <w:rPr>
          <w:rFonts w:cs="Times New Roman"/>
          <w:szCs w:val="24"/>
        </w:rPr>
        <w:t xml:space="preserve"> 1050 (</w:t>
      </w:r>
      <w:r w:rsidR="004C5D62" w:rsidRPr="003D5515">
        <w:rPr>
          <w:rFonts w:cs="Times New Roman"/>
          <w:szCs w:val="24"/>
        </w:rPr>
        <w:t xml:space="preserve">9th Cir. </w:t>
      </w:r>
      <w:r w:rsidR="004C5D62">
        <w:rPr>
          <w:rFonts w:cs="Times New Roman"/>
          <w:szCs w:val="24"/>
        </w:rPr>
        <w:t>2022),</w:t>
      </w:r>
      <w:r w:rsidR="004C5D62" w:rsidRPr="0084313B">
        <w:rPr>
          <w:rFonts w:ascii="TimesNewRomanPSMT" w:hAnsi="TimesNewRomanPSMT" w:cs="TimesNewRomanPSMT"/>
          <w:color w:val="FF0000"/>
          <w:sz w:val="28"/>
          <w:szCs w:val="28"/>
        </w:rPr>
        <w:t xml:space="preserve"> </w:t>
      </w:r>
      <w:r w:rsidR="004C5D62" w:rsidRPr="0084313B">
        <w:rPr>
          <w:rFonts w:cs="Times New Roman"/>
          <w:szCs w:val="24"/>
        </w:rPr>
        <w:t>the Ninth Circuit applied the purpose to harm standard</w:t>
      </w:r>
      <w:r w:rsidR="004C5D62">
        <w:rPr>
          <w:rFonts w:cs="Times New Roman"/>
          <w:szCs w:val="24"/>
        </w:rPr>
        <w:t xml:space="preserve"> </w:t>
      </w:r>
      <w:r w:rsidR="004C5D62" w:rsidRPr="0084313B">
        <w:rPr>
          <w:rFonts w:cs="Times New Roman"/>
          <w:szCs w:val="24"/>
        </w:rPr>
        <w:t>to a familial association claim brought by the surviving relatives of a suspect who</w:t>
      </w:r>
      <w:r w:rsidR="004C5D62">
        <w:rPr>
          <w:rFonts w:cs="Times New Roman"/>
          <w:szCs w:val="24"/>
        </w:rPr>
        <w:t xml:space="preserve"> </w:t>
      </w:r>
      <w:r w:rsidR="004C5D62" w:rsidRPr="0084313B">
        <w:rPr>
          <w:rFonts w:cs="Times New Roman"/>
          <w:szCs w:val="24"/>
        </w:rPr>
        <w:t>was fatally shot after he took a step towards officers while carrying a knife</w:t>
      </w:r>
      <w:r w:rsidR="004C5D62">
        <w:rPr>
          <w:rFonts w:cs="Times New Roman"/>
          <w:szCs w:val="24"/>
        </w:rPr>
        <w:t xml:space="preserve">. </w:t>
      </w:r>
      <w:r w:rsidRPr="00203C7D">
        <w:rPr>
          <w:rFonts w:cs="Times New Roman"/>
          <w:szCs w:val="24"/>
        </w:rPr>
        <w:t xml:space="preserve"> </w:t>
      </w:r>
    </w:p>
    <w:p w14:paraId="27B1C11C" w14:textId="77777777" w:rsidR="00203C7D" w:rsidRPr="00203C7D" w:rsidRDefault="00203C7D" w:rsidP="00203C7D">
      <w:pPr>
        <w:autoSpaceDE w:val="0"/>
        <w:autoSpaceDN w:val="0"/>
        <w:adjustRightInd w:val="0"/>
        <w:rPr>
          <w:rFonts w:cs="Times New Roman"/>
          <w:szCs w:val="24"/>
        </w:rPr>
      </w:pPr>
    </w:p>
    <w:p w14:paraId="694A1CA5" w14:textId="2561AC50"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By contrast, when an officer shot twelve rounds at an occupied vehicle even though the car presented no immediate threat, the Ninth Circuit held that the jury could have reasonably concluded that the officer “acted with the purpose to harm unrelated to a legitimate law enforcement objective,” and </w:t>
      </w:r>
      <w:r w:rsidR="004C5D62">
        <w:rPr>
          <w:rFonts w:cs="Times New Roman"/>
          <w:szCs w:val="24"/>
        </w:rPr>
        <w:t>upheld the jury’s verdict for the suspect’s surviving children</w:t>
      </w:r>
      <w:r w:rsidR="004C5D62" w:rsidRPr="003D5515">
        <w:rPr>
          <w:rFonts w:cs="Times New Roman"/>
          <w:szCs w:val="24"/>
        </w:rPr>
        <w:t>.</w:t>
      </w:r>
      <w:r w:rsidRPr="00203C7D">
        <w:rPr>
          <w:rFonts w:cs="Times New Roman"/>
          <w:szCs w:val="24"/>
        </w:rPr>
        <w:t xml:space="preserve">  </w:t>
      </w:r>
      <w:r w:rsidRPr="00203C7D">
        <w:rPr>
          <w:rFonts w:cs="Times New Roman"/>
          <w:i/>
          <w:iCs/>
          <w:szCs w:val="24"/>
        </w:rPr>
        <w:t>A.D. v. Cal. Highway Patrol</w:t>
      </w:r>
      <w:r w:rsidRPr="00203C7D">
        <w:rPr>
          <w:rFonts w:cs="Times New Roman"/>
          <w:szCs w:val="24"/>
        </w:rPr>
        <w:t>, 712 F.3d 446, 458 (9th Cir. 2013).</w:t>
      </w:r>
    </w:p>
    <w:p w14:paraId="5B39DF19" w14:textId="77777777" w:rsidR="00203C7D" w:rsidRPr="00203C7D" w:rsidRDefault="00203C7D" w:rsidP="00203C7D">
      <w:pPr>
        <w:autoSpaceDE w:val="0"/>
        <w:autoSpaceDN w:val="0"/>
        <w:adjustRightInd w:val="0"/>
        <w:rPr>
          <w:rFonts w:cs="Times New Roman"/>
          <w:szCs w:val="24"/>
        </w:rPr>
      </w:pPr>
    </w:p>
    <w:p w14:paraId="5630B745" w14:textId="2F1C3A67" w:rsid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 xml:space="preserve">Zion v. County of Orange </w:t>
      </w:r>
      <w:r w:rsidRPr="00203C7D">
        <w:rPr>
          <w:rFonts w:cs="Times New Roman"/>
          <w:szCs w:val="24"/>
        </w:rPr>
        <w:t xml:space="preserve">exemplifies the distinction between legitimate and illegitimate official conduct.  The officer in </w:t>
      </w:r>
      <w:r w:rsidRPr="00203C7D">
        <w:rPr>
          <w:rFonts w:cs="Times New Roman"/>
          <w:i/>
          <w:iCs/>
          <w:szCs w:val="24"/>
        </w:rPr>
        <w:t xml:space="preserve">Zion </w:t>
      </w:r>
      <w:r w:rsidRPr="00203C7D">
        <w:rPr>
          <w:rFonts w:cs="Times New Roman"/>
          <w:szCs w:val="24"/>
        </w:rPr>
        <w:t>did not violate the Fourteenth Amendment when he emptied his weapon at a suspect who was fleeing after stabbing an officer because the officer had no time for reflection, and “[w]</w:t>
      </w:r>
      <w:proofErr w:type="spellStart"/>
      <w:r w:rsidRPr="00203C7D">
        <w:rPr>
          <w:rFonts w:cs="Times New Roman"/>
          <w:szCs w:val="24"/>
        </w:rPr>
        <w:t>hether</w:t>
      </w:r>
      <w:proofErr w:type="spellEnd"/>
      <w:r w:rsidRPr="00203C7D">
        <w:rPr>
          <w:rFonts w:cs="Times New Roman"/>
          <w:szCs w:val="24"/>
        </w:rPr>
        <w:t xml:space="preserve"> excessive or not, the shootings served the legitimate purpose of stopping a dangerous suspect.”  874 F.3d 1072, 1077 (9th Cir. 2017).  However, there was a genuine issue of fact as to whether the officer acted with a purpose to harm when, after the suspect was lying on the ground in a fetal position, the officer walked around in a circle for several seconds, then took a running start and stomped on the suspect’s head three times.  </w:t>
      </w:r>
      <w:r w:rsidRPr="00203C7D">
        <w:rPr>
          <w:rFonts w:cs="Times New Roman"/>
          <w:i/>
          <w:iCs/>
          <w:szCs w:val="24"/>
        </w:rPr>
        <w:t xml:space="preserve">See id. </w:t>
      </w:r>
      <w:r w:rsidRPr="00203C7D">
        <w:rPr>
          <w:rFonts w:cs="Times New Roman"/>
          <w:szCs w:val="24"/>
        </w:rPr>
        <w:t>(reversing summary judgment in favor of officer defendant).</w:t>
      </w:r>
    </w:p>
    <w:p w14:paraId="68F943E1" w14:textId="77777777" w:rsidR="004C5D62" w:rsidRPr="00203C7D" w:rsidRDefault="004C5D62" w:rsidP="00203C7D">
      <w:pPr>
        <w:autoSpaceDE w:val="0"/>
        <w:autoSpaceDN w:val="0"/>
        <w:adjustRightInd w:val="0"/>
        <w:rPr>
          <w:rFonts w:cs="Times New Roman"/>
          <w:szCs w:val="24"/>
        </w:rPr>
      </w:pPr>
    </w:p>
    <w:p w14:paraId="10952F44" w14:textId="77777777" w:rsidR="00203C7D" w:rsidRPr="00203C7D" w:rsidRDefault="00203C7D" w:rsidP="00203C7D">
      <w:pPr>
        <w:numPr>
          <w:ilvl w:val="0"/>
          <w:numId w:val="15"/>
        </w:numPr>
        <w:tabs>
          <w:tab w:val="left" w:pos="720"/>
          <w:tab w:val="left" w:pos="1440"/>
          <w:tab w:val="left" w:pos="2160"/>
        </w:tabs>
        <w:autoSpaceDE w:val="0"/>
        <w:autoSpaceDN w:val="0"/>
        <w:adjustRightInd w:val="0"/>
        <w:spacing w:after="160" w:line="259" w:lineRule="auto"/>
        <w:contextualSpacing/>
        <w:rPr>
          <w:rFonts w:cs="Times New Roman"/>
          <w:szCs w:val="24"/>
        </w:rPr>
      </w:pPr>
      <w:r w:rsidRPr="00203C7D">
        <w:rPr>
          <w:rFonts w:cs="Times New Roman"/>
          <w:b/>
          <w:bCs/>
          <w:szCs w:val="24"/>
        </w:rPr>
        <w:t>Deliberate Indifference Standard</w:t>
      </w:r>
      <w:r w:rsidRPr="00203C7D">
        <w:rPr>
          <w:rFonts w:cs="Times New Roman"/>
          <w:szCs w:val="24"/>
        </w:rPr>
        <w:t xml:space="preserve">   </w:t>
      </w:r>
    </w:p>
    <w:p w14:paraId="46430138" w14:textId="77777777" w:rsidR="00203C7D" w:rsidRPr="00203C7D" w:rsidRDefault="00203C7D" w:rsidP="00203C7D">
      <w:pPr>
        <w:tabs>
          <w:tab w:val="left" w:pos="720"/>
          <w:tab w:val="left" w:pos="1440"/>
          <w:tab w:val="left" w:pos="2160"/>
        </w:tabs>
        <w:autoSpaceDE w:val="0"/>
        <w:autoSpaceDN w:val="0"/>
        <w:adjustRightInd w:val="0"/>
        <w:ind w:left="2160"/>
        <w:contextualSpacing/>
        <w:rPr>
          <w:rFonts w:cs="Times New Roman"/>
          <w:szCs w:val="24"/>
        </w:rPr>
      </w:pPr>
    </w:p>
    <w:p w14:paraId="1392A00E"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applies in situations where the officers who caused the harm to the parent or child acted (or failed to act) in a situation when “actual deliberation is practical.”  </w:t>
      </w:r>
      <w:r w:rsidRPr="00203C7D">
        <w:rPr>
          <w:rFonts w:cs="Times New Roman"/>
          <w:i/>
          <w:iCs/>
          <w:szCs w:val="24"/>
        </w:rPr>
        <w:t>Lewis</w:t>
      </w:r>
      <w:r w:rsidRPr="00203C7D">
        <w:rPr>
          <w:rFonts w:cs="Times New Roman"/>
          <w:szCs w:val="24"/>
        </w:rPr>
        <w:t xml:space="preserve">, 523 U.S. at 851.  When officials have “time to make unhurried judgments,” and “extended opportunities to do better,” but unreasonably allow harm to occur, then their “protracted failure even to care” can shock the conscience, thus giving rise to a substantive due process claim.  </w:t>
      </w:r>
      <w:r w:rsidRPr="00203C7D">
        <w:rPr>
          <w:rFonts w:cs="Times New Roman"/>
          <w:i/>
          <w:iCs/>
          <w:szCs w:val="24"/>
        </w:rPr>
        <w:t>Id</w:t>
      </w:r>
      <w:r w:rsidRPr="00203C7D">
        <w:rPr>
          <w:rFonts w:cs="Times New Roman"/>
          <w:szCs w:val="24"/>
        </w:rPr>
        <w:t xml:space="preserve">.  “Actual deliberation” requires a longer period of time than “deliberation” as that term is used in homicide law.  </w:t>
      </w:r>
      <w:r w:rsidRPr="00203C7D">
        <w:rPr>
          <w:rFonts w:cs="Times New Roman"/>
          <w:i/>
          <w:iCs/>
          <w:szCs w:val="24"/>
        </w:rPr>
        <w:t xml:space="preserve">See id. </w:t>
      </w:r>
      <w:r w:rsidRPr="00203C7D">
        <w:rPr>
          <w:rFonts w:cs="Times New Roman"/>
          <w:szCs w:val="24"/>
        </w:rPr>
        <w:t xml:space="preserve">at 851 n.11 (“By ‘actual deliberation,’ we do not mean ‘deliberation’ in the narrow, technical sense in which it has sometimes been used in traditional </w:t>
      </w:r>
      <w:r w:rsidRPr="00203C7D">
        <w:rPr>
          <w:rFonts w:cs="Times New Roman"/>
          <w:szCs w:val="24"/>
        </w:rPr>
        <w:lastRenderedPageBreak/>
        <w:t xml:space="preserve">homicide law.”).  Because it shocks the conscience for officials to cause harm to a parent or child with deliberate indifference, a substantive due process claim of impermissible interference with familial association can arise in these circumstances.  </w:t>
      </w:r>
      <w:r w:rsidRPr="00203C7D">
        <w:rPr>
          <w:rFonts w:cs="Times New Roman"/>
          <w:i/>
          <w:iCs/>
          <w:szCs w:val="24"/>
        </w:rPr>
        <w:t>Porter</w:t>
      </w:r>
      <w:r w:rsidRPr="00203C7D">
        <w:rPr>
          <w:rFonts w:cs="Times New Roman"/>
          <w:szCs w:val="24"/>
        </w:rPr>
        <w:t>, 546 F.3d at 1137.</w:t>
      </w:r>
    </w:p>
    <w:p w14:paraId="7B130356" w14:textId="77777777" w:rsidR="00203C7D" w:rsidRPr="00203C7D" w:rsidRDefault="00203C7D" w:rsidP="00203C7D">
      <w:pPr>
        <w:autoSpaceDE w:val="0"/>
        <w:autoSpaceDN w:val="0"/>
        <w:adjustRightInd w:val="0"/>
        <w:rPr>
          <w:rFonts w:cs="Times New Roman"/>
          <w:szCs w:val="24"/>
        </w:rPr>
      </w:pPr>
    </w:p>
    <w:p w14:paraId="2373FAA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often applies in cases of state officials’ inaction or failure to protect.  Although the Fourteenth Amendment’s due process clause generally does not create an affirmative right to governmental aid, </w:t>
      </w:r>
      <w:r w:rsidRPr="00203C7D">
        <w:rPr>
          <w:rFonts w:cs="Times New Roman"/>
          <w:i/>
          <w:iCs/>
          <w:szCs w:val="24"/>
        </w:rPr>
        <w:t xml:space="preserve">see </w:t>
      </w:r>
      <w:proofErr w:type="spellStart"/>
      <w:r w:rsidRPr="00203C7D">
        <w:rPr>
          <w:rFonts w:cs="Times New Roman"/>
          <w:i/>
          <w:iCs/>
          <w:szCs w:val="24"/>
        </w:rPr>
        <w:t>DeShaney</w:t>
      </w:r>
      <w:proofErr w:type="spellEnd"/>
      <w:r w:rsidRPr="00203C7D">
        <w:rPr>
          <w:rFonts w:cs="Times New Roman"/>
          <w:i/>
          <w:iCs/>
          <w:szCs w:val="24"/>
        </w:rPr>
        <w:t xml:space="preserve"> v. Winnebago </w:t>
      </w:r>
      <w:proofErr w:type="spellStart"/>
      <w:r w:rsidRPr="00203C7D">
        <w:rPr>
          <w:rFonts w:cs="Times New Roman"/>
          <w:i/>
          <w:iCs/>
          <w:szCs w:val="24"/>
        </w:rPr>
        <w:t>Cnty</w:t>
      </w:r>
      <w:proofErr w:type="spellEnd"/>
      <w:r w:rsidRPr="00203C7D">
        <w:rPr>
          <w:rFonts w:cs="Times New Roman"/>
          <w:i/>
          <w:iCs/>
          <w:szCs w:val="24"/>
        </w:rPr>
        <w:t xml:space="preserve">. </w:t>
      </w:r>
      <w:proofErr w:type="spellStart"/>
      <w:r w:rsidRPr="00203C7D">
        <w:rPr>
          <w:rFonts w:cs="Times New Roman"/>
          <w:i/>
          <w:iCs/>
          <w:szCs w:val="24"/>
        </w:rPr>
        <w:t>Dep’t</w:t>
      </w:r>
      <w:proofErr w:type="spellEnd"/>
      <w:r w:rsidRPr="00203C7D">
        <w:rPr>
          <w:rFonts w:cs="Times New Roman"/>
          <w:i/>
          <w:iCs/>
          <w:szCs w:val="24"/>
        </w:rPr>
        <w:t xml:space="preserve"> of Soc. Servs.</w:t>
      </w:r>
      <w:r w:rsidRPr="00203C7D">
        <w:rPr>
          <w:rFonts w:cs="Times New Roman"/>
          <w:szCs w:val="24"/>
        </w:rPr>
        <w:t xml:space="preserve">, 489 U.S. 189, 195–96 (1989), a state actor’s failure to protect “may give rise to a § 1983 claim under the state-created danger exception when the state affirmatively places the plaintiff in danger by acting with deliberate indifference to a known or obvious danger,” </w:t>
      </w:r>
      <w:r w:rsidRPr="00203C7D">
        <w:rPr>
          <w:rFonts w:cs="Times New Roman"/>
          <w:i/>
          <w:iCs/>
          <w:szCs w:val="24"/>
        </w:rPr>
        <w:t>Herrera v. Los Angeles Unified Sch. Dist.</w:t>
      </w:r>
      <w:r w:rsidRPr="00203C7D">
        <w:rPr>
          <w:rFonts w:cs="Times New Roman"/>
          <w:szCs w:val="24"/>
        </w:rPr>
        <w:t xml:space="preserve">, 18 F.4th 1156, 1158 (9th Cir. 2021) (internal quotation marks omitted).  A state actor’s failure to protect may also create liability under § 1983 if the state “takes a person into its custody and holds him there against his will.”  </w:t>
      </w:r>
      <w:proofErr w:type="spellStart"/>
      <w:r w:rsidRPr="00203C7D">
        <w:rPr>
          <w:rFonts w:cs="Times New Roman"/>
          <w:i/>
          <w:iCs/>
          <w:szCs w:val="24"/>
        </w:rPr>
        <w:t>DeShaney</w:t>
      </w:r>
      <w:proofErr w:type="spellEnd"/>
      <w:r w:rsidRPr="00203C7D">
        <w:rPr>
          <w:rFonts w:cs="Times New Roman"/>
          <w:szCs w:val="24"/>
        </w:rPr>
        <w:t xml:space="preserve">, 489 U.S. at 199–200.  The types of custody giving rise to the duty to protect are “incarceration, institutionalization, or other similar restraint of personal liberty.”  </w:t>
      </w:r>
      <w:r w:rsidRPr="00203C7D">
        <w:rPr>
          <w:rFonts w:cs="Times New Roman"/>
          <w:i/>
          <w:iCs/>
          <w:szCs w:val="24"/>
        </w:rPr>
        <w:t xml:space="preserve">Id. </w:t>
      </w:r>
      <w:r w:rsidRPr="00203C7D">
        <w:rPr>
          <w:rFonts w:cs="Times New Roman"/>
          <w:szCs w:val="24"/>
        </w:rPr>
        <w:t>at 200.</w:t>
      </w:r>
    </w:p>
    <w:p w14:paraId="336458D9" w14:textId="77777777" w:rsidR="00203C7D" w:rsidRPr="00203C7D" w:rsidRDefault="00203C7D" w:rsidP="00203C7D">
      <w:pPr>
        <w:autoSpaceDE w:val="0"/>
        <w:autoSpaceDN w:val="0"/>
        <w:adjustRightInd w:val="0"/>
        <w:rPr>
          <w:rFonts w:cs="Times New Roman"/>
          <w:szCs w:val="24"/>
        </w:rPr>
      </w:pPr>
    </w:p>
    <w:p w14:paraId="2BB157CC" w14:textId="77777777" w:rsidR="00203C7D" w:rsidRPr="00203C7D" w:rsidRDefault="00203C7D" w:rsidP="00203C7D">
      <w:pPr>
        <w:autoSpaceDE w:val="0"/>
        <w:autoSpaceDN w:val="0"/>
        <w:adjustRightInd w:val="0"/>
        <w:rPr>
          <w:rFonts w:cs="Times New Roman"/>
          <w:szCs w:val="24"/>
        </w:rPr>
      </w:pPr>
      <w:r w:rsidRPr="00203C7D">
        <w:rPr>
          <w:rFonts w:cs="Times New Roman"/>
          <w:szCs w:val="24"/>
        </w:rPr>
        <w:tab/>
        <w:t xml:space="preserve">The deliberate indifference standard as it applies in cases alleging a deprivation of a familial relationship is a subjective standard.  For a defendant to act with deliberate indifference, he must “recognize the unreasonable risk and actually intend to expose the [victim] to such risks without regard to the consequences to the [victim].”  </w:t>
      </w:r>
      <w:r w:rsidRPr="00203C7D">
        <w:rPr>
          <w:rFonts w:cs="Times New Roman"/>
          <w:i/>
          <w:iCs/>
          <w:szCs w:val="24"/>
        </w:rPr>
        <w:t>Herrera</w:t>
      </w:r>
      <w:r w:rsidRPr="00203C7D">
        <w:rPr>
          <w:rFonts w:cs="Times New Roman"/>
          <w:szCs w:val="24"/>
        </w:rPr>
        <w:t>, 18 F.4th at 1158</w:t>
      </w:r>
      <w:r w:rsidRPr="00203C7D">
        <w:rPr>
          <w:rFonts w:cs="Times New Roman"/>
          <w:i/>
          <w:iCs/>
          <w:szCs w:val="24"/>
        </w:rPr>
        <w:t xml:space="preserve"> </w:t>
      </w:r>
      <w:r w:rsidRPr="00203C7D">
        <w:rPr>
          <w:rFonts w:cs="Times New Roman"/>
          <w:szCs w:val="24"/>
        </w:rPr>
        <w:t xml:space="preserve">(internal quotation marks and brackets omitted).  “Ultimately, a state actor needs to know that something is going to happen but ignore the risk and expose the [victim] to it.”  </w:t>
      </w:r>
      <w:r w:rsidRPr="00203C7D">
        <w:rPr>
          <w:rFonts w:cs="Times New Roman"/>
          <w:i/>
          <w:iCs/>
          <w:szCs w:val="24"/>
        </w:rPr>
        <w:t xml:space="preserve">Id. </w:t>
      </w:r>
      <w:r w:rsidRPr="00203C7D">
        <w:rPr>
          <w:rFonts w:cs="Times New Roman"/>
          <w:szCs w:val="24"/>
        </w:rPr>
        <w:t>at 1158–59 (internal quotation marks and brackets omitted).</w:t>
      </w:r>
    </w:p>
    <w:p w14:paraId="4D81F437" w14:textId="77777777" w:rsidR="00203C7D" w:rsidRPr="00203C7D" w:rsidRDefault="00203C7D" w:rsidP="00203C7D">
      <w:pPr>
        <w:autoSpaceDE w:val="0"/>
        <w:autoSpaceDN w:val="0"/>
        <w:adjustRightInd w:val="0"/>
        <w:rPr>
          <w:rFonts w:cs="Times New Roman"/>
          <w:szCs w:val="24"/>
        </w:rPr>
      </w:pPr>
    </w:p>
    <w:p w14:paraId="0D82CA49" w14:textId="6357B2D4" w:rsidR="00203C7D" w:rsidRDefault="00203C7D" w:rsidP="00203C7D">
      <w:pPr>
        <w:autoSpaceDE w:val="0"/>
        <w:autoSpaceDN w:val="0"/>
        <w:adjustRightInd w:val="0"/>
        <w:rPr>
          <w:rFonts w:cs="Times New Roman"/>
          <w:szCs w:val="24"/>
        </w:rPr>
      </w:pPr>
      <w:r w:rsidRPr="00203C7D">
        <w:rPr>
          <w:rFonts w:cs="Times New Roman"/>
          <w:szCs w:val="24"/>
        </w:rPr>
        <w:tab/>
      </w:r>
      <w:r w:rsidRPr="00203C7D">
        <w:rPr>
          <w:rFonts w:cs="Times New Roman"/>
          <w:i/>
          <w:iCs/>
          <w:szCs w:val="24"/>
        </w:rPr>
        <w:t>Herrera</w:t>
      </w:r>
      <w:r w:rsidRPr="00203C7D">
        <w:rPr>
          <w:rFonts w:cs="Times New Roman"/>
          <w:szCs w:val="24"/>
        </w:rPr>
        <w:t xml:space="preserve"> shows how the subjective standard applies to parents’ claim for deprivation of familial relationship.  In </w:t>
      </w:r>
      <w:r w:rsidRPr="00203C7D">
        <w:rPr>
          <w:rFonts w:cs="Times New Roman"/>
          <w:i/>
          <w:iCs/>
          <w:szCs w:val="24"/>
        </w:rPr>
        <w:t>Herrera</w:t>
      </w:r>
      <w:r w:rsidRPr="00203C7D">
        <w:rPr>
          <w:rFonts w:cs="Times New Roman"/>
          <w:szCs w:val="24"/>
        </w:rPr>
        <w:t xml:space="preserve">, parents claimed that a school aide’s failure to protect their autistic child from drowning in a park swimming pool during a school outing was actionable under the state-created danger exception, and gave rise to a § 1983 claim for deprivation of a parent-child relationship in violation of the Fourteenth Amendment.  </w:t>
      </w:r>
      <w:r w:rsidRPr="00203C7D">
        <w:rPr>
          <w:rFonts w:cs="Times New Roman"/>
          <w:i/>
          <w:iCs/>
          <w:szCs w:val="24"/>
        </w:rPr>
        <w:t xml:space="preserve">See id. </w:t>
      </w:r>
      <w:r w:rsidRPr="00203C7D">
        <w:rPr>
          <w:rFonts w:cs="Times New Roman"/>
          <w:szCs w:val="24"/>
        </w:rPr>
        <w:t xml:space="preserve">at 1161.  The Ninth Circuit held that the school aide had not acted with deliberate indifference because he was unaware of any immediate danger to the child (mistakenly thinking the child was in the locker room rather than in the pool), and there was therefore no evidence that the aide subjectively recognized the risk to the child.  </w:t>
      </w:r>
      <w:r w:rsidRPr="00203C7D">
        <w:rPr>
          <w:rFonts w:cs="Times New Roman"/>
          <w:i/>
          <w:iCs/>
          <w:szCs w:val="24"/>
        </w:rPr>
        <w:t xml:space="preserve">See id. </w:t>
      </w:r>
      <w:r w:rsidRPr="00203C7D">
        <w:rPr>
          <w:rFonts w:cs="Times New Roman"/>
          <w:szCs w:val="24"/>
        </w:rPr>
        <w:t xml:space="preserve">at 1162.  </w:t>
      </w:r>
      <w:r w:rsidR="00BA4CD8" w:rsidRPr="003D5515">
        <w:rPr>
          <w:rFonts w:cs="Times New Roman"/>
          <w:szCs w:val="24"/>
        </w:rPr>
        <w:t xml:space="preserve">Accordingly, </w:t>
      </w:r>
      <w:r w:rsidR="00BA4CD8">
        <w:rPr>
          <w:rFonts w:cs="Times New Roman"/>
          <w:szCs w:val="24"/>
        </w:rPr>
        <w:t>no reasonable jury could conclude that the parents’ Fourteenth Amendment rights were violated.</w:t>
      </w:r>
      <w:r w:rsidRPr="00203C7D">
        <w:rPr>
          <w:rFonts w:cs="Times New Roman"/>
          <w:szCs w:val="24"/>
        </w:rPr>
        <w:t xml:space="preserve">  </w:t>
      </w:r>
      <w:r w:rsidRPr="00203C7D">
        <w:rPr>
          <w:rFonts w:cs="Times New Roman"/>
          <w:i/>
          <w:iCs/>
          <w:szCs w:val="24"/>
        </w:rPr>
        <w:t>See id.</w:t>
      </w:r>
      <w:r w:rsidRPr="00203C7D">
        <w:rPr>
          <w:rFonts w:cs="Times New Roman"/>
          <w:szCs w:val="24"/>
        </w:rPr>
        <w:t xml:space="preserve">; </w:t>
      </w:r>
      <w:r w:rsidRPr="00203C7D">
        <w:rPr>
          <w:rFonts w:cs="Times New Roman"/>
          <w:i/>
          <w:iCs/>
          <w:szCs w:val="24"/>
        </w:rPr>
        <w:t>see also Patel v. Kent Sch. Dist.</w:t>
      </w:r>
      <w:r w:rsidRPr="00203C7D">
        <w:rPr>
          <w:rFonts w:cs="Times New Roman"/>
          <w:szCs w:val="24"/>
        </w:rPr>
        <w:t>, 648 F.3d 965, 971–72 (9th Cir. 2011) (holding that school teacher did not violate student’s Fourteenth Amendment rights by failing to protect the student from having sex with another student in restroom, because there was no proof that teacher knew about any immediate risk).</w:t>
      </w:r>
    </w:p>
    <w:p w14:paraId="36746D1F" w14:textId="2B8B0CA3" w:rsidR="00BA4CD8" w:rsidRDefault="00BA4CD8" w:rsidP="00203C7D">
      <w:pPr>
        <w:autoSpaceDE w:val="0"/>
        <w:autoSpaceDN w:val="0"/>
        <w:adjustRightInd w:val="0"/>
        <w:rPr>
          <w:rFonts w:cs="Times New Roman"/>
          <w:szCs w:val="24"/>
        </w:rPr>
      </w:pPr>
    </w:p>
    <w:p w14:paraId="1070A2E8" w14:textId="4C266204" w:rsidR="00BA4CD8" w:rsidRPr="00203C7D" w:rsidRDefault="00BA4CD8" w:rsidP="00BA4CD8">
      <w:pPr>
        <w:autoSpaceDE w:val="0"/>
        <w:autoSpaceDN w:val="0"/>
        <w:adjustRightInd w:val="0"/>
        <w:ind w:firstLine="720"/>
        <w:rPr>
          <w:rFonts w:cs="Times New Roman"/>
          <w:szCs w:val="24"/>
        </w:rPr>
      </w:pPr>
      <w:r w:rsidRPr="00F92D6D">
        <w:rPr>
          <w:rFonts w:cs="Times New Roman"/>
          <w:szCs w:val="24"/>
        </w:rPr>
        <w:t xml:space="preserve">In cases where the victim is a detainee and the plaintiff is the victim or the victim’s estate, the Ninth Circuit has applied an objective standard for the deliberate indifference inquiry. </w:t>
      </w:r>
      <w:r w:rsidRPr="00F92D6D">
        <w:rPr>
          <w:rFonts w:cs="Times New Roman"/>
          <w:i/>
          <w:iCs/>
          <w:szCs w:val="24"/>
        </w:rPr>
        <w:t>See Castro v. County of Los Angeles</w:t>
      </w:r>
      <w:r w:rsidRPr="00F92D6D">
        <w:rPr>
          <w:rFonts w:cs="Times New Roman"/>
          <w:szCs w:val="24"/>
        </w:rPr>
        <w:t>, 833 F.3d 1060, 1070</w:t>
      </w:r>
      <w:r>
        <w:rPr>
          <w:rFonts w:cs="Times New Roman"/>
          <w:szCs w:val="24"/>
        </w:rPr>
        <w:t>-</w:t>
      </w:r>
      <w:r w:rsidRPr="00F92D6D">
        <w:rPr>
          <w:rFonts w:cs="Times New Roman"/>
          <w:szCs w:val="24"/>
        </w:rPr>
        <w:t>71</w:t>
      </w:r>
      <w:r>
        <w:rPr>
          <w:rFonts w:cs="Times New Roman"/>
          <w:szCs w:val="24"/>
        </w:rPr>
        <w:t xml:space="preserve"> </w:t>
      </w:r>
      <w:r w:rsidRPr="00F92D6D">
        <w:rPr>
          <w:rFonts w:cs="Times New Roman"/>
          <w:szCs w:val="24"/>
        </w:rPr>
        <w:t>(9th Cir. 2016) (</w:t>
      </w:r>
      <w:proofErr w:type="spellStart"/>
      <w:r w:rsidRPr="00F92D6D">
        <w:rPr>
          <w:rFonts w:cs="Times New Roman"/>
          <w:szCs w:val="24"/>
        </w:rPr>
        <w:t>en</w:t>
      </w:r>
      <w:proofErr w:type="spellEnd"/>
      <w:r w:rsidRPr="00F92D6D">
        <w:rPr>
          <w:rFonts w:cs="Times New Roman"/>
          <w:szCs w:val="24"/>
        </w:rPr>
        <w:t xml:space="preserve"> banc). </w:t>
      </w:r>
      <w:r>
        <w:rPr>
          <w:rFonts w:cs="Times New Roman"/>
          <w:szCs w:val="24"/>
        </w:rPr>
        <w:t xml:space="preserve"> </w:t>
      </w:r>
      <w:r w:rsidRPr="00F92D6D">
        <w:rPr>
          <w:rFonts w:cs="Times New Roman"/>
          <w:szCs w:val="24"/>
        </w:rPr>
        <w:t>Under that standard, a pretrial detainee can</w:t>
      </w:r>
      <w:r>
        <w:rPr>
          <w:rFonts w:cs="Times New Roman"/>
          <w:szCs w:val="24"/>
        </w:rPr>
        <w:t xml:space="preserve"> </w:t>
      </w:r>
      <w:r w:rsidRPr="00F92D6D">
        <w:rPr>
          <w:rFonts w:cs="Times New Roman"/>
          <w:szCs w:val="24"/>
        </w:rPr>
        <w:t>maintain a Fourteenth</w:t>
      </w:r>
      <w:r>
        <w:rPr>
          <w:rFonts w:cs="Times New Roman"/>
          <w:szCs w:val="24"/>
        </w:rPr>
        <w:t xml:space="preserve"> </w:t>
      </w:r>
      <w:r w:rsidRPr="00F92D6D">
        <w:rPr>
          <w:rFonts w:cs="Times New Roman"/>
          <w:szCs w:val="24"/>
        </w:rPr>
        <w:t xml:space="preserve">Amendment claim by proving the conduct was objectively unreasonable. </w:t>
      </w:r>
      <w:r>
        <w:rPr>
          <w:rFonts w:cs="Times New Roman"/>
          <w:szCs w:val="24"/>
        </w:rPr>
        <w:t xml:space="preserve"> </w:t>
      </w:r>
      <w:r w:rsidRPr="00F92D6D">
        <w:rPr>
          <w:rFonts w:cs="Times New Roman"/>
          <w:i/>
          <w:iCs/>
          <w:szCs w:val="24"/>
        </w:rPr>
        <w:t xml:space="preserve">See id. </w:t>
      </w:r>
      <w:r w:rsidRPr="00F92D6D">
        <w:rPr>
          <w:rFonts w:cs="Times New Roman"/>
          <w:szCs w:val="24"/>
        </w:rPr>
        <w:t>at</w:t>
      </w:r>
      <w:r>
        <w:rPr>
          <w:rFonts w:cs="Times New Roman"/>
          <w:szCs w:val="24"/>
        </w:rPr>
        <w:t xml:space="preserve"> </w:t>
      </w:r>
      <w:r w:rsidRPr="00F92D6D">
        <w:rPr>
          <w:rFonts w:cs="Times New Roman"/>
          <w:szCs w:val="24"/>
        </w:rPr>
        <w:t xml:space="preserve">1071. </w:t>
      </w:r>
      <w:r>
        <w:rPr>
          <w:rFonts w:cs="Times New Roman"/>
          <w:szCs w:val="24"/>
        </w:rPr>
        <w:t xml:space="preserve"> </w:t>
      </w:r>
      <w:r w:rsidRPr="00F92D6D">
        <w:rPr>
          <w:rFonts w:cs="Times New Roman"/>
          <w:szCs w:val="24"/>
        </w:rPr>
        <w:t>The objective standard has been extended to cases where the detainee is in an</w:t>
      </w:r>
      <w:r>
        <w:rPr>
          <w:rFonts w:cs="Times New Roman"/>
          <w:szCs w:val="24"/>
        </w:rPr>
        <w:t xml:space="preserve"> </w:t>
      </w:r>
      <w:r w:rsidRPr="00F92D6D">
        <w:rPr>
          <w:rFonts w:cs="Times New Roman"/>
          <w:szCs w:val="24"/>
        </w:rPr>
        <w:t xml:space="preserve">immigration facility, </w:t>
      </w:r>
      <w:r w:rsidRPr="00F92D6D">
        <w:rPr>
          <w:rFonts w:cs="Times New Roman"/>
          <w:i/>
          <w:iCs/>
          <w:szCs w:val="24"/>
        </w:rPr>
        <w:t>see Roman v. Wolf</w:t>
      </w:r>
      <w:r w:rsidRPr="00F92D6D">
        <w:rPr>
          <w:rFonts w:cs="Times New Roman"/>
          <w:szCs w:val="24"/>
        </w:rPr>
        <w:t xml:space="preserve">, 977 F.3d 935, 943 (9th Cir. 2020) (per </w:t>
      </w:r>
      <w:proofErr w:type="spellStart"/>
      <w:r w:rsidRPr="00F92D6D">
        <w:rPr>
          <w:rFonts w:cs="Times New Roman"/>
          <w:szCs w:val="24"/>
        </w:rPr>
        <w:t>curiam</w:t>
      </w:r>
      <w:proofErr w:type="spellEnd"/>
      <w:r w:rsidRPr="00F92D6D">
        <w:rPr>
          <w:rFonts w:cs="Times New Roman"/>
          <w:szCs w:val="24"/>
        </w:rPr>
        <w:t xml:space="preserve">), and where the detainee alleges that state officials failed to provide medical care, </w:t>
      </w:r>
      <w:r w:rsidRPr="00F92D6D">
        <w:rPr>
          <w:rFonts w:cs="Times New Roman"/>
          <w:i/>
          <w:iCs/>
          <w:szCs w:val="24"/>
        </w:rPr>
        <w:t xml:space="preserve">see Gordon v. </w:t>
      </w:r>
      <w:proofErr w:type="spellStart"/>
      <w:r w:rsidRPr="00F92D6D">
        <w:rPr>
          <w:rFonts w:cs="Times New Roman"/>
          <w:i/>
          <w:iCs/>
          <w:szCs w:val="24"/>
        </w:rPr>
        <w:t>Cnty</w:t>
      </w:r>
      <w:proofErr w:type="spellEnd"/>
      <w:r w:rsidRPr="00F92D6D">
        <w:rPr>
          <w:rFonts w:cs="Times New Roman"/>
          <w:i/>
          <w:iCs/>
          <w:szCs w:val="24"/>
        </w:rPr>
        <w:t>. of Orange</w:t>
      </w:r>
      <w:r w:rsidRPr="00F92D6D">
        <w:rPr>
          <w:rFonts w:cs="Times New Roman"/>
          <w:szCs w:val="24"/>
        </w:rPr>
        <w:t>, 888 F.3d 1118, 1122</w:t>
      </w:r>
      <w:r>
        <w:rPr>
          <w:rFonts w:cs="Times New Roman"/>
          <w:szCs w:val="24"/>
        </w:rPr>
        <w:t>-</w:t>
      </w:r>
      <w:r w:rsidRPr="00F92D6D">
        <w:rPr>
          <w:rFonts w:cs="Times New Roman"/>
          <w:szCs w:val="24"/>
        </w:rPr>
        <w:t xml:space="preserve">24 (9th Cir. 2018). See Instructions 9.29 (Particular Rights—Fourteenth Amendment—Pretrial Detainee’s Claim of </w:t>
      </w:r>
      <w:r w:rsidRPr="00F92D6D">
        <w:rPr>
          <w:rFonts w:cs="Times New Roman"/>
          <w:szCs w:val="24"/>
        </w:rPr>
        <w:lastRenderedPageBreak/>
        <w:t>Excessive Force), 9.30 (Particular Rights—Fourteenth Amendment— Pretrial Detainee’s Claim re Conditions of Confinement/Medical Care), 9.31 (Particular Rights—Fourteenth Amendment—Pretrial Detainee’s Claim of Failure to Protect), and 9.32A (Particular Rights—Fourteenth Amendment—Due Process—Civil Commitment).</w:t>
      </w:r>
    </w:p>
    <w:p w14:paraId="6D970000" w14:textId="77777777" w:rsidR="00203C7D" w:rsidRPr="00203C7D" w:rsidRDefault="00203C7D" w:rsidP="00203C7D">
      <w:pPr>
        <w:autoSpaceDE w:val="0"/>
        <w:autoSpaceDN w:val="0"/>
        <w:adjustRightInd w:val="0"/>
        <w:rPr>
          <w:rFonts w:cs="Times New Roman"/>
          <w:szCs w:val="24"/>
        </w:rPr>
      </w:pPr>
    </w:p>
    <w:p w14:paraId="54E7E3A7" w14:textId="77777777" w:rsidR="00203C7D" w:rsidRPr="00203C7D" w:rsidRDefault="00203C7D" w:rsidP="00203C7D">
      <w:pPr>
        <w:rPr>
          <w:rFonts w:cs="Times New Roman"/>
          <w:szCs w:val="24"/>
        </w:rPr>
      </w:pPr>
      <w:r w:rsidRPr="00203C7D">
        <w:rPr>
          <w:rFonts w:cs="Times New Roman"/>
          <w:szCs w:val="24"/>
        </w:rPr>
        <w:tab/>
        <w:t xml:space="preserve">In considering whether the objective or subjective standard applied, </w:t>
      </w:r>
      <w:r w:rsidRPr="00203C7D">
        <w:rPr>
          <w:rFonts w:cs="Times New Roman"/>
          <w:i/>
          <w:iCs/>
          <w:szCs w:val="24"/>
        </w:rPr>
        <w:t>Herrera</w:t>
      </w:r>
      <w:r w:rsidRPr="00203C7D">
        <w:rPr>
          <w:rFonts w:cs="Times New Roman"/>
          <w:szCs w:val="24"/>
        </w:rPr>
        <w:t xml:space="preserve"> discussed the objective standard as applied in </w:t>
      </w:r>
      <w:r w:rsidRPr="00203C7D">
        <w:rPr>
          <w:rFonts w:cs="Times New Roman"/>
          <w:i/>
          <w:iCs/>
          <w:szCs w:val="24"/>
        </w:rPr>
        <w:t xml:space="preserve">Castro </w:t>
      </w:r>
      <w:r w:rsidRPr="00203C7D">
        <w:rPr>
          <w:rFonts w:cs="Times New Roman"/>
          <w:szCs w:val="24"/>
        </w:rPr>
        <w:t xml:space="preserve">and its progeny, but concluded that the subjective standard for deliberate indifference applied because the victim in the case was not a detainee.  </w:t>
      </w:r>
      <w:r w:rsidRPr="00203C7D">
        <w:rPr>
          <w:rFonts w:cs="Times New Roman"/>
          <w:i/>
          <w:iCs/>
          <w:szCs w:val="24"/>
        </w:rPr>
        <w:t xml:space="preserve">See </w:t>
      </w:r>
      <w:r w:rsidRPr="00203C7D">
        <w:rPr>
          <w:rFonts w:cs="Times New Roman"/>
          <w:szCs w:val="24"/>
        </w:rPr>
        <w:t xml:space="preserve">18 F.4th at 1160 (“Erick was not detained at the time of his death . . . . We therefore apply a purely subjective standard, consistent with our precedent, requiring the plaintiff to show that the state actor recognized an unreasonable risk and actually intended to expose the plaintiff to such risk.”).  </w:t>
      </w:r>
      <w:r w:rsidRPr="00203C7D">
        <w:rPr>
          <w:rFonts w:cs="Times New Roman"/>
          <w:i/>
          <w:iCs/>
          <w:szCs w:val="24"/>
        </w:rPr>
        <w:t>Herrera</w:t>
      </w:r>
      <w:r w:rsidRPr="00203C7D">
        <w:rPr>
          <w:rFonts w:cs="Times New Roman"/>
          <w:szCs w:val="24"/>
        </w:rPr>
        <w:t>’s analysis suggests that the objective standard applies in a case alleging a deprivation of familial association when the victim is a detainee.  However, the Ninth Circuit has not squarely addressed that question.</w:t>
      </w:r>
    </w:p>
    <w:p w14:paraId="5F156DFC" w14:textId="77777777" w:rsidR="00203C7D" w:rsidRPr="00203C7D" w:rsidRDefault="00203C7D" w:rsidP="00203C7D">
      <w:pPr>
        <w:rPr>
          <w:rFonts w:cs="Times New Roman"/>
          <w:szCs w:val="24"/>
        </w:rPr>
      </w:pPr>
    </w:p>
    <w:p w14:paraId="5429411A" w14:textId="0C8E92DB" w:rsidR="00203C7D" w:rsidRPr="00203C7D" w:rsidRDefault="00203C7D" w:rsidP="00203C7D">
      <w:pPr>
        <w:jc w:val="right"/>
        <w:rPr>
          <w:rFonts w:asciiTheme="minorHAnsi" w:hAnsiTheme="minorHAnsi"/>
          <w:i/>
          <w:iCs/>
          <w:szCs w:val="24"/>
        </w:rPr>
      </w:pPr>
      <w:r w:rsidRPr="00203C7D">
        <w:rPr>
          <w:rFonts w:cs="Times New Roman"/>
          <w:i/>
          <w:iCs/>
          <w:szCs w:val="24"/>
        </w:rPr>
        <w:t xml:space="preserve">Revised </w:t>
      </w:r>
      <w:r w:rsidR="00BA4CD8">
        <w:rPr>
          <w:rFonts w:cs="Times New Roman"/>
          <w:i/>
          <w:iCs/>
          <w:szCs w:val="24"/>
        </w:rPr>
        <w:t>Sept.</w:t>
      </w:r>
      <w:r w:rsidRPr="00203C7D">
        <w:rPr>
          <w:rFonts w:cs="Times New Roman"/>
          <w:i/>
          <w:iCs/>
          <w:szCs w:val="24"/>
        </w:rPr>
        <w:t xml:space="preserve"> 2022</w:t>
      </w:r>
    </w:p>
    <w:p w14:paraId="6A3002E0" w14:textId="4DB35324" w:rsidR="006A4CD7" w:rsidRPr="006A4CD7" w:rsidRDefault="006A4CD7" w:rsidP="00203C7D">
      <w:pPr>
        <w:autoSpaceDE w:val="0"/>
        <w:autoSpaceDN w:val="0"/>
        <w:adjustRightInd w:val="0"/>
        <w:rPr>
          <w:rFonts w:cs="Times New Roman"/>
          <w:szCs w:val="24"/>
        </w:rPr>
      </w:pPr>
    </w:p>
    <w:p w14:paraId="3B37506E" w14:textId="3FAE124B" w:rsidR="00671B7F" w:rsidRDefault="006A4CD7" w:rsidP="007B75B7">
      <w:pPr>
        <w:pStyle w:val="Heading2"/>
      </w:pPr>
      <w:r w:rsidRPr="006A4CD7">
        <w:br w:type="page"/>
      </w:r>
      <w:bookmarkStart w:id="169" w:name="_Toc117512458"/>
      <w:r w:rsidRPr="006A4CD7">
        <w:lastRenderedPageBreak/>
        <w:t>9.32A P</w:t>
      </w:r>
      <w:r w:rsidR="00B3575B">
        <w:t>articular</w:t>
      </w:r>
      <w:r w:rsidRPr="006A4CD7">
        <w:t xml:space="preserve"> R</w:t>
      </w:r>
      <w:r w:rsidR="00B3575B">
        <w:t>ights</w:t>
      </w:r>
      <w:r w:rsidRPr="006A4CD7">
        <w:t>–F</w:t>
      </w:r>
      <w:r w:rsidR="00B3575B">
        <w:t>ourteenth</w:t>
      </w:r>
      <w:r w:rsidRPr="006A4CD7">
        <w:t xml:space="preserve"> A</w:t>
      </w:r>
      <w:r w:rsidR="00B3575B">
        <w:t>mendment</w:t>
      </w:r>
      <w:r w:rsidR="007B75B7">
        <w:t>—</w:t>
      </w:r>
      <w:bookmarkEnd w:id="169"/>
    </w:p>
    <w:p w14:paraId="31E213E8" w14:textId="1A611ACE" w:rsidR="006A4CD7" w:rsidRPr="006A4CD7" w:rsidRDefault="006A4CD7" w:rsidP="007B75B7">
      <w:pPr>
        <w:pStyle w:val="Heading2"/>
      </w:pPr>
      <w:bookmarkStart w:id="170" w:name="_Toc117512459"/>
      <w:r w:rsidRPr="006A4CD7">
        <w:t>D</w:t>
      </w:r>
      <w:r w:rsidR="00B3575B">
        <w:t xml:space="preserve">ue </w:t>
      </w:r>
      <w:r w:rsidRPr="006A4CD7">
        <w:t>P</w:t>
      </w:r>
      <w:r w:rsidR="00B3575B">
        <w:t>rocess</w:t>
      </w:r>
      <w:r w:rsidR="007B75B7">
        <w:t>—</w:t>
      </w:r>
      <w:r w:rsidR="00B3575B">
        <w:t>Civil</w:t>
      </w:r>
      <w:r w:rsidRPr="006A4CD7">
        <w:t xml:space="preserve"> C</w:t>
      </w:r>
      <w:r w:rsidR="00B3575B">
        <w:t>ommitment</w:t>
      </w:r>
      <w:bookmarkEnd w:id="170"/>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commitment, if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 xml:space="preserve">Jones v. </w:t>
      </w:r>
      <w:proofErr w:type="spellStart"/>
      <w:r w:rsidRPr="006A4CD7">
        <w:rPr>
          <w:rFonts w:cs="Times New Roman"/>
          <w:i/>
          <w:iCs/>
          <w:szCs w:val="24"/>
        </w:rPr>
        <w:t>Blanas</w:t>
      </w:r>
      <w:proofErr w:type="spellEnd"/>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similar to,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7119A1FA" w14:textId="0697B80B" w:rsidR="00671B7F" w:rsidRDefault="006A4CD7" w:rsidP="007B75B7">
      <w:pPr>
        <w:pStyle w:val="Heading2"/>
      </w:pPr>
      <w:r w:rsidRPr="006A4CD7">
        <w:br w:type="page"/>
      </w:r>
      <w:bookmarkStart w:id="171" w:name="_Toc117512460"/>
      <w:r w:rsidRPr="006A4CD7">
        <w:lastRenderedPageBreak/>
        <w:t>9.33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bookmarkEnd w:id="171"/>
      <w:r w:rsidRPr="006A4CD7">
        <w:t xml:space="preserve"> </w:t>
      </w:r>
    </w:p>
    <w:p w14:paraId="7D39A138" w14:textId="5F3622A1" w:rsidR="006A4CD7" w:rsidRPr="006A4CD7" w:rsidRDefault="006A4CD7" w:rsidP="007B75B7">
      <w:pPr>
        <w:pStyle w:val="Heading2"/>
      </w:pPr>
      <w:bookmarkStart w:id="172" w:name="_Toc117512461"/>
      <w:r w:rsidRPr="006A4CD7">
        <w:t>P</w:t>
      </w:r>
      <w:r w:rsidR="00B3575B">
        <w:t>rocess</w:t>
      </w:r>
      <w:r w:rsidRPr="006A4CD7">
        <w:t>—D</w:t>
      </w:r>
      <w:r w:rsidR="00B3575B">
        <w:t>eliberate</w:t>
      </w:r>
      <w:r w:rsidRPr="006A4CD7">
        <w:t xml:space="preserve"> F</w:t>
      </w:r>
      <w:r w:rsidR="00B3575B">
        <w:t>abrication of</w:t>
      </w:r>
      <w:r w:rsidRPr="006A4CD7">
        <w:t xml:space="preserve"> E</w:t>
      </w:r>
      <w:r w:rsidR="00B3575B">
        <w:t>vidence</w:t>
      </w:r>
      <w:bookmarkEnd w:id="172"/>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deliberately fabricated evidence that was used to [[criminally charge][prosecute][convict]]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continued [his] [her] investigation of the plaintiff despite the fact that [he] [she] knew that the plaintiff was innocent, or was deliberately indifferent to the plaintiff’s innocence, and the results of the investigation were used to [[criminally charge][prosecute][convict]]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used techniques that were so coercive and abusive that [he][she] knew, or was deliberately indifferent, that those techniques would yield false information that was used to [[criminally charge][prosecute][convict]]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[If the plaintiff proves that the defendant deliberately fabricated evidence that was used to [criminally charge][prosecute][convict]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Use this instruction only in conjunction with the applicable elements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the Ninth Circuit stated that in order to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lastRenderedPageBreak/>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263 F.3d 1070, 1076 (9th Cir. 2001) (</w:t>
      </w:r>
      <w:proofErr w:type="spellStart"/>
      <w:r w:rsidRPr="00FE7931">
        <w:rPr>
          <w:rFonts w:cs="Times New Roman"/>
          <w:szCs w:val="24"/>
        </w:rPr>
        <w:t>en</w:t>
      </w:r>
      <w:proofErr w:type="spellEnd"/>
      <w:r w:rsidRPr="00FE7931">
        <w:rPr>
          <w:rFonts w:cs="Times New Roman"/>
          <w:szCs w:val="24"/>
        </w:rPr>
        <w:t xml:space="preserve">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 xml:space="preserve">see also </w:t>
      </w:r>
      <w:proofErr w:type="spellStart"/>
      <w:r w:rsidRPr="00FE7931">
        <w:rPr>
          <w:rFonts w:cs="Times New Roman"/>
          <w:i/>
          <w:iCs/>
          <w:szCs w:val="24"/>
        </w:rPr>
        <w:t>O’Doan</w:t>
      </w:r>
      <w:proofErr w:type="spellEnd"/>
      <w:r w:rsidRPr="00FE7931">
        <w:rPr>
          <w:rFonts w:cs="Times New Roman"/>
          <w:i/>
          <w:iCs/>
          <w:szCs w:val="24"/>
        </w:rPr>
        <w:t xml:space="preserve"> v. Sanford</w:t>
      </w:r>
      <w:r w:rsidRPr="00FE7931">
        <w:rPr>
          <w:rFonts w:cs="Times New Roman"/>
          <w:szCs w:val="24"/>
        </w:rPr>
        <w:t xml:space="preserve">, 991 F.3d 1027, 1046 (9th Cir. 2021) (confirming </w:t>
      </w:r>
      <w:proofErr w:type="spellStart"/>
      <w:r w:rsidRPr="00FE7931">
        <w:rPr>
          <w:rFonts w:cs="Times New Roman"/>
          <w:i/>
          <w:iCs/>
          <w:szCs w:val="24"/>
        </w:rPr>
        <w:t>Devereau</w:t>
      </w:r>
      <w:proofErr w:type="spellEnd"/>
      <w:r w:rsidRPr="00FE7931">
        <w:rPr>
          <w:rFonts w:cs="Times New Roman"/>
          <w:i/>
          <w:iCs/>
          <w:szCs w:val="24"/>
        </w:rPr>
        <w:t xml:space="preserve">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1B4E5AA0"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w:t>
      </w:r>
      <w:r w:rsidR="00D7108D" w:rsidRPr="00FE7931">
        <w:rPr>
          <w:rFonts w:cs="Times New Roman"/>
          <w:szCs w:val="24"/>
        </w:rPr>
        <w:t>acquitted,</w:t>
      </w:r>
      <w:r w:rsidRPr="00FE7931">
        <w:rPr>
          <w:rFonts w:cs="Times New Roman"/>
          <w:szCs w:val="24"/>
        </w:rPr>
        <w:t xml:space="preserve">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in order to secure a criminal conviction violates the Constitution”); </w:t>
      </w:r>
      <w:r w:rsidRPr="00FE7931">
        <w:rPr>
          <w:rFonts w:cs="Times New Roman"/>
          <w:i/>
          <w:iCs/>
          <w:szCs w:val="24"/>
        </w:rPr>
        <w:t>Cole v. Carson</w:t>
      </w:r>
      <w:r w:rsidRPr="00FE7931">
        <w:rPr>
          <w:rFonts w:cs="Times New Roman"/>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w:t>
      </w:r>
      <w:proofErr w:type="spellStart"/>
      <w:r w:rsidRPr="00FE7931">
        <w:rPr>
          <w:rFonts w:cs="Times New Roman"/>
          <w:szCs w:val="24"/>
        </w:rPr>
        <w:t>iling</w:t>
      </w:r>
      <w:proofErr w:type="spellEnd"/>
      <w:r w:rsidRPr="00FE7931">
        <w:rPr>
          <w:rFonts w:cs="Times New Roman"/>
          <w:szCs w:val="24"/>
        </w:rPr>
        <w:t xml:space="preserve"> of a criminal complaint immunizes</w:t>
      </w:r>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investigating officers . . . because it is presumed that the prosecutor filing the complaint</w:t>
      </w:r>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exercised independent judgment in determining that probable cause for an accused’s arrest</w:t>
      </w:r>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 xml:space="preserve">Caldwell v. City &amp; </w:t>
      </w:r>
      <w:proofErr w:type="spellStart"/>
      <w:r w:rsidRPr="00FE7931">
        <w:rPr>
          <w:rFonts w:cs="Times New Roman"/>
          <w:i/>
          <w:iCs/>
          <w:szCs w:val="24"/>
        </w:rPr>
        <w:t>Cnty</w:t>
      </w:r>
      <w:proofErr w:type="spellEnd"/>
      <w:r w:rsidRPr="00FE7931">
        <w:rPr>
          <w:rFonts w:cs="Times New Roman"/>
          <w:i/>
          <w:iCs/>
          <w:szCs w:val="24"/>
        </w:rPr>
        <w:t>.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proofErr w:type="spellStart"/>
      <w:r w:rsidRPr="00FE7931">
        <w:rPr>
          <w:rFonts w:cs="Times New Roman"/>
          <w:i/>
          <w:iCs/>
          <w:szCs w:val="24"/>
        </w:rPr>
        <w:t>Smiddy</w:t>
      </w:r>
      <w:proofErr w:type="spellEnd"/>
      <w:r w:rsidRPr="00FE7931">
        <w:rPr>
          <w:rFonts w:cs="Times New Roman"/>
          <w:i/>
          <w:iCs/>
          <w:szCs w:val="24"/>
        </w:rPr>
        <w:t xml:space="preserve">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presumption can be overcome if a plaintiff establishes that officers “either presented false</w:t>
      </w:r>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“the analysis reverts back to a normal causation question” and the issue again becomes</w:t>
      </w:r>
    </w:p>
    <w:p w14:paraId="5C3953E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An official’s deliberate fabrication of evidence or use of perjury also violates the rights</w:t>
      </w:r>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w:t>
      </w:r>
      <w:proofErr w:type="spellStart"/>
      <w:r w:rsidRPr="00FE7931">
        <w:rPr>
          <w:rFonts w:cs="Times New Roman"/>
          <w:szCs w:val="24"/>
        </w:rPr>
        <w:t>overnment</w:t>
      </w:r>
      <w:proofErr w:type="spellEnd"/>
      <w:r w:rsidRPr="00FE7931">
        <w:rPr>
          <w:rFonts w:cs="Times New Roman"/>
          <w:szCs w:val="24"/>
        </w:rPr>
        <w:t xml:space="preserve">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5BE9DCC6" w:rsidR="00FE7931" w:rsidRPr="00FE7931" w:rsidRDefault="00FE7931" w:rsidP="00FE7931">
      <w:pPr>
        <w:autoSpaceDE w:val="0"/>
        <w:autoSpaceDN w:val="0"/>
        <w:adjustRightInd w:val="0"/>
        <w:rPr>
          <w:rFonts w:cs="Times New Roman"/>
          <w:szCs w:val="24"/>
        </w:rPr>
      </w:pPr>
      <w:r w:rsidRPr="00FE7931">
        <w:rPr>
          <w:rFonts w:cs="Times New Roman"/>
          <w:szCs w:val="24"/>
        </w:rPr>
        <w:t xml:space="preserve">Fourteenth Amendment’s guarantee of Due Process in our courts </w:t>
      </w:r>
      <w:r w:rsidR="00D7108D" w:rsidRPr="00FE7931">
        <w:rPr>
          <w:rFonts w:cs="Times New Roman"/>
          <w:szCs w:val="24"/>
        </w:rPr>
        <w:t>. . ..</w:t>
      </w:r>
      <w:r w:rsidRPr="00FE7931">
        <w:rPr>
          <w:rFonts w:cs="Times New Roman"/>
          <w:szCs w:val="24"/>
        </w:rPr>
        <w:t xml:space="preserve">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circumstances in a dependency proceeding that would permit government officials to bear false</w:t>
      </w:r>
    </w:p>
    <w:p w14:paraId="0E182D40" w14:textId="77777777" w:rsidR="00D91173" w:rsidRDefault="00D91173" w:rsidP="00FE7931">
      <w:pPr>
        <w:autoSpaceDE w:val="0"/>
        <w:autoSpaceDN w:val="0"/>
        <w:adjustRightInd w:val="0"/>
        <w:rPr>
          <w:rFonts w:cs="Times New Roman"/>
          <w:szCs w:val="24"/>
        </w:rPr>
      </w:pPr>
    </w:p>
    <w:p w14:paraId="4C647BC2" w14:textId="508C9843" w:rsidR="00FE7931" w:rsidRDefault="00FE7931" w:rsidP="00FE7931">
      <w:pPr>
        <w:autoSpaceDE w:val="0"/>
        <w:autoSpaceDN w:val="0"/>
        <w:adjustRightInd w:val="0"/>
        <w:rPr>
          <w:rFonts w:cs="Times New Roman"/>
          <w:szCs w:val="24"/>
        </w:rPr>
      </w:pPr>
      <w:r w:rsidRPr="00FE7931">
        <w:rPr>
          <w:rFonts w:cs="Times New Roman"/>
          <w:szCs w:val="24"/>
        </w:rPr>
        <w:lastRenderedPageBreak/>
        <w:t xml:space="preserve">witness against a parent.”  </w:t>
      </w:r>
      <w:r w:rsidRPr="00FE7931">
        <w:rPr>
          <w:rFonts w:cs="Times New Roman"/>
          <w:i/>
          <w:iCs/>
          <w:szCs w:val="24"/>
        </w:rPr>
        <w:t xml:space="preserve">Hardwick v. </w:t>
      </w:r>
      <w:proofErr w:type="spellStart"/>
      <w:r w:rsidRPr="00FE7931">
        <w:rPr>
          <w:rFonts w:cs="Times New Roman"/>
          <w:i/>
          <w:iCs/>
          <w:szCs w:val="24"/>
        </w:rPr>
        <w:t>Vreeken</w:t>
      </w:r>
      <w:proofErr w:type="spellEnd"/>
      <w:r w:rsidRPr="00FE7931">
        <w:rPr>
          <w:rFonts w:cs="Times New Roman"/>
          <w:szCs w:val="24"/>
        </w:rPr>
        <w:t>, 844 F.3d 1112, 1120 (9th Cir. 2017).</w:t>
      </w:r>
    </w:p>
    <w:p w14:paraId="3CBA1C08" w14:textId="77777777" w:rsidR="00D91173" w:rsidRPr="00FE7931" w:rsidRDefault="00D91173" w:rsidP="00FE7931">
      <w:pPr>
        <w:autoSpaceDE w:val="0"/>
        <w:autoSpaceDN w:val="0"/>
        <w:adjustRightInd w:val="0"/>
        <w:rPr>
          <w:rFonts w:cs="Times New Roman"/>
          <w:szCs w:val="24"/>
        </w:rPr>
      </w:pP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833 F.3d 1060, 1071 (9th Cir. 2016) (</w:t>
      </w:r>
      <w:proofErr w:type="spellStart"/>
      <w:r w:rsidRPr="00FE7931">
        <w:rPr>
          <w:rFonts w:cs="Times New Roman"/>
          <w:szCs w:val="24"/>
        </w:rPr>
        <w:t>en</w:t>
      </w:r>
      <w:proofErr w:type="spellEnd"/>
      <w:r w:rsidRPr="00FE7931">
        <w:rPr>
          <w:rFonts w:cs="Times New Roman"/>
          <w:szCs w:val="24"/>
        </w:rPr>
        <w:t xml:space="preserve">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77777777"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Revised Sept. 2021</w:t>
      </w:r>
    </w:p>
    <w:p w14:paraId="35012A98" w14:textId="7F234338" w:rsidR="006A4CD7" w:rsidRPr="006A4CD7" w:rsidRDefault="006A4CD7" w:rsidP="00FE7931">
      <w:pPr>
        <w:autoSpaceDE w:val="0"/>
        <w:autoSpaceDN w:val="0"/>
        <w:adjustRightInd w:val="0"/>
        <w:rPr>
          <w:rFonts w:cs="Times New Roman"/>
          <w:szCs w:val="24"/>
        </w:rPr>
      </w:pPr>
    </w:p>
    <w:p w14:paraId="4EB96201" w14:textId="0E8B8490" w:rsidR="00671B7F" w:rsidRDefault="006A4CD7" w:rsidP="007B75B7">
      <w:pPr>
        <w:pStyle w:val="Heading2"/>
      </w:pPr>
      <w:r w:rsidRPr="006A4CD7">
        <w:br w:type="page"/>
      </w:r>
      <w:bookmarkStart w:id="173" w:name="_Toc117512462"/>
      <w:r w:rsidRPr="006A4CD7">
        <w:lastRenderedPageBreak/>
        <w:t>9.33A P</w:t>
      </w:r>
      <w:r w:rsidR="00B3575B">
        <w:t>articular</w:t>
      </w:r>
      <w:r w:rsidRPr="006A4CD7">
        <w:t xml:space="preserve"> R</w:t>
      </w:r>
      <w:r w:rsidR="00B3575B">
        <w:t>ights</w:t>
      </w:r>
      <w:r w:rsidRPr="006A4CD7">
        <w:t>—F</w:t>
      </w:r>
      <w:r w:rsidR="00B3575B">
        <w:t xml:space="preserve">ourteenth </w:t>
      </w:r>
      <w:r w:rsidRPr="006A4CD7">
        <w:t>A</w:t>
      </w:r>
      <w:r w:rsidR="00B3575B">
        <w:t>mendment</w:t>
      </w:r>
      <w:r w:rsidRPr="006A4CD7">
        <w:t>—</w:t>
      </w:r>
      <w:r w:rsidR="00B3575B">
        <w:t>Due Process</w:t>
      </w:r>
      <w:r w:rsidRPr="006A4CD7">
        <w:t>—</w:t>
      </w:r>
      <w:bookmarkEnd w:id="173"/>
    </w:p>
    <w:p w14:paraId="667FC4F8" w14:textId="534846D7" w:rsidR="006A4CD7" w:rsidRPr="006A4CD7" w:rsidRDefault="006A4CD7" w:rsidP="007B75B7">
      <w:pPr>
        <w:pStyle w:val="Heading2"/>
      </w:pPr>
      <w:bookmarkStart w:id="174" w:name="_Toc117512463"/>
      <w:r w:rsidRPr="00B3575B">
        <w:t>D</w:t>
      </w:r>
      <w:r w:rsidR="00B3575B" w:rsidRPr="00B3575B">
        <w:t>eliberate</w:t>
      </w:r>
      <w:r w:rsidRPr="00B3575B">
        <w:t xml:space="preserve"> </w:t>
      </w:r>
      <w:r w:rsidR="00B3575B" w:rsidRPr="00B3575B">
        <w:t>or</w:t>
      </w:r>
      <w:r w:rsidRPr="00B3575B">
        <w:t xml:space="preserve"> R</w:t>
      </w:r>
      <w:r w:rsidR="00B3575B" w:rsidRPr="00B3575B">
        <w:t>eckless</w:t>
      </w:r>
      <w:r w:rsidRPr="00B3575B">
        <w:t xml:space="preserve"> S</w:t>
      </w:r>
      <w:r w:rsidR="00B3575B" w:rsidRPr="00B3575B">
        <w:t>uppression</w:t>
      </w:r>
      <w:r w:rsidRPr="00B3575B">
        <w:t xml:space="preserve"> </w:t>
      </w:r>
      <w:r w:rsidR="00B3575B" w:rsidRPr="00B3575B">
        <w:t>of</w:t>
      </w:r>
      <w:r w:rsidRPr="00B3575B">
        <w:t xml:space="preserve"> E</w:t>
      </w:r>
      <w:r w:rsidR="00B3575B" w:rsidRPr="00B3575B">
        <w:t>vidence</w:t>
      </w:r>
      <w:bookmarkEnd w:id="174"/>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from the prosecutor and the defense;</w:t>
      </w:r>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9.3–9.9.  </w:t>
      </w:r>
      <w:r w:rsidRPr="006A4CD7">
        <w:rPr>
          <w:rFonts w:cs="Times New Roman"/>
          <w:i/>
          <w:iCs/>
          <w:szCs w:val="24"/>
        </w:rPr>
        <w:t xml:space="preserve">See </w:t>
      </w:r>
      <w:proofErr w:type="spellStart"/>
      <w:r w:rsidRPr="006A4CD7">
        <w:rPr>
          <w:rFonts w:cs="Times New Roman"/>
          <w:i/>
          <w:iCs/>
          <w:szCs w:val="24"/>
        </w:rPr>
        <w:t>Mellen</w:t>
      </w:r>
      <w:proofErr w:type="spellEnd"/>
      <w:r w:rsidRPr="006A4CD7">
        <w:rPr>
          <w:rFonts w:cs="Times New Roman"/>
          <w:i/>
          <w:iCs/>
          <w:szCs w:val="24"/>
        </w:rPr>
        <w:t xml:space="preserve"> v. Winn</w:t>
      </w:r>
      <w:r w:rsidRPr="006A4CD7">
        <w:rPr>
          <w:rFonts w:cs="Times New Roman"/>
          <w:szCs w:val="24"/>
        </w:rPr>
        <w:t xml:space="preserve">, 900 F.3d 1085, 1096 (9th Cir. 2018); </w:t>
      </w:r>
      <w:r w:rsidRPr="006A4CD7">
        <w:rPr>
          <w:rFonts w:cs="Times New Roman"/>
          <w:i/>
          <w:iCs/>
          <w:szCs w:val="24"/>
        </w:rPr>
        <w:t xml:space="preserve">Tennison v. City &amp; </w:t>
      </w:r>
      <w:proofErr w:type="spellStart"/>
      <w:r w:rsidRPr="006A4CD7">
        <w:rPr>
          <w:rFonts w:cs="Times New Roman"/>
          <w:i/>
          <w:iCs/>
          <w:szCs w:val="24"/>
        </w:rPr>
        <w:t>Cnty</w:t>
      </w:r>
      <w:proofErr w:type="spellEnd"/>
      <w:r w:rsidRPr="006A4CD7">
        <w:rPr>
          <w:rFonts w:cs="Times New Roman"/>
          <w:i/>
          <w:iCs/>
          <w:szCs w:val="24"/>
        </w:rPr>
        <w:t>. of S.F.</w:t>
      </w:r>
      <w:r w:rsidRPr="006A4CD7">
        <w:rPr>
          <w:rFonts w:cs="Times New Roman"/>
          <w:szCs w:val="24"/>
        </w:rPr>
        <w:t>, 570 F.3d 1078, 1087, 1089 (9th Cir. 2009);</w:t>
      </w:r>
      <w:r w:rsidRPr="006A4CD7">
        <w:rPr>
          <w:rFonts w:cs="Times New Roman"/>
          <w:i/>
          <w:iCs/>
          <w:szCs w:val="24"/>
        </w:rPr>
        <w:t xml:space="preserve"> see also Carrillo v. </w:t>
      </w:r>
      <w:proofErr w:type="spellStart"/>
      <w:r w:rsidRPr="006A4CD7">
        <w:rPr>
          <w:rFonts w:cs="Times New Roman"/>
          <w:i/>
          <w:iCs/>
          <w:szCs w:val="24"/>
        </w:rPr>
        <w:t>Cnty</w:t>
      </w:r>
      <w:proofErr w:type="spellEnd"/>
      <w:r w:rsidRPr="006A4CD7">
        <w:rPr>
          <w:rFonts w:cs="Times New Roman"/>
          <w:i/>
          <w:iCs/>
          <w:szCs w:val="24"/>
        </w:rPr>
        <w:t>.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A7E2FD7" w14:textId="26D89C66" w:rsidR="006A4CD7" w:rsidRPr="007B75B7" w:rsidRDefault="006A4CD7" w:rsidP="007B75B7">
      <w:pPr>
        <w:pStyle w:val="Heading2"/>
      </w:pPr>
      <w:r w:rsidRPr="006A4CD7">
        <w:br w:type="page"/>
      </w:r>
      <w:bookmarkStart w:id="175" w:name="_Toc117512464"/>
      <w:r w:rsidRPr="006A4CD7">
        <w:lastRenderedPageBreak/>
        <w:t>9.33B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P</w:t>
      </w:r>
      <w:r w:rsidR="00B3575B">
        <w:t>rocess</w:t>
      </w:r>
      <w:r w:rsidRPr="006A4CD7">
        <w:t>—S</w:t>
      </w:r>
      <w:r w:rsidR="00B3575B">
        <w:t>tate</w:t>
      </w:r>
      <w:r w:rsidRPr="006A4CD7">
        <w:t>-C</w:t>
      </w:r>
      <w:r w:rsidR="00B3575B">
        <w:t>reated</w:t>
      </w:r>
      <w:r w:rsidRPr="006A4CD7">
        <w:t xml:space="preserve"> D</w:t>
      </w:r>
      <w:r w:rsidR="00B3575B">
        <w:t>anger</w:t>
      </w:r>
      <w:bookmarkEnd w:id="175"/>
    </w:p>
    <w:p w14:paraId="75FE02B3" w14:textId="77777777" w:rsidR="006A4CD7" w:rsidRPr="006A4CD7" w:rsidRDefault="006A4CD7" w:rsidP="0060759C">
      <w:pPr>
        <w:autoSpaceDE w:val="0"/>
        <w:autoSpaceDN w:val="0"/>
        <w:adjustRightInd w:val="0"/>
        <w:jc w:val="center"/>
        <w:rPr>
          <w:rFonts w:cs="Times New Roman"/>
          <w:szCs w:val="24"/>
        </w:rPr>
      </w:pPr>
    </w:p>
    <w:p w14:paraId="2CBA84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w:t>
      </w:r>
    </w:p>
    <w:p w14:paraId="0A8130ED" w14:textId="77777777" w:rsidR="006A4CD7" w:rsidRPr="006A4CD7" w:rsidRDefault="006A4CD7" w:rsidP="0060759C">
      <w:pPr>
        <w:autoSpaceDE w:val="0"/>
        <w:autoSpaceDN w:val="0"/>
        <w:adjustRightInd w:val="0"/>
        <w:rPr>
          <w:rFonts w:cs="Times New Roman"/>
          <w:szCs w:val="24"/>
        </w:rPr>
      </w:pPr>
    </w:p>
    <w:p w14:paraId="193EB7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this case, the plaintiff alleges that the defendant[s] deprived the plaintiff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613C888" w14:textId="77777777" w:rsidR="006A4CD7" w:rsidRPr="006A4CD7" w:rsidRDefault="006A4CD7" w:rsidP="0060759C">
      <w:pPr>
        <w:autoSpaceDE w:val="0"/>
        <w:autoSpaceDN w:val="0"/>
        <w:adjustRightInd w:val="0"/>
        <w:rPr>
          <w:rFonts w:cs="Times New Roman"/>
          <w:szCs w:val="24"/>
        </w:rPr>
      </w:pPr>
    </w:p>
    <w:p w14:paraId="1000C1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07F914AA" w14:textId="77777777" w:rsidR="006A4CD7" w:rsidRPr="006A4CD7" w:rsidRDefault="006A4CD7" w:rsidP="0060759C">
      <w:pPr>
        <w:autoSpaceDE w:val="0"/>
        <w:autoSpaceDN w:val="0"/>
        <w:adjustRightInd w:val="0"/>
        <w:rPr>
          <w:rFonts w:cs="Times New Roman"/>
          <w:szCs w:val="24"/>
        </w:rPr>
      </w:pPr>
    </w:p>
    <w:p w14:paraId="799A7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defendant[s] deprived the plaintiff of this Fourteenth Amendment right, the plaintiff must prove the following additional elements by a preponderance of the evidence:</w:t>
      </w:r>
    </w:p>
    <w:p w14:paraId="356CB72B" w14:textId="77777777" w:rsidR="006A4CD7" w:rsidRPr="006A4CD7" w:rsidRDefault="006A4CD7" w:rsidP="0060759C">
      <w:pPr>
        <w:autoSpaceDE w:val="0"/>
        <w:autoSpaceDN w:val="0"/>
        <w:adjustRightInd w:val="0"/>
        <w:rPr>
          <w:rFonts w:cs="Times New Roman"/>
          <w:szCs w:val="24"/>
        </w:rPr>
      </w:pPr>
    </w:p>
    <w:p w14:paraId="26BBB694"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committed an affirmative act;</w:t>
      </w:r>
    </w:p>
    <w:p w14:paraId="0A5809F6" w14:textId="77777777" w:rsidR="006A4CD7" w:rsidRPr="006A4CD7" w:rsidRDefault="006A4CD7" w:rsidP="00060129">
      <w:pPr>
        <w:autoSpaceDE w:val="0"/>
        <w:autoSpaceDN w:val="0"/>
        <w:adjustRightInd w:val="0"/>
        <w:ind w:left="1440" w:hanging="720"/>
        <w:rPr>
          <w:rFonts w:cs="Times New Roman"/>
          <w:szCs w:val="24"/>
        </w:rPr>
      </w:pPr>
    </w:p>
    <w:p w14:paraId="6E82CCB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affirmative act placed the plaintiff in a position of an actual, particularized danger by creating or exposing the plaintiff to a danger that [he] [she] would not have otherwise faced;</w:t>
      </w:r>
    </w:p>
    <w:p w14:paraId="2AF3E0EC" w14:textId="77777777" w:rsidR="006A4CD7" w:rsidRPr="006A4CD7" w:rsidRDefault="006A4CD7" w:rsidP="00060129">
      <w:pPr>
        <w:autoSpaceDE w:val="0"/>
        <w:autoSpaceDN w:val="0"/>
        <w:adjustRightInd w:val="0"/>
        <w:ind w:left="1440" w:hanging="720"/>
        <w:rPr>
          <w:rFonts w:cs="Times New Roman"/>
          <w:szCs w:val="24"/>
        </w:rPr>
      </w:pPr>
    </w:p>
    <w:p w14:paraId="690874C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acted with deliberate indifference to a known or obvious danger; and</w:t>
      </w:r>
    </w:p>
    <w:p w14:paraId="0475F016" w14:textId="77777777" w:rsidR="006A4CD7" w:rsidRPr="006A4CD7" w:rsidRDefault="006A4CD7" w:rsidP="00060129">
      <w:pPr>
        <w:autoSpaceDE w:val="0"/>
        <w:autoSpaceDN w:val="0"/>
        <w:adjustRightInd w:val="0"/>
        <w:ind w:left="1440" w:hanging="720"/>
        <w:rPr>
          <w:rFonts w:cs="Times New Roman"/>
          <w:szCs w:val="24"/>
        </w:rPr>
      </w:pPr>
    </w:p>
    <w:p w14:paraId="3B882906"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affirmative act that created the actual, particularized danger caused injury to the plaintiff that was foreseeable.</w:t>
      </w:r>
    </w:p>
    <w:p w14:paraId="719AAB63" w14:textId="77777777" w:rsidR="006A4CD7" w:rsidRPr="006A4CD7" w:rsidRDefault="006A4CD7" w:rsidP="0060759C">
      <w:pPr>
        <w:autoSpaceDE w:val="0"/>
        <w:autoSpaceDN w:val="0"/>
        <w:adjustRightInd w:val="0"/>
        <w:rPr>
          <w:rFonts w:cs="Times New Roman"/>
          <w:szCs w:val="24"/>
        </w:rPr>
      </w:pPr>
    </w:p>
    <w:p w14:paraId="55ADD7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930F796" w14:textId="77777777" w:rsidR="006A4CD7" w:rsidRPr="006A4CD7" w:rsidRDefault="006A4CD7" w:rsidP="0060759C">
      <w:pPr>
        <w:autoSpaceDE w:val="0"/>
        <w:autoSpaceDN w:val="0"/>
        <w:adjustRightInd w:val="0"/>
        <w:jc w:val="center"/>
        <w:rPr>
          <w:rFonts w:cs="Times New Roman"/>
          <w:szCs w:val="24"/>
        </w:rPr>
      </w:pPr>
    </w:p>
    <w:p w14:paraId="3696DD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C7F709" w14:textId="77777777" w:rsidR="006A4CD7" w:rsidRPr="006A4CD7" w:rsidRDefault="006A4CD7" w:rsidP="0060759C">
      <w:pPr>
        <w:autoSpaceDE w:val="0"/>
        <w:autoSpaceDN w:val="0"/>
        <w:adjustRightInd w:val="0"/>
        <w:jc w:val="center"/>
        <w:rPr>
          <w:rFonts w:cs="Times New Roman"/>
          <w:szCs w:val="24"/>
        </w:rPr>
      </w:pPr>
    </w:p>
    <w:p w14:paraId="165CED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061EDA3C" w14:textId="77777777" w:rsidR="006A4CD7" w:rsidRPr="006A4CD7" w:rsidRDefault="006A4CD7" w:rsidP="0060759C">
      <w:pPr>
        <w:autoSpaceDE w:val="0"/>
        <w:autoSpaceDN w:val="0"/>
        <w:adjustRightInd w:val="0"/>
        <w:rPr>
          <w:rFonts w:cs="Times New Roman"/>
          <w:szCs w:val="24"/>
        </w:rPr>
      </w:pPr>
    </w:p>
    <w:p w14:paraId="68A6E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Hernandez v. City of San Jose</w:t>
      </w:r>
      <w:r w:rsidRPr="006A4CD7">
        <w:rPr>
          <w:rFonts w:cs="Times New Roman"/>
          <w:szCs w:val="24"/>
        </w:rPr>
        <w:t xml:space="preserve">, 897 F.3d 1125, 1133-35 (9th Cir. 2018); </w:t>
      </w:r>
      <w:r w:rsidRPr="006A4CD7">
        <w:rPr>
          <w:rFonts w:cs="Times New Roman"/>
          <w:i/>
          <w:iCs/>
          <w:szCs w:val="24"/>
        </w:rPr>
        <w:t>Kennedy v. City of Ridgefield</w:t>
      </w:r>
      <w:r w:rsidRPr="006A4CD7">
        <w:rPr>
          <w:rFonts w:cs="Times New Roman"/>
          <w:szCs w:val="24"/>
        </w:rPr>
        <w:t>, 439 F.3d 1055, 1061-65 (9th Cir. 2006).</w:t>
      </w:r>
    </w:p>
    <w:p w14:paraId="6732D189" w14:textId="77777777" w:rsidR="006A4CD7" w:rsidRPr="006A4CD7" w:rsidRDefault="006A4CD7" w:rsidP="00060129"/>
    <w:p w14:paraId="239D71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6A162C34" w14:textId="5E81D1B9" w:rsidR="006A4CD7" w:rsidRPr="006A4CD7" w:rsidRDefault="006A4CD7" w:rsidP="00FF7C1F">
      <w:pPr>
        <w:pStyle w:val="Heading2"/>
      </w:pPr>
      <w:r w:rsidRPr="006A4CD7">
        <w:br w:type="page"/>
      </w:r>
      <w:bookmarkStart w:id="176" w:name="Qualified_Immunity"/>
      <w:bookmarkStart w:id="177" w:name="_Toc117512465"/>
      <w:r w:rsidRPr="006A4CD7">
        <w:lastRenderedPageBreak/>
        <w:t>9.34 Q</w:t>
      </w:r>
      <w:r w:rsidR="00B3575B">
        <w:t>ualified</w:t>
      </w:r>
      <w:r w:rsidRPr="006A4CD7">
        <w:t xml:space="preserve"> I</w:t>
      </w:r>
      <w:r w:rsidR="00B3575B">
        <w:t>mmunity</w:t>
      </w:r>
      <w:bookmarkStart w:id="178" w:name="_Hlk89841304"/>
      <w:bookmarkEnd w:id="176"/>
      <w:bookmarkEnd w:id="177"/>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bookmarkEnd w:id="178"/>
    <w:p w14:paraId="72926D6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767B1061" w14:textId="77777777" w:rsidR="00454361" w:rsidRPr="00454361" w:rsidRDefault="00454361" w:rsidP="00454361">
      <w:pPr>
        <w:autoSpaceDE w:val="0"/>
        <w:autoSpaceDN w:val="0"/>
        <w:adjustRightInd w:val="0"/>
        <w:rPr>
          <w:rFonts w:cs="Times New Roman"/>
          <w:szCs w:val="24"/>
        </w:rPr>
      </w:pPr>
    </w:p>
    <w:p w14:paraId="6A305A0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Under the doctrine of qualified immunity, “courts may not award damages against a</w:t>
      </w:r>
    </w:p>
    <w:p w14:paraId="5BFB14C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government official in his personal capacity unless the official violated a statutory or constitutional right, and the right was clearly established at the time of the challenged conduct.” </w:t>
      </w:r>
      <w:r w:rsidRPr="00454361">
        <w:rPr>
          <w:rFonts w:cs="Times New Roman"/>
          <w:i/>
          <w:iCs/>
          <w:szCs w:val="24"/>
        </w:rPr>
        <w:t>Lane v. Franks</w:t>
      </w:r>
      <w:r w:rsidRPr="00454361">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454361">
        <w:rPr>
          <w:rFonts w:cs="Times New Roman"/>
          <w:i/>
          <w:iCs/>
          <w:szCs w:val="24"/>
        </w:rPr>
        <w:t>Castro v. County of Los Angeles</w:t>
      </w:r>
      <w:r w:rsidRPr="00454361">
        <w:rPr>
          <w:rFonts w:cs="Times New Roman"/>
          <w:szCs w:val="24"/>
        </w:rPr>
        <w:t>, 833 F.3d 1060, 1066 (9th Cir. 2016) (</w:t>
      </w:r>
      <w:proofErr w:type="spellStart"/>
      <w:r w:rsidRPr="00454361">
        <w:rPr>
          <w:rFonts w:cs="Times New Roman"/>
          <w:szCs w:val="24"/>
        </w:rPr>
        <w:t>en</w:t>
      </w:r>
      <w:proofErr w:type="spellEnd"/>
      <w:r w:rsidRPr="00454361">
        <w:rPr>
          <w:rFonts w:cs="Times New Roman"/>
          <w:szCs w:val="24"/>
        </w:rPr>
        <w:t xml:space="preserve"> banc); </w:t>
      </w:r>
      <w:proofErr w:type="spellStart"/>
      <w:r w:rsidRPr="00454361">
        <w:rPr>
          <w:rFonts w:cs="Times New Roman"/>
          <w:i/>
          <w:iCs/>
          <w:szCs w:val="24"/>
        </w:rPr>
        <w:t>Orn</w:t>
      </w:r>
      <w:proofErr w:type="spellEnd"/>
      <w:r w:rsidRPr="00454361">
        <w:rPr>
          <w:rFonts w:cs="Times New Roman"/>
          <w:i/>
          <w:iCs/>
          <w:szCs w:val="24"/>
        </w:rPr>
        <w:t xml:space="preserve"> v. City of Tacoma</w:t>
      </w:r>
      <w:r w:rsidRPr="00454361">
        <w:rPr>
          <w:rFonts w:cs="Times New Roman"/>
          <w:szCs w:val="24"/>
        </w:rPr>
        <w:t xml:space="preserve">, 949 F.3d 1167 (9th Cir. 2020).  A court may “exercise [its] sound discretion in deciding which of the two prongs of the qualified immunity analysis should be addressed first.”  </w:t>
      </w:r>
      <w:r w:rsidRPr="00454361">
        <w:rPr>
          <w:rFonts w:cs="Times New Roman"/>
          <w:i/>
          <w:iCs/>
          <w:szCs w:val="24"/>
        </w:rPr>
        <w:t>Pearson v. Callahan</w:t>
      </w:r>
      <w:r w:rsidRPr="00454361">
        <w:rPr>
          <w:rFonts w:cs="Times New Roman"/>
          <w:szCs w:val="24"/>
        </w:rPr>
        <w:t xml:space="preserve">, 555 U.S. 223, 236 (2009) (noting that analyzing first then second prong, while not mandatory, “is often beneficial [,] . . . promotes the development of constitutional precedent and is especially valuable with respect to questions that do not frequently arise in cases in which a qualified immunity defense is unavailable”); </w:t>
      </w:r>
      <w:r w:rsidRPr="00454361">
        <w:rPr>
          <w:rFonts w:cs="Times New Roman"/>
          <w:i/>
          <w:iCs/>
          <w:szCs w:val="24"/>
        </w:rPr>
        <w:t>see also Jessop v. City of Fresno</w:t>
      </w:r>
      <w:r w:rsidRPr="00454361">
        <w:rPr>
          <w:rFonts w:cs="Times New Roman"/>
          <w:szCs w:val="24"/>
        </w:rPr>
        <w:t xml:space="preserve">, 936 F.3d 937, 940 (9th Cir. 2019).  </w:t>
      </w:r>
      <w:r w:rsidRPr="00454361">
        <w:rPr>
          <w:rFonts w:cs="Times New Roman"/>
          <w:i/>
          <w:iCs/>
          <w:szCs w:val="24"/>
        </w:rPr>
        <w:t xml:space="preserve">But see District of Columbia v. </w:t>
      </w:r>
      <w:proofErr w:type="spellStart"/>
      <w:r w:rsidRPr="00454361">
        <w:rPr>
          <w:rFonts w:cs="Times New Roman"/>
          <w:i/>
          <w:iCs/>
          <w:szCs w:val="24"/>
        </w:rPr>
        <w:t>Wesby</w:t>
      </w:r>
      <w:proofErr w:type="spellEnd"/>
      <w:r w:rsidRPr="00454361">
        <w:rPr>
          <w:rFonts w:cs="Times New Roman"/>
          <w:szCs w:val="24"/>
        </w:rPr>
        <w:t xml:space="preserve">, 138 </w:t>
      </w:r>
      <w:proofErr w:type="spellStart"/>
      <w:r w:rsidRPr="00454361">
        <w:rPr>
          <w:rFonts w:cs="Times New Roman"/>
          <w:szCs w:val="24"/>
        </w:rPr>
        <w:t>S.Ct</w:t>
      </w:r>
      <w:proofErr w:type="spellEnd"/>
      <w:r w:rsidRPr="00454361">
        <w:rPr>
          <w:rFonts w:cs="Times New Roman"/>
          <w:szCs w:val="24"/>
        </w:rPr>
        <w:t xml:space="preserve">. 577, 589 (2018) (“We continue to stress that lower courts ‘should think hard, and then think hard again,’ before addressing both qualified immunity and the merits of an underlying constitutional claim”); </w:t>
      </w:r>
      <w:proofErr w:type="spellStart"/>
      <w:r w:rsidRPr="00454361">
        <w:rPr>
          <w:rFonts w:cs="Times New Roman"/>
          <w:i/>
          <w:iCs/>
          <w:szCs w:val="24"/>
        </w:rPr>
        <w:t>O’Doan</w:t>
      </w:r>
      <w:proofErr w:type="spellEnd"/>
      <w:r w:rsidRPr="00454361">
        <w:rPr>
          <w:rFonts w:cs="Times New Roman"/>
          <w:i/>
          <w:iCs/>
          <w:szCs w:val="24"/>
        </w:rPr>
        <w:t xml:space="preserve"> v. Sanford</w:t>
      </w:r>
      <w:r w:rsidRPr="00454361">
        <w:rPr>
          <w:rFonts w:cs="Times New Roman"/>
          <w:szCs w:val="24"/>
        </w:rPr>
        <w:t xml:space="preserve">, 991 F.3d 1027, 1036 (9th Cir. 2021) (“Although qualified immunity involves a two-step analysis, we may exercise our discretion to resolve a case only on the second ground when no clearly established law shows that the officers’ conduct was unconstitutional.” (citations omitted)); </w:t>
      </w:r>
      <w:r w:rsidRPr="00454361">
        <w:rPr>
          <w:rFonts w:cs="Times New Roman"/>
          <w:i/>
          <w:iCs/>
          <w:szCs w:val="24"/>
        </w:rPr>
        <w:t xml:space="preserve">Evans v. </w:t>
      </w:r>
      <w:proofErr w:type="spellStart"/>
      <w:r w:rsidRPr="00454361">
        <w:rPr>
          <w:rFonts w:cs="Times New Roman"/>
          <w:i/>
          <w:iCs/>
          <w:szCs w:val="24"/>
        </w:rPr>
        <w:t>Skolnik</w:t>
      </w:r>
      <w:proofErr w:type="spellEnd"/>
      <w:r w:rsidRPr="00454361">
        <w:rPr>
          <w:rFonts w:cs="Times New Roman"/>
          <w:szCs w:val="24"/>
        </w:rPr>
        <w:t xml:space="preserve">, 997 F.3d 1060, 1066 (9th Cir. 2021) (applying </w:t>
      </w:r>
      <w:r w:rsidRPr="00454361">
        <w:rPr>
          <w:rFonts w:cs="Times New Roman"/>
          <w:i/>
          <w:iCs/>
          <w:szCs w:val="24"/>
        </w:rPr>
        <w:t>Pearson</w:t>
      </w:r>
      <w:r w:rsidRPr="00454361">
        <w:rPr>
          <w:rFonts w:cs="Times New Roman"/>
          <w:szCs w:val="24"/>
        </w:rPr>
        <w:t xml:space="preserve">, 555 U.S. at 236).  </w:t>
      </w:r>
    </w:p>
    <w:p w14:paraId="4A586298" w14:textId="77777777" w:rsidR="00454361" w:rsidRPr="00454361" w:rsidRDefault="00454361" w:rsidP="00454361">
      <w:pPr>
        <w:autoSpaceDE w:val="0"/>
        <w:autoSpaceDN w:val="0"/>
        <w:adjustRightInd w:val="0"/>
        <w:rPr>
          <w:rFonts w:cs="Times New Roman"/>
          <w:szCs w:val="24"/>
        </w:rPr>
      </w:pPr>
    </w:p>
    <w:p w14:paraId="3BCB2E52"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Whether a right is clearly established turns on whether it is “sufficiently definite that any reasonable official in the defendant’s shoes would have understood he was violating it.”  </w:t>
      </w:r>
      <w:r w:rsidRPr="00454361">
        <w:rPr>
          <w:rFonts w:cs="Times New Roman"/>
          <w:i/>
          <w:iCs/>
          <w:szCs w:val="24"/>
        </w:rPr>
        <w:t>Nicholson v. City of Los Angeles</w:t>
      </w:r>
      <w:r w:rsidRPr="00454361">
        <w:rPr>
          <w:rFonts w:cs="Times New Roman"/>
          <w:szCs w:val="24"/>
        </w:rPr>
        <w:t xml:space="preserve">, 935 F.3d 685, 695 (9th Cir. 2019) (quoting </w:t>
      </w:r>
      <w:proofErr w:type="spellStart"/>
      <w:r w:rsidRPr="00454361">
        <w:rPr>
          <w:rFonts w:cs="Times New Roman"/>
          <w:i/>
          <w:iCs/>
          <w:szCs w:val="24"/>
        </w:rPr>
        <w:t>Kisela</w:t>
      </w:r>
      <w:proofErr w:type="spellEnd"/>
      <w:r w:rsidRPr="00454361">
        <w:rPr>
          <w:rFonts w:cs="Times New Roman"/>
          <w:i/>
          <w:iCs/>
          <w:szCs w:val="24"/>
        </w:rPr>
        <w:t xml:space="preserve"> v. Hughes</w:t>
      </w:r>
      <w:r w:rsidRPr="00454361">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454361">
        <w:rPr>
          <w:rFonts w:cs="Times New Roman"/>
          <w:i/>
          <w:iCs/>
          <w:szCs w:val="24"/>
        </w:rPr>
        <w:t>Shafer v. County of Santa Barbara</w:t>
      </w:r>
      <w:r w:rsidRPr="00454361">
        <w:rPr>
          <w:rFonts w:cs="Times New Roman"/>
          <w:szCs w:val="24"/>
        </w:rPr>
        <w:t xml:space="preserve">, 868 F.3d 1110, 1117 (9th Cir. 2017).   The Ninth Circuit also confirmed that it is the plaintiff who bears the burden of showing that the rights allegedly violated were clearly established.  </w:t>
      </w:r>
      <w:r w:rsidRPr="00454361">
        <w:rPr>
          <w:rFonts w:cs="Times New Roman"/>
          <w:i/>
          <w:iCs/>
          <w:szCs w:val="24"/>
        </w:rPr>
        <w:t>Id</w:t>
      </w:r>
      <w:r w:rsidRPr="00454361">
        <w:rPr>
          <w:rFonts w:cs="Times New Roman"/>
          <w:szCs w:val="24"/>
        </w:rPr>
        <w:t>. at 1118.  Moreover, in order to show that a right was clearly established, the</w:t>
      </w:r>
    </w:p>
    <w:p w14:paraId="7CBCD61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plaintiff must demonstrate that, at the time of the alleged violation, the state of the law gave fair</w:t>
      </w:r>
    </w:p>
    <w:p w14:paraId="736EAD3C"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warning that the relevant conduct was unconstitutional.  </w:t>
      </w:r>
      <w:r w:rsidRPr="00454361">
        <w:rPr>
          <w:rFonts w:cs="Times New Roman"/>
          <w:i/>
          <w:iCs/>
          <w:szCs w:val="24"/>
        </w:rPr>
        <w:t>See Ballentine v. Tucker</w:t>
      </w:r>
      <w:r w:rsidRPr="00454361">
        <w:rPr>
          <w:rFonts w:cs="Times New Roman"/>
          <w:szCs w:val="24"/>
        </w:rPr>
        <w:t>, 28 F.4th 54, 64</w:t>
      </w:r>
    </w:p>
    <w:p w14:paraId="77F8D87F" w14:textId="0D607CA8" w:rsidR="00454361" w:rsidRPr="00454361" w:rsidRDefault="00454361" w:rsidP="00454361">
      <w:pPr>
        <w:autoSpaceDE w:val="0"/>
        <w:autoSpaceDN w:val="0"/>
        <w:adjustRightInd w:val="0"/>
        <w:rPr>
          <w:rFonts w:cs="Times New Roman"/>
          <w:szCs w:val="24"/>
        </w:rPr>
      </w:pPr>
      <w:r w:rsidRPr="00454361">
        <w:rPr>
          <w:rFonts w:cs="Times New Roman"/>
          <w:szCs w:val="24"/>
        </w:rPr>
        <w:t>(9th Cir. 2022).</w:t>
      </w:r>
      <w:r w:rsidR="00777F53">
        <w:rPr>
          <w:rFonts w:cs="Times New Roman"/>
          <w:szCs w:val="24"/>
        </w:rPr>
        <w:t xml:space="preserve"> </w:t>
      </w:r>
      <w:r w:rsidR="00777F53" w:rsidRPr="00AD0110">
        <w:rPr>
          <w:rFonts w:cs="Times New Roman"/>
          <w:szCs w:val="24"/>
        </w:rPr>
        <w:t>“Courts should look to</w:t>
      </w:r>
      <w:r w:rsidR="00777F53">
        <w:rPr>
          <w:rFonts w:cs="Times New Roman"/>
          <w:szCs w:val="24"/>
        </w:rPr>
        <w:t xml:space="preserve"> </w:t>
      </w:r>
      <w:r w:rsidR="00777F53" w:rsidRPr="00AD0110">
        <w:rPr>
          <w:rFonts w:cs="Times New Roman"/>
          <w:szCs w:val="24"/>
        </w:rPr>
        <w:t>precedent for evidence that the unlawfulness of an officer's conduct is clearly established” regardless whether the officer is alleged to have made a</w:t>
      </w:r>
      <w:r w:rsidR="00777F53">
        <w:rPr>
          <w:rFonts w:cs="Times New Roman"/>
          <w:szCs w:val="24"/>
        </w:rPr>
        <w:t xml:space="preserve"> </w:t>
      </w:r>
      <w:r w:rsidR="00777F53" w:rsidRPr="00AD0110">
        <w:rPr>
          <w:rFonts w:cs="Times New Roman"/>
          <w:szCs w:val="24"/>
        </w:rPr>
        <w:t>mistake of fact or a mistake of law.</w:t>
      </w:r>
      <w:r w:rsidR="00777F53">
        <w:rPr>
          <w:rFonts w:cs="Times New Roman"/>
          <w:szCs w:val="24"/>
        </w:rPr>
        <w:t xml:space="preserve"> </w:t>
      </w:r>
      <w:r w:rsidR="00777F53" w:rsidRPr="00AD0110">
        <w:rPr>
          <w:rFonts w:cs="Times New Roman"/>
          <w:szCs w:val="24"/>
        </w:rPr>
        <w:t xml:space="preserve"> </w:t>
      </w:r>
      <w:r w:rsidR="00777F53" w:rsidRPr="00AD0110">
        <w:rPr>
          <w:rFonts w:cs="Times New Roman"/>
          <w:i/>
          <w:iCs/>
          <w:szCs w:val="24"/>
        </w:rPr>
        <w:t>J. K. J. v. City of San Diego</w:t>
      </w:r>
      <w:r w:rsidR="00777F53" w:rsidRPr="00AD0110">
        <w:rPr>
          <w:rFonts w:cs="Times New Roman"/>
          <w:szCs w:val="24"/>
        </w:rPr>
        <w:t xml:space="preserve">, </w:t>
      </w:r>
      <w:r w:rsidR="00777F53">
        <w:rPr>
          <w:rFonts w:cs="Times New Roman"/>
          <w:szCs w:val="24"/>
        </w:rPr>
        <w:t>42</w:t>
      </w:r>
      <w:r w:rsidR="00777F53" w:rsidRPr="00AD0110">
        <w:rPr>
          <w:rFonts w:cs="Times New Roman"/>
          <w:szCs w:val="24"/>
        </w:rPr>
        <w:t xml:space="preserve"> F.4th </w:t>
      </w:r>
      <w:r w:rsidR="00777F53">
        <w:rPr>
          <w:rFonts w:cs="Times New Roman"/>
          <w:szCs w:val="24"/>
        </w:rPr>
        <w:t>990</w:t>
      </w:r>
      <w:r w:rsidR="00777F53" w:rsidRPr="00AD0110">
        <w:rPr>
          <w:rFonts w:cs="Times New Roman"/>
          <w:szCs w:val="24"/>
        </w:rPr>
        <w:t xml:space="preserve">, </w:t>
      </w:r>
      <w:r w:rsidR="00777F53">
        <w:rPr>
          <w:rFonts w:cs="Times New Roman"/>
          <w:szCs w:val="24"/>
        </w:rPr>
        <w:t xml:space="preserve">1001 n.4 </w:t>
      </w:r>
      <w:r w:rsidR="00777F53" w:rsidRPr="00AD0110">
        <w:rPr>
          <w:rFonts w:cs="Times New Roman"/>
          <w:szCs w:val="24"/>
        </w:rPr>
        <w:t>(9th Cir. 2021)</w:t>
      </w:r>
      <w:r w:rsidR="00777F53">
        <w:rPr>
          <w:rFonts w:cs="Times New Roman"/>
          <w:szCs w:val="24"/>
        </w:rPr>
        <w:t>.</w:t>
      </w:r>
    </w:p>
    <w:p w14:paraId="20966A2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 </w:t>
      </w:r>
      <w:r w:rsidRPr="00454361">
        <w:rPr>
          <w:rFonts w:cs="Times New Roman"/>
          <w:i/>
          <w:iCs/>
          <w:szCs w:val="24"/>
        </w:rPr>
        <w:t xml:space="preserve"> </w:t>
      </w:r>
    </w:p>
    <w:p w14:paraId="457381A2" w14:textId="77777777" w:rsidR="00454361" w:rsidRPr="00454361" w:rsidRDefault="00454361" w:rsidP="00454361">
      <w:pPr>
        <w:autoSpaceDE w:val="0"/>
        <w:autoSpaceDN w:val="0"/>
        <w:adjustRightInd w:val="0"/>
        <w:rPr>
          <w:rFonts w:cs="Times New Roman"/>
          <w:i/>
          <w:iCs/>
          <w:szCs w:val="24"/>
        </w:rPr>
      </w:pPr>
      <w:r w:rsidRPr="00454361">
        <w:rPr>
          <w:rFonts w:cs="Times New Roman"/>
          <w:szCs w:val="24"/>
        </w:rPr>
        <w:lastRenderedPageBreak/>
        <w:tab/>
        <w:t xml:space="preserve">Qualified immunity is a question of law, not a question of fact. </w:t>
      </w:r>
      <w:r w:rsidRPr="00454361">
        <w:rPr>
          <w:rFonts w:cs="Times New Roman"/>
          <w:i/>
          <w:iCs/>
          <w:szCs w:val="24"/>
        </w:rPr>
        <w:t xml:space="preserve"> Torres v. City of Los Angeles</w:t>
      </w:r>
      <w:r w:rsidRPr="00454361">
        <w:rPr>
          <w:rFonts w:cs="Times New Roman"/>
          <w:szCs w:val="24"/>
        </w:rPr>
        <w:t>, 548 F.3d 1197, 1210 (9th</w:t>
      </w:r>
      <w:r w:rsidRPr="00454361">
        <w:rPr>
          <w:rFonts w:cs="Times New Roman"/>
          <w:szCs w:val="24"/>
          <w:vertAlign w:val="superscript"/>
        </w:rPr>
        <w:t xml:space="preserve"> </w:t>
      </w:r>
      <w:r w:rsidRPr="00454361">
        <w:rPr>
          <w:rFonts w:cs="Times New Roman"/>
          <w:szCs w:val="24"/>
        </w:rPr>
        <w:t xml:space="preserve">Cir. 2008).  “Immunity ordinarily should be decided by the court long before trial.” </w:t>
      </w:r>
      <w:r w:rsidRPr="00454361">
        <w:rPr>
          <w:rFonts w:cs="Times New Roman"/>
          <w:i/>
          <w:iCs/>
          <w:szCs w:val="24"/>
        </w:rPr>
        <w:t xml:space="preserve"> Hunter v. Bryant</w:t>
      </w:r>
      <w:r w:rsidRPr="00454361">
        <w:rPr>
          <w:rFonts w:cs="Times New Roman"/>
          <w:szCs w:val="24"/>
        </w:rPr>
        <w:t xml:space="preserve">, 502 U.S. 224, 228 (1991).  Only when “historical facts material to the qualified immunity determination are in dispute” should the district court submit the factual dispute to a jury. </w:t>
      </w:r>
      <w:r w:rsidRPr="00454361">
        <w:rPr>
          <w:rFonts w:cs="Times New Roman"/>
          <w:i/>
          <w:iCs/>
          <w:szCs w:val="24"/>
        </w:rPr>
        <w:t xml:space="preserve"> Torres</w:t>
      </w:r>
      <w:r w:rsidRPr="00454361">
        <w:rPr>
          <w:rFonts w:cs="Times New Roman"/>
          <w:szCs w:val="24"/>
        </w:rPr>
        <w:t xml:space="preserve">, 548 F.3d at 1211; </w:t>
      </w:r>
      <w:r w:rsidRPr="00454361">
        <w:rPr>
          <w:rFonts w:cs="Times New Roman"/>
          <w:i/>
          <w:iCs/>
          <w:szCs w:val="24"/>
        </w:rPr>
        <w:t xml:space="preserve">see also </w:t>
      </w:r>
      <w:proofErr w:type="spellStart"/>
      <w:r w:rsidRPr="00454361">
        <w:rPr>
          <w:rFonts w:cs="Times New Roman"/>
          <w:i/>
          <w:iCs/>
          <w:szCs w:val="24"/>
        </w:rPr>
        <w:t>Newmaker</w:t>
      </w:r>
      <w:proofErr w:type="spellEnd"/>
      <w:r w:rsidRPr="00454361">
        <w:rPr>
          <w:rFonts w:cs="Times New Roman"/>
          <w:i/>
          <w:iCs/>
          <w:szCs w:val="24"/>
        </w:rPr>
        <w:t xml:space="preserve"> v. City of </w:t>
      </w:r>
    </w:p>
    <w:p w14:paraId="7B40FC6A" w14:textId="77777777" w:rsidR="00454361" w:rsidRPr="00454361" w:rsidRDefault="00454361" w:rsidP="00454361">
      <w:pPr>
        <w:autoSpaceDE w:val="0"/>
        <w:autoSpaceDN w:val="0"/>
        <w:adjustRightInd w:val="0"/>
        <w:rPr>
          <w:rFonts w:cs="Times New Roman"/>
          <w:szCs w:val="24"/>
        </w:rPr>
      </w:pPr>
      <w:r w:rsidRPr="00454361">
        <w:rPr>
          <w:rFonts w:cs="Times New Roman"/>
          <w:i/>
          <w:iCs/>
          <w:szCs w:val="24"/>
        </w:rPr>
        <w:t>Fortuna</w:t>
      </w:r>
      <w:r w:rsidRPr="00454361">
        <w:rPr>
          <w:rFonts w:cs="Times New Roman"/>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454361">
        <w:rPr>
          <w:rFonts w:cs="Times New Roman"/>
          <w:i/>
          <w:iCs/>
          <w:szCs w:val="24"/>
        </w:rPr>
        <w:t xml:space="preserve"> Conner</w:t>
      </w:r>
      <w:r w:rsidRPr="00454361">
        <w:rPr>
          <w:rFonts w:cs="Times New Roman"/>
          <w:szCs w:val="24"/>
        </w:rPr>
        <w:t>, 672 F.3d at 1131 n.2 (“[W]</w:t>
      </w:r>
      <w:proofErr w:type="spellStart"/>
      <w:r w:rsidRPr="00454361">
        <w:rPr>
          <w:rFonts w:cs="Times New Roman"/>
          <w:szCs w:val="24"/>
        </w:rPr>
        <w:t>hile</w:t>
      </w:r>
      <w:proofErr w:type="spellEnd"/>
      <w:r w:rsidRPr="00454361">
        <w:rPr>
          <w:rFonts w:cs="Times New Roman"/>
          <w:szCs w:val="24"/>
        </w:rPr>
        <w:t xml:space="preserv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454361">
        <w:rPr>
          <w:rFonts w:cs="Times New Roman"/>
          <w:i/>
          <w:iCs/>
          <w:szCs w:val="24"/>
        </w:rPr>
        <w:t>See Morales v. Fry</w:t>
      </w:r>
      <w:r w:rsidRPr="00454361">
        <w:rPr>
          <w:rFonts w:cs="Times New Roman"/>
          <w:szCs w:val="24"/>
        </w:rPr>
        <w:t>, 873 F.3d 817, 823 (9th Cir. 2017).</w:t>
      </w:r>
    </w:p>
    <w:p w14:paraId="0720632D" w14:textId="77777777" w:rsidR="00454361" w:rsidRPr="00454361" w:rsidRDefault="00454361" w:rsidP="00454361">
      <w:pPr>
        <w:autoSpaceDE w:val="0"/>
        <w:autoSpaceDN w:val="0"/>
        <w:adjustRightInd w:val="0"/>
        <w:rPr>
          <w:rFonts w:cs="Times New Roman"/>
          <w:szCs w:val="24"/>
        </w:rPr>
      </w:pPr>
    </w:p>
    <w:p w14:paraId="008961C9"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An institutional defendant, such as a school district or municipality, is not entitled to qualified immunity.  </w:t>
      </w:r>
      <w:r w:rsidRPr="00454361">
        <w:rPr>
          <w:rFonts w:cs="Times New Roman"/>
          <w:i/>
          <w:iCs/>
          <w:szCs w:val="24"/>
        </w:rPr>
        <w:t>See Owen v. Independence</w:t>
      </w:r>
      <w:r w:rsidRPr="00454361">
        <w:rPr>
          <w:rFonts w:cs="Times New Roman"/>
          <w:szCs w:val="24"/>
        </w:rPr>
        <w:t>, 445 U.S. 622, 638 (1980) (holding that “municipality may not assert the good faith of its officers or agents as a defense to liability under § 1983”).</w:t>
      </w:r>
    </w:p>
    <w:p w14:paraId="3179047B" w14:textId="77777777" w:rsidR="00454361" w:rsidRPr="00454361" w:rsidRDefault="00454361" w:rsidP="00454361">
      <w:pPr>
        <w:autoSpaceDE w:val="0"/>
        <w:autoSpaceDN w:val="0"/>
        <w:adjustRightInd w:val="0"/>
        <w:rPr>
          <w:rFonts w:cs="Times New Roman"/>
          <w:szCs w:val="24"/>
        </w:rPr>
      </w:pPr>
    </w:p>
    <w:p w14:paraId="0AADBFD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“The Supreme Court has provided little guidance as to where courts should look to determine whether a particular right was clearly established at the time of the injury . . ..  In the Ninth Circuit, we begin our inquiry by looking to binding precedent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Thus, in the absence of binding precedent, we ‘look to whatever decisional law is available to ascertain whether the law is clearly established’ for qualified immunity purposes, including decisions of state courts, other circuits, and district courts.”  </w:t>
      </w:r>
      <w:r w:rsidRPr="00454361">
        <w:rPr>
          <w:rFonts w:cs="Times New Roman"/>
          <w:i/>
          <w:iCs/>
          <w:szCs w:val="24"/>
        </w:rPr>
        <w:t>Boyd v. Benton County</w:t>
      </w:r>
      <w:r w:rsidRPr="00454361">
        <w:rPr>
          <w:rFonts w:cs="Times New Roman"/>
          <w:szCs w:val="24"/>
        </w:rPr>
        <w:t xml:space="preserve">, 374 F.3d 773, 781 (9th Cir. 2004); </w:t>
      </w:r>
      <w:r w:rsidRPr="00454361">
        <w:rPr>
          <w:rFonts w:cs="Times New Roman"/>
          <w:i/>
          <w:iCs/>
          <w:szCs w:val="24"/>
        </w:rPr>
        <w:t>see also Jessop</w:t>
      </w:r>
      <w:r w:rsidRPr="00454361">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46A4B82A" w14:textId="77777777" w:rsidR="00454361" w:rsidRPr="00454361" w:rsidRDefault="00454361" w:rsidP="00454361">
      <w:pPr>
        <w:autoSpaceDE w:val="0"/>
        <w:autoSpaceDN w:val="0"/>
        <w:adjustRightInd w:val="0"/>
        <w:rPr>
          <w:rFonts w:cs="Times New Roman"/>
          <w:szCs w:val="24"/>
        </w:rPr>
      </w:pPr>
    </w:p>
    <w:p w14:paraId="2EA66DB5" w14:textId="3905EB6D" w:rsidR="00777F53" w:rsidRDefault="00454361" w:rsidP="00454361">
      <w:pPr>
        <w:autoSpaceDE w:val="0"/>
        <w:autoSpaceDN w:val="0"/>
        <w:adjustRightInd w:val="0"/>
        <w:rPr>
          <w:rFonts w:cs="Times New Roman"/>
          <w:szCs w:val="24"/>
        </w:rPr>
      </w:pPr>
      <w:r w:rsidRPr="00454361">
        <w:rPr>
          <w:rFonts w:cs="Times New Roman"/>
          <w:szCs w:val="24"/>
        </w:rPr>
        <w:tab/>
        <w:t xml:space="preserve">Generally, a plaintiff need not find “a case directly on point,” but existing precedent must have placed the statutory or constitutional question beyond debate.  </w:t>
      </w:r>
      <w:r w:rsidRPr="00454361">
        <w:rPr>
          <w:rFonts w:cs="Times New Roman"/>
          <w:i/>
          <w:iCs/>
          <w:szCs w:val="24"/>
        </w:rPr>
        <w:t>Ashcroft v. al-Kidd</w:t>
      </w:r>
      <w:r w:rsidRPr="00454361">
        <w:rPr>
          <w:rFonts w:cs="Times New Roman"/>
          <w:szCs w:val="24"/>
        </w:rPr>
        <w:t xml:space="preserve">, 563 U.S. 731, 741 (2011); </w:t>
      </w:r>
      <w:r w:rsidRPr="00454361">
        <w:rPr>
          <w:rFonts w:cs="Times New Roman"/>
          <w:i/>
          <w:iCs/>
          <w:szCs w:val="24"/>
        </w:rPr>
        <w:t>see also White v. Pauly</w:t>
      </w:r>
      <w:r w:rsidRPr="00454361">
        <w:rPr>
          <w:rFonts w:cs="Times New Roman"/>
          <w:szCs w:val="24"/>
        </w:rPr>
        <w:t xml:space="preserve">, 137 S. Ct. 548, 552 (2017) (emphasizing “the longstanding principle that ‘clearly established law’ should not be defined ‘at a high level of generality’” (quoting </w:t>
      </w:r>
      <w:r w:rsidRPr="00454361">
        <w:rPr>
          <w:rFonts w:cs="Times New Roman"/>
          <w:i/>
          <w:iCs/>
          <w:szCs w:val="24"/>
        </w:rPr>
        <w:t>al-Kidd</w:t>
      </w:r>
      <w:r w:rsidRPr="00454361">
        <w:rPr>
          <w:rFonts w:cs="Times New Roman"/>
          <w:szCs w:val="24"/>
        </w:rPr>
        <w:t>, 563 U.S. at 742));</w:t>
      </w:r>
      <w:r w:rsidR="00777F53">
        <w:rPr>
          <w:rFonts w:cs="Times New Roman"/>
          <w:szCs w:val="24"/>
        </w:rPr>
        <w:t xml:space="preserve"> </w:t>
      </w:r>
      <w:r w:rsidR="00777F53" w:rsidRPr="00E50D7F">
        <w:rPr>
          <w:rFonts w:cs="Times New Roman"/>
          <w:i/>
          <w:iCs/>
          <w:szCs w:val="24"/>
        </w:rPr>
        <w:t>J.</w:t>
      </w:r>
      <w:r w:rsidR="00777F53">
        <w:rPr>
          <w:rFonts w:cs="Times New Roman"/>
          <w:i/>
          <w:iCs/>
          <w:szCs w:val="24"/>
        </w:rPr>
        <w:t xml:space="preserve"> </w:t>
      </w:r>
      <w:r w:rsidR="00777F53" w:rsidRPr="00E50D7F">
        <w:rPr>
          <w:rFonts w:cs="Times New Roman"/>
          <w:i/>
          <w:iCs/>
          <w:szCs w:val="24"/>
        </w:rPr>
        <w:t>K.</w:t>
      </w:r>
      <w:r w:rsidR="00777F53">
        <w:rPr>
          <w:rFonts w:cs="Times New Roman"/>
          <w:i/>
          <w:iCs/>
          <w:szCs w:val="24"/>
        </w:rPr>
        <w:t xml:space="preserve"> </w:t>
      </w:r>
      <w:r w:rsidR="00777F53" w:rsidRPr="00E50D7F">
        <w:rPr>
          <w:rFonts w:cs="Times New Roman"/>
          <w:i/>
          <w:iCs/>
          <w:szCs w:val="24"/>
        </w:rPr>
        <w:t>J. v. City of San Diego</w:t>
      </w:r>
      <w:r w:rsidR="00777F53">
        <w:rPr>
          <w:rFonts w:cs="Times New Roman"/>
          <w:szCs w:val="24"/>
        </w:rPr>
        <w:t>, 42 F.4</w:t>
      </w:r>
      <w:r w:rsidR="00777F53" w:rsidRPr="00984CC7">
        <w:rPr>
          <w:rFonts w:cs="Times New Roman"/>
          <w:szCs w:val="24"/>
        </w:rPr>
        <w:t>th</w:t>
      </w:r>
      <w:r w:rsidR="00777F53">
        <w:rPr>
          <w:rFonts w:cs="Times New Roman"/>
          <w:szCs w:val="24"/>
        </w:rPr>
        <w:t xml:space="preserve"> at 1000 (same);</w:t>
      </w:r>
      <w:r w:rsidRPr="00454361">
        <w:rPr>
          <w:rFonts w:cs="Times New Roman"/>
          <w:i/>
          <w:iCs/>
          <w:szCs w:val="24"/>
        </w:rPr>
        <w:t xml:space="preserve"> Hamby v. Hammond</w:t>
      </w:r>
      <w:r w:rsidRPr="00454361">
        <w:rPr>
          <w:rFonts w:cs="Times New Roman"/>
          <w:szCs w:val="24"/>
        </w:rPr>
        <w:t xml:space="preserve">, 821 F.3d 1085, 1091 (9th Cir. 2016). </w:t>
      </w:r>
      <w:r w:rsidR="00777F53" w:rsidRPr="007C606D">
        <w:rPr>
          <w:rFonts w:cs="Times New Roman"/>
          <w:szCs w:val="24"/>
        </w:rPr>
        <w:t>For</w:t>
      </w:r>
      <w:r w:rsidR="00777F53">
        <w:rPr>
          <w:rFonts w:cs="Times New Roman"/>
          <w:szCs w:val="24"/>
        </w:rPr>
        <w:t xml:space="preserve"> </w:t>
      </w:r>
      <w:r w:rsidR="00777F53" w:rsidRPr="007C606D">
        <w:rPr>
          <w:rFonts w:cs="Times New Roman"/>
          <w:szCs w:val="24"/>
        </w:rPr>
        <w:t xml:space="preserve">example, in </w:t>
      </w:r>
      <w:proofErr w:type="spellStart"/>
      <w:r w:rsidR="00777F53" w:rsidRPr="007C606D">
        <w:rPr>
          <w:rFonts w:cs="Times New Roman"/>
          <w:i/>
          <w:iCs/>
          <w:szCs w:val="24"/>
        </w:rPr>
        <w:t>Seidner</w:t>
      </w:r>
      <w:proofErr w:type="spellEnd"/>
      <w:r w:rsidR="00777F53" w:rsidRPr="007C606D">
        <w:rPr>
          <w:rFonts w:cs="Times New Roman"/>
          <w:i/>
          <w:iCs/>
          <w:szCs w:val="24"/>
        </w:rPr>
        <w:t xml:space="preserve"> v. de Vries</w:t>
      </w:r>
      <w:r w:rsidR="00777F53" w:rsidRPr="007C606D">
        <w:rPr>
          <w:rFonts w:cs="Times New Roman"/>
          <w:szCs w:val="24"/>
        </w:rPr>
        <w:t>, the Ninth Circuit held that because “[t]here are</w:t>
      </w:r>
      <w:r w:rsidR="00777F53">
        <w:rPr>
          <w:rFonts w:cs="Times New Roman"/>
          <w:szCs w:val="24"/>
        </w:rPr>
        <w:t xml:space="preserve"> </w:t>
      </w:r>
      <w:r w:rsidR="00777F53" w:rsidRPr="007C606D">
        <w:rPr>
          <w:rFonts w:cs="Times New Roman"/>
          <w:szCs w:val="24"/>
        </w:rPr>
        <w:t>material differences between motorized and non-motorized vehicles,” a case</w:t>
      </w:r>
      <w:r w:rsidR="00777F53">
        <w:rPr>
          <w:rFonts w:cs="Times New Roman"/>
          <w:szCs w:val="24"/>
        </w:rPr>
        <w:t xml:space="preserve"> </w:t>
      </w:r>
      <w:r w:rsidR="00777F53" w:rsidRPr="007C606D">
        <w:rPr>
          <w:rFonts w:cs="Times New Roman"/>
          <w:szCs w:val="24"/>
        </w:rPr>
        <w:t>holding using a roadblock to stop a motorcyclist was excessive force under</w:t>
      </w:r>
      <w:r w:rsidR="00777F53">
        <w:rPr>
          <w:rFonts w:cs="Times New Roman"/>
          <w:szCs w:val="24"/>
        </w:rPr>
        <w:t xml:space="preserve"> </w:t>
      </w:r>
      <w:r w:rsidR="00777F53" w:rsidRPr="007C606D">
        <w:rPr>
          <w:rFonts w:cs="Times New Roman"/>
          <w:szCs w:val="24"/>
        </w:rPr>
        <w:t>specified circumstances did not clearly establish that using a roadblock to stop a</w:t>
      </w:r>
      <w:r w:rsidR="00777F53">
        <w:rPr>
          <w:rFonts w:cs="Times New Roman"/>
          <w:szCs w:val="24"/>
        </w:rPr>
        <w:t xml:space="preserve"> </w:t>
      </w:r>
      <w:r w:rsidR="00777F53" w:rsidRPr="007C606D">
        <w:rPr>
          <w:rFonts w:cs="Times New Roman"/>
          <w:szCs w:val="24"/>
        </w:rPr>
        <w:t xml:space="preserve">bicyclist was excessive force. </w:t>
      </w:r>
      <w:r w:rsidR="00777F53">
        <w:rPr>
          <w:rFonts w:cs="Times New Roman"/>
          <w:szCs w:val="24"/>
        </w:rPr>
        <w:t xml:space="preserve"> 39 F.4</w:t>
      </w:r>
      <w:r w:rsidR="00777F53" w:rsidRPr="00CF2AFE">
        <w:rPr>
          <w:rFonts w:cs="Times New Roman"/>
          <w:szCs w:val="24"/>
        </w:rPr>
        <w:t xml:space="preserve">th </w:t>
      </w:r>
      <w:r w:rsidR="00777F53" w:rsidRPr="007C606D">
        <w:rPr>
          <w:rFonts w:cs="Times New Roman"/>
          <w:szCs w:val="24"/>
        </w:rPr>
        <w:t xml:space="preserve">at </w:t>
      </w:r>
      <w:r w:rsidR="00777F53">
        <w:rPr>
          <w:rFonts w:cs="Times New Roman"/>
          <w:szCs w:val="24"/>
        </w:rPr>
        <w:t>602</w:t>
      </w:r>
      <w:r w:rsidR="00777F53" w:rsidRPr="007C606D">
        <w:rPr>
          <w:rFonts w:cs="Times New Roman"/>
          <w:szCs w:val="24"/>
        </w:rPr>
        <w:t xml:space="preserve"> (9th Cir.</w:t>
      </w:r>
      <w:r w:rsidR="00777F53">
        <w:rPr>
          <w:rFonts w:cs="Times New Roman"/>
          <w:szCs w:val="24"/>
        </w:rPr>
        <w:t xml:space="preserve"> </w:t>
      </w:r>
      <w:r w:rsidR="00777F53" w:rsidRPr="007C606D">
        <w:rPr>
          <w:rFonts w:cs="Times New Roman"/>
          <w:szCs w:val="24"/>
        </w:rPr>
        <w:t>2022).</w:t>
      </w:r>
    </w:p>
    <w:p w14:paraId="6C1D9E5E" w14:textId="26FC47E0" w:rsidR="00454361" w:rsidRPr="00454361" w:rsidRDefault="00454361" w:rsidP="00777F53">
      <w:pPr>
        <w:autoSpaceDE w:val="0"/>
        <w:autoSpaceDN w:val="0"/>
        <w:adjustRightInd w:val="0"/>
        <w:ind w:firstLine="720"/>
        <w:rPr>
          <w:rFonts w:cs="Times New Roman"/>
          <w:color w:val="000000"/>
        </w:rPr>
      </w:pPr>
      <w:r w:rsidRPr="00454361">
        <w:rPr>
          <w:rFonts w:cs="Times New Roman"/>
          <w:szCs w:val="24"/>
        </w:rPr>
        <w:lastRenderedPageBreak/>
        <w:t xml:space="preserve">However, “there can be the rare ‘obvious case,’ where the unlawfulness of the officer’s conduct is sufficiently clear even though existing precedent does not address similar circumstances.”  </w:t>
      </w:r>
      <w:r w:rsidRPr="00454361">
        <w:rPr>
          <w:rFonts w:cs="Times New Roman"/>
          <w:i/>
          <w:iCs/>
          <w:szCs w:val="24"/>
        </w:rPr>
        <w:t xml:space="preserve">District of Columbia v. </w:t>
      </w:r>
      <w:proofErr w:type="spellStart"/>
      <w:r w:rsidRPr="00454361">
        <w:rPr>
          <w:rFonts w:cs="Times New Roman"/>
          <w:i/>
          <w:iCs/>
          <w:szCs w:val="24"/>
        </w:rPr>
        <w:t>Wesby</w:t>
      </w:r>
      <w:proofErr w:type="spellEnd"/>
      <w:r w:rsidRPr="00454361">
        <w:rPr>
          <w:rFonts w:cs="Times New Roman"/>
          <w:szCs w:val="24"/>
        </w:rPr>
        <w:t xml:space="preserve">, 138 S. Ct. 577, 590 (2018) (citing </w:t>
      </w:r>
      <w:r w:rsidRPr="00454361">
        <w:rPr>
          <w:rFonts w:cs="Times New Roman"/>
          <w:i/>
          <w:iCs/>
          <w:szCs w:val="24"/>
        </w:rPr>
        <w:t>Brosseau v. Haugen</w:t>
      </w:r>
      <w:r w:rsidRPr="00454361">
        <w:rPr>
          <w:rFonts w:cs="Times New Roman"/>
          <w:szCs w:val="24"/>
        </w:rPr>
        <w:t xml:space="preserve">, 543 U.S. 194 (2004) (per </w:t>
      </w:r>
      <w:proofErr w:type="spellStart"/>
      <w:r w:rsidRPr="00454361">
        <w:rPr>
          <w:rFonts w:cs="Times New Roman"/>
          <w:szCs w:val="24"/>
        </w:rPr>
        <w:t>curiam</w:t>
      </w:r>
      <w:proofErr w:type="spellEnd"/>
      <w:r w:rsidRPr="00454361">
        <w:rPr>
          <w:rFonts w:cs="Times New Roman"/>
          <w:szCs w:val="24"/>
        </w:rPr>
        <w:t xml:space="preserve">)).  </w:t>
      </w:r>
      <w:r w:rsidRPr="00454361">
        <w:rPr>
          <w:rFonts w:cs="Times New Roman"/>
          <w:i/>
          <w:iCs/>
          <w:szCs w:val="24"/>
        </w:rPr>
        <w:t>See also Rodriguez v. Swartz</w:t>
      </w:r>
      <w:r w:rsidRPr="00454361">
        <w:rPr>
          <w:rFonts w:cs="Times New Roman"/>
          <w:szCs w:val="24"/>
        </w:rPr>
        <w:t xml:space="preserve">, 899 F.3d 719 (9th Cir. 2018) (finding border patrol agent’s fatal shooting of  teenager on other side of border for no apparent reason to be one such rare but obvious circumstance); </w:t>
      </w:r>
      <w:r w:rsidRPr="00454361">
        <w:rPr>
          <w:rFonts w:cs="Times New Roman"/>
          <w:i/>
          <w:iCs/>
          <w:szCs w:val="24"/>
        </w:rPr>
        <w:t>Hernandez v. City of San Jose</w:t>
      </w:r>
      <w:r w:rsidRPr="00454361">
        <w:rPr>
          <w:rFonts w:cs="Times New Roman"/>
          <w:szCs w:val="24"/>
        </w:rPr>
        <w:t xml:space="preserve">, 897 F.3d 1125, 1138 (9th Cir. 2018) (finding police officers’ “shepherding” of presidential candidate’s supporters  into crowd of violent counter-protesters to be one such rare but obvious circumstance); </w:t>
      </w:r>
      <w:r w:rsidRPr="00454361">
        <w:rPr>
          <w:rFonts w:cs="Times New Roman"/>
          <w:i/>
          <w:iCs/>
          <w:szCs w:val="24"/>
        </w:rPr>
        <w:t xml:space="preserve">Hardwick v. </w:t>
      </w:r>
      <w:proofErr w:type="spellStart"/>
      <w:r w:rsidRPr="00454361">
        <w:rPr>
          <w:rFonts w:cs="Times New Roman"/>
          <w:i/>
          <w:iCs/>
          <w:szCs w:val="24"/>
        </w:rPr>
        <w:t>Vreeken</w:t>
      </w:r>
      <w:proofErr w:type="spellEnd"/>
      <w:r w:rsidRPr="00454361">
        <w:rPr>
          <w:rFonts w:cs="Times New Roman"/>
          <w:szCs w:val="24"/>
        </w:rPr>
        <w:t>, 844 F.3d 1112, 1120 (9th Cir. 2017) (identifying intentional use of perjured or fabricated evidence in child dependency hearing to be one such rare but obvious circumstance).</w:t>
      </w:r>
      <w:r w:rsidRPr="00454361">
        <w:rPr>
          <w:rFonts w:cs="Times New Roman"/>
          <w:color w:val="D23438"/>
          <w:szCs w:val="24"/>
        </w:rPr>
        <w:t xml:space="preserve"> </w:t>
      </w:r>
      <w:r w:rsidRPr="00454361">
        <w:rPr>
          <w:rFonts w:cs="Times New Roman"/>
          <w:szCs w:val="24"/>
        </w:rPr>
        <w:t>“[A] right can be clearly</w:t>
      </w:r>
      <w:r w:rsidR="00777F53">
        <w:rPr>
          <w:rFonts w:cs="Times New Roman"/>
          <w:szCs w:val="24"/>
        </w:rPr>
        <w:t xml:space="preserve"> </w:t>
      </w:r>
      <w:r w:rsidRPr="00454361">
        <w:rPr>
          <w:rFonts w:cs="Times New Roman"/>
          <w:szCs w:val="24"/>
        </w:rPr>
        <w:t>established despite a lack of factually analogous preexisting case law, and officers can be on</w:t>
      </w:r>
      <w:r w:rsidR="00777F53">
        <w:rPr>
          <w:rFonts w:cs="Times New Roman"/>
          <w:szCs w:val="24"/>
        </w:rPr>
        <w:t xml:space="preserve"> </w:t>
      </w:r>
      <w:r w:rsidRPr="00454361">
        <w:rPr>
          <w:rFonts w:cs="Times New Roman"/>
          <w:szCs w:val="24"/>
        </w:rPr>
        <w:t xml:space="preserve">notice that their conduct is unlawful even in novel factual circumstances.”  </w:t>
      </w:r>
      <w:r w:rsidRPr="00454361">
        <w:rPr>
          <w:rFonts w:cs="Times New Roman"/>
          <w:i/>
          <w:iCs/>
          <w:szCs w:val="24"/>
        </w:rPr>
        <w:t>Ballentine</w:t>
      </w:r>
      <w:r w:rsidRPr="00454361">
        <w:rPr>
          <w:rFonts w:cs="Times New Roman"/>
          <w:szCs w:val="24"/>
        </w:rPr>
        <w:t xml:space="preserve">, 28 F.4th at 66 (quoting </w:t>
      </w:r>
      <w:r w:rsidRPr="00454361">
        <w:rPr>
          <w:rFonts w:cs="Times New Roman"/>
          <w:i/>
          <w:iCs/>
          <w:szCs w:val="24"/>
        </w:rPr>
        <w:t>Ford v. City of Yakima</w:t>
      </w:r>
      <w:r w:rsidRPr="00454361">
        <w:rPr>
          <w:rFonts w:cs="Times New Roman"/>
          <w:szCs w:val="24"/>
        </w:rPr>
        <w:t>, 706 F.3d 1188, 1195 (9th Cir. 2013) (abrogated on other</w:t>
      </w:r>
      <w:r w:rsidR="00777F53">
        <w:rPr>
          <w:rFonts w:cs="Times New Roman"/>
          <w:szCs w:val="24"/>
        </w:rPr>
        <w:t xml:space="preserve"> </w:t>
      </w:r>
      <w:r w:rsidRPr="00454361">
        <w:rPr>
          <w:rFonts w:cs="Times New Roman"/>
          <w:szCs w:val="24"/>
        </w:rPr>
        <w:t xml:space="preserve">grounds by </w:t>
      </w:r>
      <w:r w:rsidRPr="00454361">
        <w:rPr>
          <w:rFonts w:cs="Times New Roman"/>
          <w:i/>
          <w:iCs/>
          <w:szCs w:val="24"/>
        </w:rPr>
        <w:t>Nieves v. Bartlett</w:t>
      </w:r>
      <w:r w:rsidRPr="00454361">
        <w:rPr>
          <w:rFonts w:cs="Times New Roman"/>
          <w:szCs w:val="24"/>
        </w:rPr>
        <w:t xml:space="preserve">, 139 S. Ct. 1715 (2019)). </w:t>
      </w:r>
      <w:r w:rsidRPr="00454361">
        <w:rPr>
          <w:rFonts w:cs="Times New Roman"/>
          <w:color w:val="000000"/>
        </w:rPr>
        <w:t xml:space="preserve"> </w:t>
      </w:r>
      <w:r w:rsidRPr="00454361">
        <w:rPr>
          <w:rFonts w:cs="Times New Roman"/>
          <w:i/>
          <w:iCs/>
          <w:color w:val="000000"/>
        </w:rPr>
        <w:t xml:space="preserve">But see Rivas-Villegas v. </w:t>
      </w:r>
      <w:proofErr w:type="spellStart"/>
      <w:r w:rsidRPr="00454361">
        <w:rPr>
          <w:rFonts w:cs="Times New Roman"/>
          <w:i/>
          <w:iCs/>
          <w:color w:val="000000"/>
        </w:rPr>
        <w:t>Cortesluna</w:t>
      </w:r>
      <w:proofErr w:type="spellEnd"/>
      <w:r w:rsidRPr="00454361">
        <w:rPr>
          <w:rFonts w:cs="Times New Roman"/>
          <w:color w:val="000000"/>
        </w:rPr>
        <w:t>, 142 S. Ct. 4, 7-8 (2021) (“Although this Court’s caselaw does not require a case directly on point for a right to be clearly established, existing precedent must have placed the statutory or constitutional question beyond debate. This inquiry must be undertaken in light of the specific context of the case, not as a broad general proposition.” (internal quotation marks and citations omitted)).</w:t>
      </w:r>
    </w:p>
    <w:p w14:paraId="475165E9" w14:textId="77777777" w:rsidR="00454361" w:rsidRPr="00454361" w:rsidRDefault="00454361" w:rsidP="00454361">
      <w:pPr>
        <w:autoSpaceDE w:val="0"/>
        <w:autoSpaceDN w:val="0"/>
        <w:adjustRightInd w:val="0"/>
        <w:rPr>
          <w:rFonts w:cs="Times New Roman"/>
          <w:color w:val="000000"/>
        </w:rPr>
      </w:pPr>
    </w:p>
    <w:p w14:paraId="18BF7124" w14:textId="77777777" w:rsidR="00454361" w:rsidRPr="00454361" w:rsidRDefault="00454361" w:rsidP="00454361">
      <w:pPr>
        <w:autoSpaceDE w:val="0"/>
        <w:autoSpaceDN w:val="0"/>
        <w:adjustRightInd w:val="0"/>
        <w:ind w:firstLine="720"/>
        <w:rPr>
          <w:rFonts w:cs="Times New Roman"/>
          <w:szCs w:val="24"/>
        </w:rPr>
      </w:pPr>
      <w:r w:rsidRPr="00454361">
        <w:rPr>
          <w:rFonts w:cs="Times New Roman"/>
          <w:color w:val="000000"/>
        </w:rPr>
        <w:t xml:space="preserve">In </w:t>
      </w:r>
      <w:r w:rsidRPr="00454361">
        <w:rPr>
          <w:rFonts w:cs="Times New Roman"/>
          <w:i/>
          <w:iCs/>
          <w:color w:val="000000"/>
        </w:rPr>
        <w:t>Rice v. Morehouse</w:t>
      </w:r>
      <w:r w:rsidRPr="00454361">
        <w:rPr>
          <w:rFonts w:cs="Times New Roman"/>
          <w:color w:val="000000"/>
        </w:rPr>
        <w:t xml:space="preserve">, the Ninth Circuit reiterated that, for purposes of clearly established law, “we clearly established one’s ‘right to be free from the application of non-trivial force for engaging in mere passive resistance.’”  989 F.3d 1112, 1125 (9th Cir. 2021) (quoting </w:t>
      </w:r>
      <w:proofErr w:type="spellStart"/>
      <w:r w:rsidRPr="00454361">
        <w:rPr>
          <w:rFonts w:cs="Times New Roman"/>
          <w:i/>
          <w:iCs/>
          <w:color w:val="000000"/>
        </w:rPr>
        <w:t>Gravelet-Blondin</w:t>
      </w:r>
      <w:proofErr w:type="spellEnd"/>
      <w:r w:rsidRPr="00454361">
        <w:rPr>
          <w:rFonts w:cs="Times New Roman"/>
          <w:i/>
          <w:iCs/>
          <w:color w:val="000000"/>
        </w:rPr>
        <w:t xml:space="preserve"> v. Shelton</w:t>
      </w:r>
      <w:r w:rsidRPr="00454361">
        <w:rPr>
          <w:rFonts w:cs="Times New Roman"/>
          <w:color w:val="000000"/>
        </w:rPr>
        <w:t xml:space="preserve">, 728 F.3d 1086, 1093 (9th Cir. 2013)) (citing </w:t>
      </w:r>
      <w:r w:rsidRPr="00454361">
        <w:rPr>
          <w:rFonts w:cs="Times New Roman"/>
          <w:i/>
          <w:iCs/>
          <w:color w:val="000000"/>
        </w:rPr>
        <w:t>Nelson v. City of Davis</w:t>
      </w:r>
      <w:r w:rsidRPr="00454361">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03642F39" w14:textId="77777777" w:rsidR="00454361" w:rsidRPr="00454361" w:rsidRDefault="00454361" w:rsidP="00454361">
      <w:pPr>
        <w:autoSpaceDE w:val="0"/>
        <w:autoSpaceDN w:val="0"/>
        <w:adjustRightInd w:val="0"/>
        <w:rPr>
          <w:rFonts w:cs="Times New Roman"/>
          <w:szCs w:val="24"/>
        </w:rPr>
      </w:pPr>
    </w:p>
    <w:p w14:paraId="35745993"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454361">
        <w:rPr>
          <w:rFonts w:cs="Times New Roman"/>
          <w:i/>
          <w:iCs/>
          <w:szCs w:val="24"/>
        </w:rPr>
        <w:t xml:space="preserve"> Torres</w:t>
      </w:r>
      <w:r w:rsidRPr="00454361">
        <w:rPr>
          <w:rFonts w:cs="Times New Roman"/>
          <w:szCs w:val="24"/>
        </w:rPr>
        <w:t>, 548 F.3d at 1210.</w:t>
      </w:r>
      <w:r w:rsidRPr="00454361">
        <w:rPr>
          <w:rFonts w:cs="Times New Roman"/>
          <w:i/>
          <w:iCs/>
          <w:szCs w:val="24"/>
        </w:rPr>
        <w:t xml:space="preserve">  </w:t>
      </w:r>
      <w:r w:rsidRPr="00454361">
        <w:rPr>
          <w:rFonts w:cs="Times New Roman"/>
          <w:szCs w:val="24"/>
        </w:rPr>
        <w:t xml:space="preserve">If reasonable jurors could believe that the defendant violated the plaintiff’s constitutional right, and the right at issue was clearly established, the case should proceed to trial. </w:t>
      </w:r>
      <w:r w:rsidRPr="00454361">
        <w:rPr>
          <w:rFonts w:cs="Times New Roman"/>
          <w:i/>
          <w:iCs/>
          <w:szCs w:val="24"/>
        </w:rPr>
        <w:t xml:space="preserve"> Id.</w:t>
      </w:r>
      <w:r w:rsidRPr="00454361">
        <w:rPr>
          <w:rFonts w:cs="Times New Roman"/>
          <w:szCs w:val="24"/>
        </w:rPr>
        <w:t xml:space="preserve">: </w:t>
      </w:r>
      <w:r w:rsidRPr="00454361">
        <w:rPr>
          <w:rFonts w:cs="Times New Roman"/>
          <w:i/>
          <w:iCs/>
          <w:szCs w:val="24"/>
        </w:rPr>
        <w:t>see also LaLonde v. County of Riverside</w:t>
      </w:r>
      <w:r w:rsidRPr="00454361">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454361">
        <w:rPr>
          <w:rFonts w:cs="Times New Roman"/>
          <w:i/>
          <w:iCs/>
          <w:szCs w:val="24"/>
        </w:rPr>
        <w:t>Johnson v. Bay Area Rapid Transit Dist.</w:t>
      </w:r>
      <w:r w:rsidRPr="00454361">
        <w:rPr>
          <w:rFonts w:cs="Times New Roman"/>
          <w:szCs w:val="24"/>
        </w:rPr>
        <w:t>, 724 F.3d 1159, 1168 (9th</w:t>
      </w:r>
      <w:r w:rsidRPr="00454361">
        <w:rPr>
          <w:rFonts w:cs="Times New Roman"/>
          <w:szCs w:val="24"/>
          <w:vertAlign w:val="superscript"/>
        </w:rPr>
        <w:t xml:space="preserve"> </w:t>
      </w:r>
      <w:r w:rsidRPr="00454361">
        <w:rPr>
          <w:rFonts w:cs="Times New Roman"/>
          <w:szCs w:val="24"/>
        </w:rPr>
        <w:t xml:space="preserve">Cir. 2013) (citations omitted); </w:t>
      </w:r>
      <w:r w:rsidRPr="00454361">
        <w:rPr>
          <w:rFonts w:cs="Times New Roman"/>
          <w:i/>
          <w:iCs/>
          <w:szCs w:val="24"/>
        </w:rPr>
        <w:t>see also Wilkins v. City of Oakland</w:t>
      </w:r>
      <w:r w:rsidRPr="00454361">
        <w:rPr>
          <w:rFonts w:cs="Times New Roman"/>
          <w:szCs w:val="24"/>
        </w:rPr>
        <w:t>, 350 F.3d 949, 955 (9th Cir. 2003) (explaining that if determining reasonableness of officer’s action depends on disputed issues of fact—</w:t>
      </w:r>
      <w:r w:rsidRPr="00454361">
        <w:rPr>
          <w:rFonts w:cs="Times New Roman"/>
          <w:i/>
          <w:iCs/>
          <w:szCs w:val="24"/>
        </w:rPr>
        <w:t>i.e</w:t>
      </w:r>
      <w:r w:rsidRPr="00454361">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454361">
        <w:rPr>
          <w:rFonts w:cs="Times New Roman"/>
          <w:i/>
          <w:iCs/>
          <w:szCs w:val="24"/>
        </w:rPr>
        <w:t xml:space="preserve"> Torres</w:t>
      </w:r>
      <w:r w:rsidRPr="00454361">
        <w:rPr>
          <w:rFonts w:cs="Times New Roman"/>
          <w:szCs w:val="24"/>
        </w:rPr>
        <w:t>, 548 F.3d at 1211 n. 9.</w:t>
      </w:r>
      <w:r w:rsidRPr="00454361">
        <w:rPr>
          <w:rFonts w:cs="Times New Roman"/>
          <w:szCs w:val="24"/>
        </w:rPr>
        <w:tab/>
      </w:r>
    </w:p>
    <w:p w14:paraId="4B9D3B43" w14:textId="77777777" w:rsidR="00454361" w:rsidRPr="00454361" w:rsidRDefault="00454361" w:rsidP="00454361">
      <w:pPr>
        <w:autoSpaceDE w:val="0"/>
        <w:autoSpaceDN w:val="0"/>
        <w:adjustRightInd w:val="0"/>
        <w:rPr>
          <w:rFonts w:cs="Times New Roman"/>
          <w:szCs w:val="24"/>
        </w:rPr>
      </w:pPr>
    </w:p>
    <w:p w14:paraId="69F7518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454361">
        <w:rPr>
          <w:rFonts w:cs="Times New Roman"/>
          <w:i/>
          <w:iCs/>
          <w:szCs w:val="24"/>
        </w:rPr>
        <w:t>Morales v. Fry</w:t>
      </w:r>
      <w:r w:rsidRPr="00454361">
        <w:rPr>
          <w:rFonts w:cs="Times New Roman"/>
          <w:szCs w:val="24"/>
        </w:rPr>
        <w:t xml:space="preserve">, 873 F.3d 817, 824 (9th Cir. 2017); </w:t>
      </w:r>
      <w:r w:rsidRPr="00454361">
        <w:rPr>
          <w:rFonts w:cs="Times New Roman"/>
          <w:i/>
          <w:iCs/>
          <w:szCs w:val="24"/>
        </w:rPr>
        <w:t xml:space="preserve">see also </w:t>
      </w:r>
      <w:proofErr w:type="spellStart"/>
      <w:r w:rsidRPr="00454361">
        <w:rPr>
          <w:rFonts w:cs="Times New Roman"/>
          <w:i/>
          <w:iCs/>
          <w:szCs w:val="24"/>
        </w:rPr>
        <w:t>Nehad</w:t>
      </w:r>
      <w:proofErr w:type="spellEnd"/>
      <w:r w:rsidRPr="00454361">
        <w:rPr>
          <w:rFonts w:cs="Times New Roman"/>
          <w:i/>
          <w:iCs/>
          <w:szCs w:val="24"/>
        </w:rPr>
        <w:t xml:space="preserve"> v. Browder</w:t>
      </w:r>
      <w:r w:rsidRPr="00454361">
        <w:rPr>
          <w:rFonts w:cs="Times New Roman"/>
          <w:szCs w:val="24"/>
        </w:rPr>
        <w:t>, 929</w:t>
      </w:r>
    </w:p>
    <w:p w14:paraId="4FFFA03A" w14:textId="77777777" w:rsidR="00454361" w:rsidRPr="00454361" w:rsidRDefault="00454361" w:rsidP="00454361">
      <w:pPr>
        <w:autoSpaceDE w:val="0"/>
        <w:autoSpaceDN w:val="0"/>
        <w:adjustRightInd w:val="0"/>
        <w:rPr>
          <w:rFonts w:cs="Times New Roman"/>
          <w:szCs w:val="24"/>
        </w:rPr>
      </w:pPr>
      <w:r w:rsidRPr="00454361">
        <w:rPr>
          <w:rFonts w:cs="Times New Roman"/>
          <w:szCs w:val="24"/>
        </w:rPr>
        <w:lastRenderedPageBreak/>
        <w:t xml:space="preserve">F.3d 1125, 1140 (9th Cir. 2019).  The issue should be preserved in a Rule 50(a) motion at the close of evidence and then revisited, if appropriate, after the verdict in a Rule 50(b) motion.  </w:t>
      </w:r>
      <w:proofErr w:type="spellStart"/>
      <w:r w:rsidRPr="00454361">
        <w:rPr>
          <w:rFonts w:cs="Times New Roman"/>
          <w:i/>
          <w:iCs/>
          <w:szCs w:val="24"/>
        </w:rPr>
        <w:t>Tortu</w:t>
      </w:r>
      <w:proofErr w:type="spellEnd"/>
      <w:r w:rsidRPr="00454361">
        <w:rPr>
          <w:rFonts w:cs="Times New Roman"/>
          <w:i/>
          <w:iCs/>
          <w:szCs w:val="24"/>
        </w:rPr>
        <w:t xml:space="preserve"> v. Las Vegas Metro. Police </w:t>
      </w:r>
      <w:proofErr w:type="spellStart"/>
      <w:r w:rsidRPr="00454361">
        <w:rPr>
          <w:rFonts w:cs="Times New Roman"/>
          <w:i/>
          <w:iCs/>
          <w:szCs w:val="24"/>
        </w:rPr>
        <w:t>Dep’t</w:t>
      </w:r>
      <w:proofErr w:type="spellEnd"/>
      <w:r w:rsidRPr="00454361">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454361">
        <w:rPr>
          <w:rFonts w:cs="Times New Roman"/>
          <w:i/>
          <w:iCs/>
          <w:szCs w:val="24"/>
        </w:rPr>
        <w:t>see also A.D. v. Cal. High. Patrol</w:t>
      </w:r>
      <w:r w:rsidRPr="00454361">
        <w:rPr>
          <w:rFonts w:cs="Times New Roman"/>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454361">
        <w:rPr>
          <w:rFonts w:cs="Times New Roman"/>
          <w:i/>
          <w:iCs/>
          <w:szCs w:val="24"/>
        </w:rPr>
        <w:t>See Lam v. City of San Jose</w:t>
      </w:r>
      <w:r w:rsidRPr="00454361">
        <w:rPr>
          <w:rFonts w:cs="Times New Roman"/>
          <w:szCs w:val="24"/>
        </w:rPr>
        <w:t>, 869 F.3d 1077, 1086 (9th Cir. 2017).</w:t>
      </w:r>
    </w:p>
    <w:p w14:paraId="1CB2B866" w14:textId="77777777" w:rsidR="00454361" w:rsidRPr="00454361" w:rsidRDefault="00454361" w:rsidP="00454361">
      <w:pPr>
        <w:autoSpaceDE w:val="0"/>
        <w:autoSpaceDN w:val="0"/>
        <w:adjustRightInd w:val="0"/>
        <w:rPr>
          <w:rFonts w:cs="Times New Roman"/>
          <w:szCs w:val="24"/>
        </w:rPr>
      </w:pPr>
    </w:p>
    <w:p w14:paraId="0F58E70A" w14:textId="77777777" w:rsidR="00454361" w:rsidRPr="00454361" w:rsidRDefault="00454361" w:rsidP="00454361">
      <w:pPr>
        <w:autoSpaceDE w:val="0"/>
        <w:autoSpaceDN w:val="0"/>
        <w:adjustRightInd w:val="0"/>
        <w:rPr>
          <w:rFonts w:cs="Times New Roman"/>
          <w:i/>
          <w:iCs/>
          <w:szCs w:val="24"/>
        </w:rPr>
      </w:pPr>
      <w:r w:rsidRPr="00454361">
        <w:rPr>
          <w:rFonts w:cs="Times New Roman"/>
          <w:szCs w:val="24"/>
        </w:rPr>
        <w:tab/>
        <w:t xml:space="preserve">The district court may raise the issue of qualified immunity </w:t>
      </w:r>
      <w:proofErr w:type="spellStart"/>
      <w:r w:rsidRPr="00454361">
        <w:rPr>
          <w:rFonts w:cs="Times New Roman"/>
          <w:i/>
          <w:iCs/>
          <w:szCs w:val="24"/>
        </w:rPr>
        <w:t>sua</w:t>
      </w:r>
      <w:proofErr w:type="spellEnd"/>
      <w:r w:rsidRPr="00454361">
        <w:rPr>
          <w:rFonts w:cs="Times New Roman"/>
          <w:i/>
          <w:iCs/>
          <w:szCs w:val="24"/>
        </w:rPr>
        <w:t xml:space="preserve"> sponte</w:t>
      </w:r>
      <w:r w:rsidRPr="00454361">
        <w:rPr>
          <w:rFonts w:cs="Times New Roman"/>
          <w:szCs w:val="24"/>
        </w:rPr>
        <w:t>.</w:t>
      </w:r>
      <w:r w:rsidRPr="00454361">
        <w:rPr>
          <w:rFonts w:cs="Times New Roman"/>
          <w:i/>
          <w:iCs/>
          <w:szCs w:val="24"/>
        </w:rPr>
        <w:t xml:space="preserve">  Easley v. City of</w:t>
      </w:r>
    </w:p>
    <w:p w14:paraId="60A43722" w14:textId="77777777" w:rsidR="00454361" w:rsidRPr="00454361" w:rsidRDefault="00454361" w:rsidP="00454361">
      <w:pPr>
        <w:autoSpaceDE w:val="0"/>
        <w:autoSpaceDN w:val="0"/>
        <w:adjustRightInd w:val="0"/>
        <w:rPr>
          <w:rFonts w:cs="Times New Roman"/>
          <w:szCs w:val="24"/>
        </w:rPr>
      </w:pPr>
      <w:r w:rsidRPr="00454361">
        <w:rPr>
          <w:rFonts w:cs="Times New Roman"/>
          <w:i/>
          <w:iCs/>
          <w:szCs w:val="24"/>
        </w:rPr>
        <w:t>Riverside</w:t>
      </w:r>
      <w:r w:rsidRPr="00454361">
        <w:rPr>
          <w:rFonts w:cs="Times New Roman"/>
          <w:szCs w:val="24"/>
        </w:rPr>
        <w:t xml:space="preserve">, 890 F.3d 851, 855 (9th Cir. 2018).  In </w:t>
      </w:r>
      <w:r w:rsidRPr="00454361">
        <w:rPr>
          <w:rFonts w:cs="Times New Roman"/>
          <w:i/>
          <w:iCs/>
          <w:szCs w:val="24"/>
        </w:rPr>
        <w:t>Easley</w:t>
      </w:r>
      <w:r w:rsidRPr="00454361">
        <w:rPr>
          <w:rFonts w:cs="Times New Roman"/>
          <w:szCs w:val="24"/>
        </w:rPr>
        <w:t>, the defendant asserted qualified</w:t>
      </w:r>
    </w:p>
    <w:p w14:paraId="16E3FEA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immunity as a defense in his answer but took no further action on the defense.  At the pre-trial</w:t>
      </w:r>
    </w:p>
    <w:p w14:paraId="43AD0457" w14:textId="77777777" w:rsidR="00454361" w:rsidRPr="00454361" w:rsidRDefault="00454361" w:rsidP="00454361">
      <w:pPr>
        <w:autoSpaceDE w:val="0"/>
        <w:autoSpaceDN w:val="0"/>
        <w:adjustRightInd w:val="0"/>
        <w:rPr>
          <w:rFonts w:cs="Times New Roman"/>
          <w:szCs w:val="24"/>
        </w:rPr>
      </w:pPr>
    </w:p>
    <w:p w14:paraId="5F8C55DF"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conference, the district court directed the parties to brief the issue, and entered summary</w:t>
      </w:r>
    </w:p>
    <w:p w14:paraId="25C724CE"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judgment in defendant’s favor.  The Ninth Circuit affirmed.  </w:t>
      </w:r>
      <w:r w:rsidRPr="00454361">
        <w:rPr>
          <w:rFonts w:cs="Times New Roman"/>
          <w:i/>
          <w:iCs/>
          <w:szCs w:val="24"/>
        </w:rPr>
        <w:t>Id</w:t>
      </w:r>
      <w:r w:rsidRPr="00454361">
        <w:rPr>
          <w:rFonts w:cs="Times New Roman"/>
          <w:szCs w:val="24"/>
        </w:rPr>
        <w:t>.</w:t>
      </w:r>
    </w:p>
    <w:p w14:paraId="63DBAFAD"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r>
    </w:p>
    <w:p w14:paraId="7DEF6C9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Qualified immunity analysis is irrelevant to the issue of liability under </w:t>
      </w:r>
      <w:proofErr w:type="spellStart"/>
      <w:r w:rsidRPr="00454361">
        <w:rPr>
          <w:rFonts w:cs="Times New Roman"/>
          <w:i/>
          <w:iCs/>
          <w:szCs w:val="24"/>
        </w:rPr>
        <w:t>Monell</w:t>
      </w:r>
      <w:proofErr w:type="spellEnd"/>
      <w:r w:rsidRPr="00454361">
        <w:rPr>
          <w:rFonts w:cs="Times New Roman"/>
          <w:i/>
          <w:iCs/>
          <w:szCs w:val="24"/>
        </w:rPr>
        <w:t xml:space="preserve"> v. Department of Social Services of City of New York</w:t>
      </w:r>
      <w:r w:rsidRPr="00454361">
        <w:rPr>
          <w:rFonts w:cs="Times New Roman"/>
          <w:szCs w:val="24"/>
        </w:rPr>
        <w:t xml:space="preserve">, 436 U.S. 658, 691 (1978).  </w:t>
      </w:r>
      <w:r w:rsidRPr="00454361">
        <w:rPr>
          <w:rFonts w:cs="Times New Roman"/>
          <w:i/>
          <w:iCs/>
          <w:szCs w:val="24"/>
        </w:rPr>
        <w:t>See Mendiola-Martinez v. Arpaio</w:t>
      </w:r>
      <w:r w:rsidRPr="00454361">
        <w:rPr>
          <w:rFonts w:cs="Times New Roman"/>
          <w:szCs w:val="24"/>
        </w:rPr>
        <w:t>, 836 F.3d 1239, 1250 (9th Cir. 2016).</w:t>
      </w:r>
    </w:p>
    <w:p w14:paraId="6524E604"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 </w:t>
      </w:r>
    </w:p>
    <w:p w14:paraId="539924A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“State action for § 1983 purposes is not necessarily co-extensive with state action for which qualified immunity is available.”  </w:t>
      </w:r>
      <w:r w:rsidRPr="00454361">
        <w:rPr>
          <w:rFonts w:cs="Times New Roman"/>
          <w:i/>
          <w:iCs/>
          <w:szCs w:val="24"/>
        </w:rPr>
        <w:t>Bracken v. Okura</w:t>
      </w:r>
      <w:r w:rsidRPr="00454361">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454361">
        <w:rPr>
          <w:rFonts w:cs="Times New Roman"/>
          <w:i/>
          <w:iCs/>
          <w:szCs w:val="24"/>
        </w:rPr>
        <w:t>Id</w:t>
      </w:r>
      <w:r w:rsidRPr="00454361">
        <w:rPr>
          <w:rFonts w:cs="Times New Roman"/>
          <w:szCs w:val="24"/>
        </w:rPr>
        <w:t>. at 777-78.</w:t>
      </w:r>
    </w:p>
    <w:p w14:paraId="35202EE1" w14:textId="77777777" w:rsidR="00454361" w:rsidRPr="00454361" w:rsidRDefault="00454361" w:rsidP="00454361">
      <w:pPr>
        <w:autoSpaceDE w:val="0"/>
        <w:autoSpaceDN w:val="0"/>
        <w:adjustRightInd w:val="0"/>
        <w:rPr>
          <w:rFonts w:cs="Times New Roman"/>
          <w:szCs w:val="24"/>
        </w:rPr>
      </w:pPr>
    </w:p>
    <w:p w14:paraId="2EB32C28"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For a discussion of when a law enforcement officer is entitled to rely on the judgment of a government agency for purposes of the second prong of the qualified immunity analysis, </w:t>
      </w:r>
      <w:r w:rsidRPr="00454361">
        <w:rPr>
          <w:rFonts w:cs="Times New Roman"/>
          <w:i/>
          <w:iCs/>
          <w:szCs w:val="24"/>
        </w:rPr>
        <w:t xml:space="preserve">see </w:t>
      </w:r>
      <w:proofErr w:type="spellStart"/>
      <w:r w:rsidRPr="00454361">
        <w:rPr>
          <w:rFonts w:cs="Times New Roman"/>
          <w:i/>
          <w:iCs/>
          <w:szCs w:val="24"/>
        </w:rPr>
        <w:t>Sjurset</w:t>
      </w:r>
      <w:proofErr w:type="spellEnd"/>
      <w:r w:rsidRPr="00454361">
        <w:rPr>
          <w:rFonts w:cs="Times New Roman"/>
          <w:i/>
          <w:iCs/>
          <w:szCs w:val="24"/>
        </w:rPr>
        <w:t xml:space="preserve"> v. Button</w:t>
      </w:r>
      <w:r w:rsidRPr="00454361">
        <w:rPr>
          <w:rFonts w:cs="Times New Roman"/>
          <w:szCs w:val="24"/>
        </w:rPr>
        <w:t xml:space="preserve">, 810 F.3d 609 (9th Cir. 2015).  For a discussion of when a law enforcement officer may rely on a policy, ordinance, or permit scheme underlying the officer’s challenged actions that is not itself challenged, </w:t>
      </w:r>
      <w:r w:rsidRPr="00454361">
        <w:rPr>
          <w:rFonts w:cs="Times New Roman"/>
          <w:i/>
          <w:iCs/>
          <w:szCs w:val="24"/>
        </w:rPr>
        <w:t>see Saved Magazine v. Spokane Police Department</w:t>
      </w:r>
      <w:r w:rsidRPr="00454361">
        <w:rPr>
          <w:rFonts w:cs="Times New Roman"/>
          <w:szCs w:val="24"/>
        </w:rPr>
        <w:t>, 19 F.4th 1193 (9th Cir. 2021).</w:t>
      </w:r>
    </w:p>
    <w:p w14:paraId="2AB1B9C6" w14:textId="77777777" w:rsidR="00454361" w:rsidRPr="00454361" w:rsidRDefault="00454361" w:rsidP="00454361">
      <w:pPr>
        <w:autoSpaceDE w:val="0"/>
        <w:autoSpaceDN w:val="0"/>
        <w:adjustRightInd w:val="0"/>
        <w:rPr>
          <w:rFonts w:cs="Times New Roman"/>
          <w:szCs w:val="24"/>
        </w:rPr>
      </w:pPr>
    </w:p>
    <w:p w14:paraId="7F30A017"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“As a general rule, members of the public have no constitutional right to sue [public] employees who fail to protect them against harm inflicted by third parties.”  </w:t>
      </w:r>
      <w:r w:rsidRPr="00454361">
        <w:rPr>
          <w:rFonts w:cs="Times New Roman"/>
          <w:i/>
          <w:iCs/>
          <w:szCs w:val="24"/>
        </w:rPr>
        <w:t>Juan Hernandez v. City of San Jose</w:t>
      </w:r>
      <w:r w:rsidRPr="00454361">
        <w:rPr>
          <w:rFonts w:cs="Times New Roman"/>
          <w:szCs w:val="24"/>
        </w:rPr>
        <w:t xml:space="preserve">, 897 F.3d 1125, 1133 (9th Cir. 2018) (quoting </w:t>
      </w:r>
      <w:r w:rsidRPr="00454361">
        <w:rPr>
          <w:rFonts w:cs="Times New Roman"/>
          <w:i/>
          <w:iCs/>
          <w:szCs w:val="24"/>
        </w:rPr>
        <w:t>L.W. v. Grubbs</w:t>
      </w:r>
      <w:r w:rsidRPr="00454361">
        <w:rPr>
          <w:rFonts w:cs="Times New Roman"/>
          <w:szCs w:val="24"/>
        </w:rPr>
        <w:t xml:space="preserve">, 974 F.2d 119, 121 (9th Cir. 1992)).  One exception to this general rule is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454361">
        <w:rPr>
          <w:rFonts w:cs="Times New Roman"/>
          <w:i/>
          <w:iCs/>
          <w:szCs w:val="24"/>
        </w:rPr>
        <w:t>Id</w:t>
      </w:r>
      <w:r w:rsidRPr="00454361">
        <w:rPr>
          <w:rFonts w:cs="Times New Roman"/>
          <w:szCs w:val="24"/>
        </w:rPr>
        <w:t xml:space="preserve">.  To prove that the exception applies, “[t]he affirmative act must create an actual, particularized danger,” “the ultimate injury to the </w:t>
      </w:r>
      <w:r w:rsidRPr="00454361">
        <w:rPr>
          <w:rFonts w:cs="Times New Roman"/>
          <w:szCs w:val="24"/>
        </w:rPr>
        <w:lastRenderedPageBreak/>
        <w:t xml:space="preserve">plaintiffs must be foreseeable,” and “the employees must have . . . acted with ‘deliberate indifference’ to a ‘known or obvious danger.’”  </w:t>
      </w:r>
      <w:r w:rsidRPr="00454361">
        <w:rPr>
          <w:rFonts w:cs="Times New Roman"/>
          <w:i/>
          <w:iCs/>
          <w:szCs w:val="24"/>
        </w:rPr>
        <w:t>Id</w:t>
      </w:r>
      <w:r w:rsidRPr="00454361">
        <w:rPr>
          <w:rFonts w:cs="Times New Roman"/>
          <w:szCs w:val="24"/>
        </w:rPr>
        <w:t xml:space="preserve">. (citations omitted).  For a further discussion of the state-created danger doctrine, </w:t>
      </w:r>
      <w:r w:rsidRPr="00454361">
        <w:rPr>
          <w:rFonts w:cs="Times New Roman"/>
          <w:i/>
          <w:iCs/>
          <w:szCs w:val="24"/>
        </w:rPr>
        <w:t>see also Bracken</w:t>
      </w:r>
      <w:r w:rsidRPr="00454361">
        <w:rPr>
          <w:rFonts w:cs="Times New Roman"/>
          <w:szCs w:val="24"/>
        </w:rPr>
        <w:t xml:space="preserve">, 869 F.3d at 778-79; </w:t>
      </w:r>
      <w:proofErr w:type="spellStart"/>
      <w:r w:rsidRPr="00454361">
        <w:rPr>
          <w:rFonts w:cs="Times New Roman"/>
          <w:i/>
          <w:iCs/>
          <w:szCs w:val="24"/>
        </w:rPr>
        <w:t>Pauluk</w:t>
      </w:r>
      <w:proofErr w:type="spellEnd"/>
      <w:r w:rsidRPr="00454361">
        <w:rPr>
          <w:rFonts w:cs="Times New Roman"/>
          <w:i/>
          <w:iCs/>
          <w:szCs w:val="24"/>
        </w:rPr>
        <w:t xml:space="preserve"> v. Savage</w:t>
      </w:r>
      <w:r w:rsidRPr="00454361">
        <w:rPr>
          <w:rFonts w:cs="Times New Roman"/>
          <w:szCs w:val="24"/>
        </w:rPr>
        <w:t>, 836 F.3d 1117, 1122 (9th Cir. 2016).</w:t>
      </w:r>
    </w:p>
    <w:p w14:paraId="077A9748" w14:textId="77777777" w:rsidR="00454361" w:rsidRPr="00454361" w:rsidRDefault="00454361" w:rsidP="00454361">
      <w:pPr>
        <w:autoSpaceDE w:val="0"/>
        <w:autoSpaceDN w:val="0"/>
        <w:adjustRightInd w:val="0"/>
        <w:rPr>
          <w:rFonts w:cs="Times New Roman"/>
          <w:szCs w:val="24"/>
        </w:rPr>
      </w:pPr>
    </w:p>
    <w:p w14:paraId="050A61A1"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ab/>
        <w:t xml:space="preserve">In </w:t>
      </w:r>
      <w:r w:rsidRPr="00454361">
        <w:rPr>
          <w:rFonts w:cs="Times New Roman"/>
          <w:i/>
          <w:iCs/>
          <w:szCs w:val="24"/>
        </w:rPr>
        <w:t>Thompson v. Raheem</w:t>
      </w:r>
      <w:r w:rsidRPr="00454361">
        <w:rPr>
          <w:rFonts w:cs="Times New Roman"/>
          <w:szCs w:val="24"/>
        </w:rPr>
        <w:t>, 885 F. 3d 582, 586 (9th Cir. 2018), the Ninth Circuit clarified</w:t>
      </w:r>
    </w:p>
    <w:p w14:paraId="7A500100" w14:textId="77777777" w:rsidR="00454361" w:rsidRPr="00454361" w:rsidRDefault="00454361" w:rsidP="00454361">
      <w:pPr>
        <w:autoSpaceDE w:val="0"/>
        <w:autoSpaceDN w:val="0"/>
        <w:adjustRightInd w:val="0"/>
        <w:rPr>
          <w:rFonts w:cs="Times New Roman"/>
          <w:szCs w:val="24"/>
        </w:rPr>
      </w:pPr>
      <w:r w:rsidRPr="00454361">
        <w:rPr>
          <w:rFonts w:cs="Times New Roman"/>
          <w:szCs w:val="24"/>
        </w:rPr>
        <w:t xml:space="preserve">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 </w:t>
      </w:r>
      <w:r w:rsidRPr="00454361">
        <w:rPr>
          <w:rFonts w:cs="Times New Roman"/>
          <w:i/>
          <w:iCs/>
          <w:szCs w:val="24"/>
        </w:rPr>
        <w:t xml:space="preserve"> See also Williamson v. City of National City</w:t>
      </w:r>
      <w:r w:rsidRPr="00454361">
        <w:rPr>
          <w:rFonts w:cs="Times New Roman"/>
          <w:szCs w:val="24"/>
        </w:rPr>
        <w:t>, 23 F.4th 1146 (2022) (following same three-step analytical framework to analyze qualified immunity in excessive force claim).</w:t>
      </w:r>
    </w:p>
    <w:p w14:paraId="6A4360F2" w14:textId="77777777" w:rsidR="00454361" w:rsidRPr="00454361" w:rsidRDefault="00454361" w:rsidP="00454361">
      <w:pPr>
        <w:autoSpaceDE w:val="0"/>
        <w:autoSpaceDN w:val="0"/>
        <w:adjustRightInd w:val="0"/>
        <w:rPr>
          <w:rFonts w:cs="Times New Roman"/>
          <w:szCs w:val="24"/>
        </w:rPr>
      </w:pPr>
    </w:p>
    <w:p w14:paraId="35EB1F2C" w14:textId="3794BD73" w:rsidR="00454361" w:rsidRPr="00454361" w:rsidRDefault="00454361" w:rsidP="00454361">
      <w:pPr>
        <w:spacing w:after="160" w:line="259" w:lineRule="auto"/>
        <w:jc w:val="right"/>
        <w:rPr>
          <w:rFonts w:cs="Times New Roman"/>
          <w:i/>
          <w:iCs/>
          <w:szCs w:val="24"/>
        </w:rPr>
      </w:pPr>
      <w:r w:rsidRPr="00454361">
        <w:rPr>
          <w:rFonts w:cs="Times New Roman"/>
          <w:i/>
          <w:iCs/>
          <w:szCs w:val="24"/>
        </w:rPr>
        <w:t xml:space="preserve">Revised </w:t>
      </w:r>
      <w:r w:rsidR="00777F53">
        <w:rPr>
          <w:rFonts w:cs="Times New Roman"/>
          <w:i/>
          <w:iCs/>
          <w:szCs w:val="24"/>
        </w:rPr>
        <w:t>Sept.</w:t>
      </w:r>
      <w:r w:rsidRPr="00454361">
        <w:rPr>
          <w:rFonts w:cs="Times New Roman"/>
          <w:i/>
          <w:iCs/>
          <w:szCs w:val="24"/>
        </w:rPr>
        <w:t xml:space="preserve"> 2022</w:t>
      </w:r>
    </w:p>
    <w:p w14:paraId="69989E24" w14:textId="75BF5D79" w:rsidR="006A4CD7" w:rsidRPr="00C52F1D" w:rsidRDefault="006A4CD7" w:rsidP="00BF5CD7">
      <w:pPr>
        <w:pStyle w:val="Heading1"/>
      </w:pPr>
      <w:r w:rsidRPr="006A4CD7">
        <w:br w:type="page"/>
      </w:r>
      <w:bookmarkStart w:id="179" w:name="_Toc117512466"/>
      <w:r w:rsidRPr="00C52F1D">
        <w:lastRenderedPageBreak/>
        <w:t>10.  C</w:t>
      </w:r>
      <w:r w:rsidR="00C52F1D" w:rsidRPr="00C52F1D">
        <w:t>IVIL</w:t>
      </w:r>
      <w:r w:rsidRPr="00C52F1D">
        <w:t xml:space="preserve"> R</w:t>
      </w:r>
      <w:r w:rsidR="00C52F1D" w:rsidRPr="00C52F1D">
        <w:t>IGHTS</w:t>
      </w:r>
      <w:r w:rsidRPr="00C52F1D">
        <w:t>—T</w:t>
      </w:r>
      <w:r w:rsidR="00C52F1D" w:rsidRPr="00C52F1D">
        <w:t xml:space="preserve">ITLE </w:t>
      </w:r>
      <w:r w:rsidRPr="00C52F1D">
        <w:t>VII—E</w:t>
      </w:r>
      <w:r w:rsidR="00C52F1D" w:rsidRPr="00C52F1D">
        <w:t>MPLOYMENT</w:t>
      </w:r>
      <w:r w:rsidR="00B3575B" w:rsidRPr="00C52F1D">
        <w:t xml:space="preserve"> </w:t>
      </w:r>
      <w:r w:rsidRPr="00C52F1D">
        <w:t>D</w:t>
      </w:r>
      <w:r w:rsidR="00C52F1D" w:rsidRPr="00C52F1D">
        <w:t>ISCRIMINATION</w:t>
      </w:r>
      <w:r w:rsidRPr="00C52F1D">
        <w:t>; H</w:t>
      </w:r>
      <w:r w:rsidR="00C52F1D" w:rsidRPr="00C52F1D">
        <w:t>ARASSMENT</w:t>
      </w:r>
      <w:r w:rsidRPr="00C52F1D">
        <w:t>; R</w:t>
      </w:r>
      <w:r w:rsidR="00C52F1D" w:rsidRPr="00C52F1D">
        <w:t>ETALIATION</w:t>
      </w:r>
      <w:bookmarkEnd w:id="179"/>
    </w:p>
    <w:p w14:paraId="1EF7C105" w14:textId="77777777" w:rsidR="006A4CD7" w:rsidRPr="006A4CD7" w:rsidRDefault="006A4CD7" w:rsidP="00B0631D"/>
    <w:p w14:paraId="21B48C8C" w14:textId="77777777" w:rsidR="006A4CD7" w:rsidRPr="006A4CD7" w:rsidRDefault="006A4CD7" w:rsidP="00C52F1D">
      <w:pPr>
        <w:autoSpaceDE w:val="0"/>
        <w:autoSpaceDN w:val="0"/>
        <w:adjustRightInd w:val="0"/>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64785710"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10.1</w:t>
      </w:r>
      <w:r w:rsidR="00D7108D">
        <w:rPr>
          <w:rFonts w:cs="Times New Roman"/>
          <w:szCs w:val="24"/>
        </w:rPr>
        <w:tab/>
      </w:r>
      <w:r w:rsidRPr="006A4CD7">
        <w:rPr>
          <w:rFonts w:cs="Times New Roman"/>
          <w:szCs w:val="24"/>
        </w:rPr>
        <w:t>Civil Rights—Title VII—Disparate Treatment</w:t>
      </w:r>
      <w:r w:rsidRPr="006A4CD7">
        <w:rPr>
          <w:rFonts w:cs="Times New Roman"/>
          <w:b/>
          <w:bCs/>
          <w:szCs w:val="24"/>
        </w:rPr>
        <w:t>—</w:t>
      </w:r>
      <w:r w:rsidR="00D34A9C">
        <w:rPr>
          <w:rFonts w:cs="Times New Roman"/>
          <w:szCs w:val="24"/>
        </w:rPr>
        <w:t>Without Affirmative Defense of “Same Decision”</w:t>
      </w:r>
    </w:p>
    <w:p w14:paraId="3642387B" w14:textId="51ACE2C8"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10.2</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w:t>
      </w:r>
      <w:r w:rsidR="00D34A9C">
        <w:rPr>
          <w:rFonts w:cs="Times New Roman"/>
          <w:szCs w:val="24"/>
        </w:rPr>
        <w:t>With Affirmative Defense of “Same Decision”</w:t>
      </w:r>
    </w:p>
    <w:p w14:paraId="257D8D1E" w14:textId="2E85156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10.3</w:t>
      </w:r>
      <w:r w:rsidRPr="006A4CD7">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w:t>
      </w:r>
      <w:r w:rsidR="00D34A9C">
        <w:rPr>
          <w:rFonts w:cs="Times New Roman"/>
          <w:szCs w:val="24"/>
        </w:rPr>
        <w:t>“Because of” Defined</w:t>
      </w:r>
    </w:p>
    <w:p w14:paraId="5C9B87D8" w14:textId="01AF518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10.4</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w:t>
      </w:r>
    </w:p>
    <w:p w14:paraId="55B76267" w14:textId="3DD71516"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10.5</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F50C88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10.7</w:t>
      </w:r>
      <w:r w:rsidRPr="006A4CD7">
        <w:rPr>
          <w:rFonts w:cs="Times New Roman"/>
          <w:szCs w:val="24"/>
        </w:rPr>
        <w:tab/>
      </w:r>
      <w:r w:rsidR="00C9762A">
        <w:rPr>
          <w:rFonts w:cs="Times New Roman"/>
          <w:szCs w:val="24"/>
        </w:rPr>
        <w:tab/>
      </w:r>
      <w:r w:rsidRPr="006A4CD7">
        <w:rPr>
          <w:rFonts w:cs="Times New Roman"/>
          <w:szCs w:val="24"/>
        </w:rPr>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5B5DDD54"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10.8</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VII—Retaliation</w:t>
      </w:r>
      <w:r w:rsidRPr="006A4CD7">
        <w:rPr>
          <w:rFonts w:cs="Times New Roman"/>
          <w:b/>
          <w:bCs/>
          <w:szCs w:val="24"/>
        </w:rPr>
        <w:t>—</w:t>
      </w:r>
      <w:r w:rsidRPr="006A4CD7">
        <w:rPr>
          <w:rFonts w:cs="Times New Roman"/>
          <w:szCs w:val="24"/>
        </w:rPr>
        <w:t>Elements and Burden of Proof</w:t>
      </w:r>
    </w:p>
    <w:p w14:paraId="0F242D68" w14:textId="5CBCE6E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10.9</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Defined</w:t>
      </w:r>
    </w:p>
    <w:p w14:paraId="79EE9F2F" w14:textId="55F2B6D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10.10</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Retaliation Cases</w:t>
      </w:r>
    </w:p>
    <w:p w14:paraId="525DB4F3" w14:textId="3B00BD54"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10.11</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Disparate Treatment Cases</w:t>
      </w:r>
    </w:p>
    <w:p w14:paraId="6FF3B740" w14:textId="266C02E1"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10.12</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Tangible Employment Action” Defined</w:t>
      </w:r>
    </w:p>
    <w:p w14:paraId="73C9FE72" w14:textId="18B73088"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10.13</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Constructive Discharge” Defined</w:t>
      </w:r>
    </w:p>
    <w:p w14:paraId="27334058" w14:textId="46CD8D20"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10.14</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Occupational Qualification</w:t>
      </w:r>
    </w:p>
    <w:p w14:paraId="74383D38" w14:textId="56ABD58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10.15</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Seniority System</w:t>
      </w:r>
    </w:p>
    <w:p w14:paraId="2C917199" w14:textId="192C3C4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10.16</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After-Acquired Evidence</w:t>
      </w:r>
    </w:p>
    <w:p w14:paraId="62BFD5EB" w14:textId="77777777" w:rsidR="006A4CD7" w:rsidRPr="006A4CD7" w:rsidRDefault="006A4CD7" w:rsidP="00C9762A">
      <w:pPr>
        <w:autoSpaceDE w:val="0"/>
        <w:autoSpaceDN w:val="0"/>
        <w:adjustRightInd w:val="0"/>
        <w:ind w:hanging="900"/>
        <w:rPr>
          <w:rFonts w:cs="Times New Roman"/>
          <w:szCs w:val="24"/>
        </w:rPr>
      </w:pPr>
    </w:p>
    <w:p w14:paraId="747E8251" w14:textId="1A1AF69E" w:rsidR="006A4CD7" w:rsidRDefault="00F95243" w:rsidP="0060759C">
      <w:pPr>
        <w:autoSpaceDE w:val="0"/>
        <w:autoSpaceDN w:val="0"/>
        <w:adjustRightInd w:val="0"/>
        <w:jc w:val="center"/>
        <w:rPr>
          <w:rFonts w:cs="Times New Roman"/>
          <w:szCs w:val="24"/>
        </w:rPr>
      </w:pPr>
      <w:r>
        <w:rPr>
          <w:rFonts w:cs="Times New Roman"/>
          <w:szCs w:val="24"/>
        </w:rPr>
        <w:t>____________________</w:t>
      </w:r>
    </w:p>
    <w:p w14:paraId="1773D129" w14:textId="77777777" w:rsidR="00671B7F" w:rsidRPr="006A4CD7" w:rsidRDefault="00671B7F" w:rsidP="0060759C">
      <w:pPr>
        <w:autoSpaceDE w:val="0"/>
        <w:autoSpaceDN w:val="0"/>
        <w:adjustRightInd w:val="0"/>
        <w:jc w:val="center"/>
        <w:rPr>
          <w:rFonts w:cs="Times New Roman"/>
          <w:szCs w:val="24"/>
        </w:rPr>
      </w:pPr>
    </w:p>
    <w:p w14:paraId="345A577C" w14:textId="594C86C2" w:rsidR="006A4CD7" w:rsidRDefault="006A4CD7" w:rsidP="0060759C">
      <w:pPr>
        <w:autoSpaceDE w:val="0"/>
        <w:autoSpaceDN w:val="0"/>
        <w:adjustRightInd w:val="0"/>
        <w:jc w:val="center"/>
        <w:rPr>
          <w:rFonts w:cs="Times New Roman"/>
          <w:b/>
          <w:bCs/>
          <w:szCs w:val="24"/>
        </w:rPr>
      </w:pPr>
    </w:p>
    <w:p w14:paraId="67DAA9E6" w14:textId="4AB4CC33" w:rsidR="00671B7F" w:rsidRDefault="00671B7F" w:rsidP="0060759C">
      <w:pPr>
        <w:autoSpaceDE w:val="0"/>
        <w:autoSpaceDN w:val="0"/>
        <w:adjustRightInd w:val="0"/>
        <w:jc w:val="center"/>
        <w:rPr>
          <w:rFonts w:cs="Times New Roman"/>
          <w:b/>
          <w:bCs/>
          <w:szCs w:val="24"/>
        </w:rPr>
      </w:pPr>
    </w:p>
    <w:p w14:paraId="150A8CBB" w14:textId="5334AA88" w:rsidR="00671B7F" w:rsidRDefault="00671B7F" w:rsidP="0060759C">
      <w:pPr>
        <w:autoSpaceDE w:val="0"/>
        <w:autoSpaceDN w:val="0"/>
        <w:adjustRightInd w:val="0"/>
        <w:jc w:val="center"/>
        <w:rPr>
          <w:rFonts w:cs="Times New Roman"/>
          <w:b/>
          <w:bCs/>
          <w:szCs w:val="24"/>
        </w:rPr>
      </w:pPr>
    </w:p>
    <w:p w14:paraId="267F0A49" w14:textId="394CE930" w:rsidR="00671B7F" w:rsidRDefault="00671B7F" w:rsidP="0060759C">
      <w:pPr>
        <w:autoSpaceDE w:val="0"/>
        <w:autoSpaceDN w:val="0"/>
        <w:adjustRightInd w:val="0"/>
        <w:jc w:val="center"/>
        <w:rPr>
          <w:rFonts w:cs="Times New Roman"/>
          <w:b/>
          <w:bCs/>
          <w:szCs w:val="24"/>
        </w:rPr>
      </w:pPr>
    </w:p>
    <w:p w14:paraId="569AAA48" w14:textId="779614C3" w:rsidR="00671B7F" w:rsidRDefault="00671B7F" w:rsidP="0060759C">
      <w:pPr>
        <w:autoSpaceDE w:val="0"/>
        <w:autoSpaceDN w:val="0"/>
        <w:adjustRightInd w:val="0"/>
        <w:jc w:val="center"/>
        <w:rPr>
          <w:rFonts w:cs="Times New Roman"/>
          <w:b/>
          <w:bCs/>
          <w:szCs w:val="24"/>
        </w:rPr>
      </w:pPr>
    </w:p>
    <w:p w14:paraId="53A77C24" w14:textId="2CE6EC46" w:rsidR="00671B7F" w:rsidRDefault="00671B7F" w:rsidP="0060759C">
      <w:pPr>
        <w:autoSpaceDE w:val="0"/>
        <w:autoSpaceDN w:val="0"/>
        <w:adjustRightInd w:val="0"/>
        <w:jc w:val="center"/>
        <w:rPr>
          <w:rFonts w:cs="Times New Roman"/>
          <w:b/>
          <w:bCs/>
          <w:szCs w:val="24"/>
        </w:rPr>
      </w:pPr>
    </w:p>
    <w:p w14:paraId="32030975" w14:textId="638D75D1" w:rsidR="00671B7F" w:rsidRDefault="00671B7F" w:rsidP="0060759C">
      <w:pPr>
        <w:autoSpaceDE w:val="0"/>
        <w:autoSpaceDN w:val="0"/>
        <w:adjustRightInd w:val="0"/>
        <w:jc w:val="center"/>
        <w:rPr>
          <w:rFonts w:cs="Times New Roman"/>
          <w:b/>
          <w:bCs/>
          <w:szCs w:val="24"/>
        </w:rPr>
      </w:pPr>
    </w:p>
    <w:p w14:paraId="44EDC5F1" w14:textId="477FFFA2" w:rsidR="00671B7F" w:rsidRDefault="00671B7F" w:rsidP="0060759C">
      <w:pPr>
        <w:autoSpaceDE w:val="0"/>
        <w:autoSpaceDN w:val="0"/>
        <w:adjustRightInd w:val="0"/>
        <w:jc w:val="center"/>
        <w:rPr>
          <w:rFonts w:cs="Times New Roman"/>
          <w:b/>
          <w:bCs/>
          <w:szCs w:val="24"/>
        </w:rPr>
      </w:pPr>
    </w:p>
    <w:p w14:paraId="147EC292" w14:textId="2AF3A304" w:rsidR="00671B7F" w:rsidRDefault="00671B7F" w:rsidP="0060759C">
      <w:pPr>
        <w:autoSpaceDE w:val="0"/>
        <w:autoSpaceDN w:val="0"/>
        <w:adjustRightInd w:val="0"/>
        <w:jc w:val="center"/>
        <w:rPr>
          <w:rFonts w:cs="Times New Roman"/>
          <w:b/>
          <w:bCs/>
          <w:szCs w:val="24"/>
        </w:rPr>
      </w:pPr>
    </w:p>
    <w:p w14:paraId="5FC1AAAA" w14:textId="724EB813" w:rsidR="00671B7F" w:rsidRDefault="00671B7F" w:rsidP="0060759C">
      <w:pPr>
        <w:autoSpaceDE w:val="0"/>
        <w:autoSpaceDN w:val="0"/>
        <w:adjustRightInd w:val="0"/>
        <w:jc w:val="center"/>
        <w:rPr>
          <w:rFonts w:cs="Times New Roman"/>
          <w:b/>
          <w:bCs/>
          <w:szCs w:val="24"/>
        </w:rPr>
      </w:pPr>
    </w:p>
    <w:p w14:paraId="50F8B7C6" w14:textId="182EAB54" w:rsidR="00671B7F" w:rsidRDefault="00671B7F" w:rsidP="0060759C">
      <w:pPr>
        <w:autoSpaceDE w:val="0"/>
        <w:autoSpaceDN w:val="0"/>
        <w:adjustRightInd w:val="0"/>
        <w:jc w:val="center"/>
        <w:rPr>
          <w:rFonts w:cs="Times New Roman"/>
          <w:b/>
          <w:bCs/>
          <w:szCs w:val="24"/>
        </w:rPr>
      </w:pPr>
    </w:p>
    <w:p w14:paraId="516F6252" w14:textId="4332D684" w:rsidR="00671B7F" w:rsidRDefault="00671B7F" w:rsidP="0060759C">
      <w:pPr>
        <w:autoSpaceDE w:val="0"/>
        <w:autoSpaceDN w:val="0"/>
        <w:adjustRightInd w:val="0"/>
        <w:jc w:val="center"/>
        <w:rPr>
          <w:rFonts w:cs="Times New Roman"/>
          <w:b/>
          <w:bCs/>
          <w:szCs w:val="24"/>
        </w:rPr>
      </w:pPr>
    </w:p>
    <w:p w14:paraId="105C584D" w14:textId="01535E4B" w:rsidR="00671B7F" w:rsidRDefault="00671B7F" w:rsidP="0060759C">
      <w:pPr>
        <w:autoSpaceDE w:val="0"/>
        <w:autoSpaceDN w:val="0"/>
        <w:adjustRightInd w:val="0"/>
        <w:jc w:val="center"/>
        <w:rPr>
          <w:rFonts w:cs="Times New Roman"/>
          <w:b/>
          <w:bCs/>
          <w:szCs w:val="24"/>
        </w:rPr>
      </w:pPr>
    </w:p>
    <w:p w14:paraId="76550F87" w14:textId="4B2ECDD5" w:rsidR="00671B7F" w:rsidRDefault="00671B7F" w:rsidP="0060759C">
      <w:pPr>
        <w:autoSpaceDE w:val="0"/>
        <w:autoSpaceDN w:val="0"/>
        <w:adjustRightInd w:val="0"/>
        <w:jc w:val="center"/>
        <w:rPr>
          <w:rFonts w:cs="Times New Roman"/>
          <w:b/>
          <w:bCs/>
          <w:szCs w:val="24"/>
        </w:rPr>
      </w:pPr>
    </w:p>
    <w:p w14:paraId="5D9B3A78" w14:textId="3611888E" w:rsidR="00671B7F" w:rsidRDefault="00671B7F" w:rsidP="0060759C">
      <w:pPr>
        <w:autoSpaceDE w:val="0"/>
        <w:autoSpaceDN w:val="0"/>
        <w:adjustRightInd w:val="0"/>
        <w:jc w:val="center"/>
        <w:rPr>
          <w:rFonts w:cs="Times New Roman"/>
          <w:b/>
          <w:bCs/>
          <w:szCs w:val="24"/>
        </w:rPr>
      </w:pPr>
    </w:p>
    <w:p w14:paraId="59B0921E" w14:textId="77777777" w:rsidR="00671B7F" w:rsidRPr="006A4CD7" w:rsidRDefault="00671B7F" w:rsidP="0060759C">
      <w:pPr>
        <w:autoSpaceDE w:val="0"/>
        <w:autoSpaceDN w:val="0"/>
        <w:adjustRightInd w:val="0"/>
        <w:jc w:val="center"/>
        <w:rPr>
          <w:rFonts w:cs="Times New Roman"/>
          <w:b/>
          <w:bCs/>
          <w:szCs w:val="24"/>
        </w:rPr>
      </w:pPr>
    </w:p>
    <w:p w14:paraId="557BE21F" w14:textId="0B81FA7C" w:rsidR="006A4CD7" w:rsidRPr="006A4CD7" w:rsidRDefault="006A4CD7" w:rsidP="00BF5CD7">
      <w:pPr>
        <w:pStyle w:val="Heading1"/>
      </w:pPr>
      <w:bookmarkStart w:id="180" w:name="_Toc117512467"/>
      <w:r w:rsidRPr="006A4CD7">
        <w:lastRenderedPageBreak/>
        <w:t>Introductory Comment</w:t>
      </w:r>
      <w:bookmarkEnd w:id="180"/>
    </w:p>
    <w:p w14:paraId="0C9E9103" w14:textId="77777777" w:rsidR="006A4CD7" w:rsidRPr="006A4CD7" w:rsidRDefault="006A4CD7" w:rsidP="00B0631D"/>
    <w:p w14:paraId="7DC0F27C" w14:textId="77777777" w:rsidR="00671B7F" w:rsidRPr="00671B7F" w:rsidRDefault="006A4CD7" w:rsidP="00671B7F">
      <w:pPr>
        <w:pStyle w:val="Default"/>
        <w:ind w:firstLine="720"/>
      </w:pPr>
      <w:r w:rsidRPr="006A4CD7">
        <w:tab/>
      </w:r>
      <w:r w:rsidR="00671B7F" w:rsidRPr="00671B7F">
        <w:t xml:space="preserve">Employment discrimination law under Title VII of the Civil Rights Act of 1964 (Title VII), codified as Subchapter VI of Chapter 21 of title 42 of the United States Code, 42 U.S.C. § 2000e </w:t>
      </w:r>
      <w:r w:rsidR="00671B7F" w:rsidRPr="00671B7F">
        <w:rPr>
          <w:i/>
          <w:iCs/>
        </w:rPr>
        <w:t>et seq</w:t>
      </w:r>
      <w:r w:rsidR="00671B7F" w:rsidRPr="00671B7F">
        <w:t xml:space="preserve">., is both complex and evolving. </w:t>
      </w:r>
    </w:p>
    <w:p w14:paraId="6E238C0F" w14:textId="77777777" w:rsidR="00671B7F" w:rsidRPr="00671B7F" w:rsidRDefault="00671B7F" w:rsidP="00671B7F">
      <w:pPr>
        <w:autoSpaceDE w:val="0"/>
        <w:autoSpaceDN w:val="0"/>
        <w:adjustRightInd w:val="0"/>
        <w:ind w:firstLine="720"/>
        <w:rPr>
          <w:rFonts w:cs="Times New Roman"/>
          <w:color w:val="000000"/>
          <w:szCs w:val="24"/>
        </w:rPr>
      </w:pPr>
    </w:p>
    <w:p w14:paraId="64C115F4" w14:textId="77777777" w:rsidR="00671B7F" w:rsidRPr="00671B7F" w:rsidRDefault="00671B7F" w:rsidP="00671B7F">
      <w:pPr>
        <w:autoSpaceDE w:val="0"/>
        <w:autoSpaceDN w:val="0"/>
        <w:adjustRightInd w:val="0"/>
        <w:jc w:val="center"/>
        <w:rPr>
          <w:rFonts w:cs="Times New Roman"/>
          <w:i/>
          <w:iCs/>
          <w:color w:val="000000"/>
          <w:szCs w:val="24"/>
        </w:rPr>
      </w:pPr>
      <w:r w:rsidRPr="00671B7F">
        <w:rPr>
          <w:rFonts w:cs="Times New Roman"/>
          <w:i/>
          <w:iCs/>
          <w:color w:val="000000"/>
          <w:szCs w:val="24"/>
        </w:rPr>
        <w:t>Overview of Title VII for Employment Discrimination Claims</w:t>
      </w:r>
    </w:p>
    <w:p w14:paraId="5E74313E" w14:textId="77777777" w:rsidR="00671B7F" w:rsidRPr="00671B7F" w:rsidRDefault="00671B7F" w:rsidP="00671B7F">
      <w:pPr>
        <w:autoSpaceDE w:val="0"/>
        <w:autoSpaceDN w:val="0"/>
        <w:adjustRightInd w:val="0"/>
        <w:jc w:val="center"/>
        <w:rPr>
          <w:rFonts w:cs="Times New Roman"/>
          <w:color w:val="000000"/>
          <w:szCs w:val="24"/>
        </w:rPr>
      </w:pPr>
    </w:p>
    <w:p w14:paraId="2A91FE2D"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The Civil Rights Act of 1991 amended Title VII.  Before 1991, Title VII provided only equitable remedies, and jury trials were not available.  42 U.S.C. § 2000e-5(g)(1) (providing for reinstatement, back pay and “any other equitable relief as the court deems appropriate”).  The 1991 amendments added the legal remedies of compensatory and punitive damages and the right to trial by jury for those remedies.  42 U.S.C. § 1981a(a)(1).  Title VII plaintiffs now may recover injunctive and other equitable relief, compensatory and punitive damages, and attorney’s fees.  42 U.S.C. §§ 1981a(a)(1), 2000e-5(g)(1), (k). </w:t>
      </w:r>
    </w:p>
    <w:p w14:paraId="3DD0D858" w14:textId="77777777" w:rsidR="00671B7F" w:rsidRPr="00671B7F" w:rsidRDefault="00671B7F" w:rsidP="00671B7F">
      <w:pPr>
        <w:autoSpaceDE w:val="0"/>
        <w:autoSpaceDN w:val="0"/>
        <w:adjustRightInd w:val="0"/>
        <w:ind w:firstLine="720"/>
        <w:rPr>
          <w:rFonts w:cs="Times New Roman"/>
          <w:color w:val="000000"/>
          <w:szCs w:val="24"/>
        </w:rPr>
      </w:pPr>
    </w:p>
    <w:p w14:paraId="10087333"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Recovery of compensatory and punitive damages under Title VII, however, may not exceed certain statutory limits under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limits.  42 U.S.C. § 1981a(b)(2).  The Supreme Court has extended this rationale to exclude front pay from the statutory limits.  </w:t>
      </w:r>
      <w:r w:rsidRPr="00671B7F">
        <w:rPr>
          <w:rFonts w:cs="Times New Roman"/>
          <w:i/>
          <w:iCs/>
          <w:color w:val="000000"/>
          <w:szCs w:val="24"/>
        </w:rPr>
        <w:t>Pollard v. E.I. du Pont de Nemours &amp; Co</w:t>
      </w:r>
      <w:r w:rsidRPr="00671B7F">
        <w:rPr>
          <w:rFonts w:cs="Times New Roman"/>
          <w:color w:val="000000"/>
          <w:szCs w:val="24"/>
        </w:rPr>
        <w:t xml:space="preserve">., 532 U.S. 843, 848 (2001) (holding that 1991 amendments did not alter nature of front pay as equitable remedy provided for in 42 U.S.C. § 2000e-5(g)). </w:t>
      </w:r>
    </w:p>
    <w:p w14:paraId="2F382D17" w14:textId="77777777" w:rsidR="00671B7F" w:rsidRPr="00671B7F" w:rsidRDefault="00671B7F" w:rsidP="00671B7F">
      <w:pPr>
        <w:autoSpaceDE w:val="0"/>
        <w:autoSpaceDN w:val="0"/>
        <w:adjustRightInd w:val="0"/>
        <w:ind w:firstLine="720"/>
        <w:rPr>
          <w:rFonts w:cs="Times New Roman"/>
          <w:color w:val="000000"/>
          <w:szCs w:val="24"/>
        </w:rPr>
      </w:pPr>
    </w:p>
    <w:p w14:paraId="1926A2B9"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Although the Supreme Court has declined to address definitively whether a Title VII plaintiff has a right to a jury trial on the issue of back pay, </w:t>
      </w:r>
      <w:r w:rsidRPr="00671B7F">
        <w:rPr>
          <w:rFonts w:cs="Times New Roman"/>
          <w:i/>
          <w:iCs/>
          <w:color w:val="000000"/>
          <w:szCs w:val="24"/>
        </w:rPr>
        <w:t>see Landgraf v. USI Film Prods</w:t>
      </w:r>
      <w:r w:rsidRPr="00671B7F">
        <w:rPr>
          <w:rFonts w:cs="Times New Roman"/>
          <w:color w:val="000000"/>
          <w:szCs w:val="24"/>
        </w:rPr>
        <w:t xml:space="preserve">., 511 U.S. 244, 252 n.4 (1994), the Ninth Circuit has held that there is no such right. </w:t>
      </w:r>
      <w:r w:rsidRPr="00671B7F">
        <w:rPr>
          <w:rFonts w:cs="Times New Roman"/>
          <w:i/>
          <w:iCs/>
          <w:color w:val="000000"/>
          <w:szCs w:val="24"/>
        </w:rPr>
        <w:t>Lutz v. Glendale Union High Sch</w:t>
      </w:r>
      <w:r w:rsidRPr="00671B7F">
        <w:rPr>
          <w:rFonts w:cs="Times New Roman"/>
          <w:color w:val="000000"/>
          <w:szCs w:val="24"/>
        </w:rPr>
        <w:t xml:space="preserve">., 403 F.3d 1061, 1069 (9th Cir. 2005).  The holding in </w:t>
      </w:r>
      <w:r w:rsidRPr="00671B7F">
        <w:rPr>
          <w:rFonts w:cs="Times New Roman"/>
          <w:i/>
          <w:iCs/>
          <w:color w:val="000000"/>
          <w:szCs w:val="24"/>
        </w:rPr>
        <w:t xml:space="preserve">Pollard </w:t>
      </w:r>
      <w:r w:rsidRPr="00671B7F">
        <w:rPr>
          <w:rFonts w:cs="Times New Roman"/>
          <w:color w:val="000000"/>
          <w:szCs w:val="24"/>
        </w:rPr>
        <w:t xml:space="preserve">that front pay is excluded from the statutory limits because it is an equitable remedy suggests that similarly there is no entitlement to a jury trial for that remedy.  </w:t>
      </w:r>
      <w:r w:rsidRPr="00671B7F">
        <w:rPr>
          <w:rFonts w:cs="Times New Roman"/>
          <w:i/>
          <w:iCs/>
          <w:color w:val="000000"/>
          <w:szCs w:val="24"/>
        </w:rPr>
        <w:t>See Pollard</w:t>
      </w:r>
      <w:r w:rsidRPr="00671B7F">
        <w:rPr>
          <w:rFonts w:cs="Times New Roman"/>
          <w:color w:val="000000"/>
          <w:szCs w:val="24"/>
        </w:rPr>
        <w:t xml:space="preserve">, 532 U.S. at 848.  The court, however, may consider submitting questions of front and back pay to a jury for advisory findings under Rule 39(c) of the Federal Rules of Civil Procedure.  If advisory findings from a jury are sought, the court should state on the record that it is not bound by any such findings and make a record of independent findings, as discussed in Rule 52(a).  </w:t>
      </w:r>
      <w:r w:rsidRPr="00671B7F">
        <w:rPr>
          <w:rFonts w:cs="Times New Roman"/>
          <w:i/>
          <w:iCs/>
          <w:color w:val="000000"/>
          <w:szCs w:val="24"/>
        </w:rPr>
        <w:t xml:space="preserve">See generally </w:t>
      </w:r>
      <w:r w:rsidRPr="00671B7F">
        <w:rPr>
          <w:rFonts w:cs="Times New Roman"/>
          <w:color w:val="000000"/>
          <w:szCs w:val="24"/>
        </w:rPr>
        <w:t xml:space="preserve">Chapter 5 (“Damages”) and Comments to Instructions 5.2 (Measures of Types of Damages) and 5.5 (Punitive Damages), discussing rules of special damages that apply to Title VII cases. </w:t>
      </w:r>
    </w:p>
    <w:p w14:paraId="7A3D651A" w14:textId="77777777" w:rsidR="00671B7F" w:rsidRPr="00671B7F" w:rsidRDefault="00671B7F" w:rsidP="00671B7F">
      <w:pPr>
        <w:autoSpaceDE w:val="0"/>
        <w:autoSpaceDN w:val="0"/>
        <w:adjustRightInd w:val="0"/>
        <w:ind w:firstLine="720"/>
        <w:rPr>
          <w:rFonts w:cs="Times New Roman"/>
          <w:color w:val="000000"/>
          <w:szCs w:val="24"/>
        </w:rPr>
      </w:pPr>
    </w:p>
    <w:p w14:paraId="205C84BE" w14:textId="77777777" w:rsidR="00671B7F" w:rsidRPr="00671B7F" w:rsidRDefault="00671B7F" w:rsidP="00671B7F">
      <w:pPr>
        <w:autoSpaceDE w:val="0"/>
        <w:autoSpaceDN w:val="0"/>
        <w:adjustRightInd w:val="0"/>
        <w:ind w:firstLine="720"/>
        <w:rPr>
          <w:rFonts w:cs="Times New Roman"/>
          <w:color w:val="000000"/>
          <w:szCs w:val="24"/>
        </w:rPr>
      </w:pPr>
      <w:r w:rsidRPr="00671B7F">
        <w:rPr>
          <w:rFonts w:cs="Times New Roman"/>
          <w:color w:val="000000"/>
          <w:szCs w:val="24"/>
        </w:rPr>
        <w:t xml:space="preserve">Further, a </w:t>
      </w:r>
      <w:r w:rsidRPr="00671B7F">
        <w:rPr>
          <w:rFonts w:cs="Times New Roman"/>
          <w:i/>
          <w:iCs/>
          <w:color w:val="000000"/>
          <w:szCs w:val="24"/>
        </w:rPr>
        <w:t xml:space="preserve">McDonnell Douglas </w:t>
      </w:r>
      <w:r w:rsidRPr="00671B7F">
        <w:rPr>
          <w:rFonts w:cs="Times New Roman"/>
          <w:color w:val="000000"/>
          <w:szCs w:val="24"/>
        </w:rPr>
        <w:t xml:space="preserve">burden-shifting instruction should not be given in a Title VII case.  </w:t>
      </w:r>
      <w:r w:rsidRPr="00671B7F">
        <w:rPr>
          <w:rFonts w:cs="Times New Roman"/>
          <w:i/>
          <w:iCs/>
          <w:color w:val="000000"/>
          <w:szCs w:val="24"/>
        </w:rPr>
        <w:t>Costa v. Desert Palace, Inc</w:t>
      </w:r>
      <w:r w:rsidRPr="00671B7F">
        <w:rPr>
          <w:rFonts w:cs="Times New Roman"/>
          <w:color w:val="000000"/>
          <w:szCs w:val="24"/>
        </w:rPr>
        <w:t>., 299 F.3d 838, 855 (9th Cir. 2002) (</w:t>
      </w:r>
      <w:proofErr w:type="spellStart"/>
      <w:r w:rsidRPr="00671B7F">
        <w:rPr>
          <w:rFonts w:cs="Times New Roman"/>
          <w:color w:val="000000"/>
          <w:szCs w:val="24"/>
        </w:rPr>
        <w:t>en</w:t>
      </w:r>
      <w:proofErr w:type="spellEnd"/>
      <w:r w:rsidRPr="00671B7F">
        <w:rPr>
          <w:rFonts w:cs="Times New Roman"/>
          <w:color w:val="000000"/>
          <w:szCs w:val="24"/>
        </w:rPr>
        <w:t xml:space="preserve"> banc), </w:t>
      </w:r>
      <w:r w:rsidRPr="00671B7F">
        <w:rPr>
          <w:rFonts w:cs="Times New Roman"/>
          <w:i/>
          <w:iCs/>
          <w:color w:val="000000"/>
          <w:szCs w:val="24"/>
        </w:rPr>
        <w:t>aff’d</w:t>
      </w:r>
      <w:r w:rsidRPr="00671B7F">
        <w:rPr>
          <w:rFonts w:cs="Times New Roman"/>
          <w:color w:val="000000"/>
          <w:szCs w:val="24"/>
        </w:rPr>
        <w:t xml:space="preserve">, 539 U.S. 90 (2003) (“[I]t is not normally appropriate to introduce the </w:t>
      </w:r>
      <w:r w:rsidRPr="00671B7F">
        <w:rPr>
          <w:rFonts w:cs="Times New Roman"/>
          <w:i/>
          <w:iCs/>
          <w:color w:val="000000"/>
          <w:szCs w:val="24"/>
        </w:rPr>
        <w:t xml:space="preserve">McDonnell Douglas </w:t>
      </w:r>
      <w:r w:rsidRPr="00671B7F">
        <w:rPr>
          <w:rFonts w:cs="Times New Roman"/>
          <w:color w:val="000000"/>
          <w:szCs w:val="24"/>
        </w:rPr>
        <w:t xml:space="preserve">burden-shifting framework to the jury.”); </w:t>
      </w:r>
      <w:r w:rsidRPr="00671B7F">
        <w:rPr>
          <w:rFonts w:cs="Times New Roman"/>
          <w:i/>
          <w:iCs/>
          <w:color w:val="000000"/>
          <w:szCs w:val="24"/>
        </w:rPr>
        <w:t>see also Sanghvi v. City of Claremont</w:t>
      </w:r>
      <w:r w:rsidRPr="00671B7F">
        <w:rPr>
          <w:rFonts w:cs="Times New Roman"/>
          <w:color w:val="000000"/>
          <w:szCs w:val="24"/>
        </w:rPr>
        <w:t xml:space="preserve">, 328 F.3d 532, 540 (9th Cir. 2003) (“[I]t is error to charge the jury with the elements of the </w:t>
      </w:r>
      <w:r w:rsidRPr="00671B7F">
        <w:rPr>
          <w:rFonts w:cs="Times New Roman"/>
          <w:i/>
          <w:iCs/>
          <w:color w:val="000000"/>
          <w:szCs w:val="24"/>
        </w:rPr>
        <w:t xml:space="preserve">McDonnell Douglas </w:t>
      </w:r>
      <w:r w:rsidRPr="00671B7F">
        <w:rPr>
          <w:rFonts w:cs="Times New Roman"/>
          <w:color w:val="000000"/>
          <w:szCs w:val="24"/>
        </w:rPr>
        <w:t xml:space="preserve">prima facie case.”).  Cases discussing pretext and burden shifting arise only in the context of </w:t>
      </w:r>
    </w:p>
    <w:p w14:paraId="185D2EE3" w14:textId="77777777" w:rsidR="00671B7F" w:rsidRPr="00671B7F" w:rsidRDefault="00671B7F" w:rsidP="00671B7F">
      <w:pPr>
        <w:autoSpaceDE w:val="0"/>
        <w:autoSpaceDN w:val="0"/>
        <w:adjustRightInd w:val="0"/>
        <w:rPr>
          <w:rFonts w:cs="Times New Roman"/>
          <w:szCs w:val="24"/>
        </w:rPr>
      </w:pPr>
      <w:r w:rsidRPr="00671B7F">
        <w:rPr>
          <w:rFonts w:cs="Times New Roman"/>
          <w:szCs w:val="24"/>
        </w:rPr>
        <w:t xml:space="preserve">summary judgment and motions for judgment as a matter of law.  </w:t>
      </w:r>
      <w:r w:rsidRPr="00671B7F">
        <w:rPr>
          <w:rFonts w:cs="Times New Roman"/>
          <w:i/>
          <w:iCs/>
          <w:szCs w:val="24"/>
        </w:rPr>
        <w:t>See, e.g.</w:t>
      </w:r>
      <w:r w:rsidRPr="00671B7F">
        <w:rPr>
          <w:rFonts w:cs="Times New Roman"/>
          <w:szCs w:val="24"/>
        </w:rPr>
        <w:t xml:space="preserve">, </w:t>
      </w:r>
      <w:proofErr w:type="spellStart"/>
      <w:r w:rsidRPr="00671B7F">
        <w:rPr>
          <w:rFonts w:cs="Times New Roman"/>
          <w:i/>
          <w:iCs/>
          <w:szCs w:val="24"/>
        </w:rPr>
        <w:t>Yartzoff</w:t>
      </w:r>
      <w:proofErr w:type="spellEnd"/>
      <w:r w:rsidRPr="00671B7F">
        <w:rPr>
          <w:rFonts w:cs="Times New Roman"/>
          <w:i/>
          <w:iCs/>
          <w:szCs w:val="24"/>
        </w:rPr>
        <w:t xml:space="preserve"> v.</w:t>
      </w:r>
      <w:r w:rsidRPr="00671B7F">
        <w:rPr>
          <w:rFonts w:asciiTheme="minorHAnsi" w:hAnsiTheme="minorHAnsi"/>
          <w:i/>
          <w:iCs/>
          <w:sz w:val="22"/>
        </w:rPr>
        <w:t xml:space="preserve"> </w:t>
      </w:r>
      <w:r w:rsidRPr="00671B7F">
        <w:rPr>
          <w:rFonts w:cs="Times New Roman"/>
          <w:i/>
          <w:iCs/>
          <w:szCs w:val="24"/>
        </w:rPr>
        <w:t>Thomas</w:t>
      </w:r>
      <w:r w:rsidRPr="00671B7F">
        <w:rPr>
          <w:rFonts w:cs="Times New Roman"/>
          <w:szCs w:val="24"/>
        </w:rPr>
        <w:t>, 809 F.2d 1371, 1375 (9th Cir. 1987).</w:t>
      </w:r>
    </w:p>
    <w:p w14:paraId="49DC8757" w14:textId="77777777" w:rsidR="00671B7F" w:rsidRPr="00671B7F" w:rsidRDefault="00671B7F" w:rsidP="00671B7F">
      <w:pPr>
        <w:autoSpaceDE w:val="0"/>
        <w:autoSpaceDN w:val="0"/>
        <w:adjustRightInd w:val="0"/>
        <w:rPr>
          <w:rFonts w:cs="Times New Roman"/>
          <w:szCs w:val="24"/>
        </w:rPr>
      </w:pPr>
    </w:p>
    <w:p w14:paraId="2C40FC62"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The Evolving Interpretation of “Because of” and But-for Causation in Title VII Cases</w:t>
      </w:r>
    </w:p>
    <w:p w14:paraId="541F0508" w14:textId="77777777" w:rsidR="00671B7F" w:rsidRPr="00671B7F" w:rsidRDefault="00671B7F" w:rsidP="00671B7F">
      <w:pPr>
        <w:autoSpaceDE w:val="0"/>
        <w:autoSpaceDN w:val="0"/>
        <w:adjustRightInd w:val="0"/>
        <w:jc w:val="center"/>
        <w:rPr>
          <w:rFonts w:cs="Times New Roman"/>
          <w:szCs w:val="24"/>
        </w:rPr>
      </w:pPr>
    </w:p>
    <w:p w14:paraId="4510DE0C"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One of the more difficult aspects of Title VII jury instructions involves the meaning and application of the term “because of.”  Indeed, in 2020, the legal landscape changed significantly.  A bit of history may be helpful. </w:t>
      </w:r>
    </w:p>
    <w:p w14:paraId="3323398B" w14:textId="77777777" w:rsidR="00671B7F" w:rsidRPr="00671B7F" w:rsidRDefault="00671B7F" w:rsidP="00671B7F">
      <w:pPr>
        <w:autoSpaceDE w:val="0"/>
        <w:autoSpaceDN w:val="0"/>
        <w:adjustRightInd w:val="0"/>
        <w:ind w:firstLine="720"/>
        <w:rPr>
          <w:rFonts w:cs="Times New Roman"/>
          <w:szCs w:val="24"/>
        </w:rPr>
      </w:pPr>
    </w:p>
    <w:p w14:paraId="69635266"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by the Supreme Court in </w:t>
      </w:r>
      <w:r w:rsidRPr="00671B7F">
        <w:rPr>
          <w:rFonts w:cs="Times New Roman"/>
          <w:i/>
          <w:iCs/>
          <w:szCs w:val="24"/>
        </w:rPr>
        <w:t>University of Texas Southwestern Medical Center v. Nassar</w:t>
      </w:r>
      <w:r w:rsidRPr="00671B7F">
        <w:rPr>
          <w:rFonts w:cs="Times New Roman"/>
          <w:szCs w:val="24"/>
        </w:rPr>
        <w:t xml:space="preserve">, 570 U.S. 338, 347 (2013), since its passage in 1964, Title VII “has prohibited employers from discriminating against their employees on any of seven specified criteria.  Five of them—race, color, religion, sex, and national origin—are personal characteristics and are set forth in § 2000e-2.”  Discrimination based on any one or more of these five characteristics often is referred to as status-based discrimination.  “The two remaining categories of wrongful employer conduct—the employee’s opposition to employment discrimination, and the employee’s submission of or support for a complaint that alleges employment discrimination—are not wrongs based on personal traits but rather types of protected employee conduct.  These latter two categories are covered by a separate, subsequent section of Title VII, § 2000e-3(a).”  </w:t>
      </w:r>
      <w:r w:rsidRPr="00671B7F">
        <w:rPr>
          <w:rFonts w:cs="Times New Roman"/>
          <w:i/>
          <w:iCs/>
          <w:szCs w:val="24"/>
        </w:rPr>
        <w:t>Id</w:t>
      </w:r>
      <w:r w:rsidRPr="00671B7F">
        <w:rPr>
          <w:rFonts w:cs="Times New Roman"/>
          <w:szCs w:val="24"/>
        </w:rPr>
        <w:t xml:space="preserve">. at 347-38.  Claims alleging discrimination based on these latter forms of protected employee conduct often are referred to as retaliation claims. </w:t>
      </w:r>
    </w:p>
    <w:p w14:paraId="225D0925" w14:textId="77777777" w:rsidR="00671B7F" w:rsidRPr="00671B7F" w:rsidRDefault="00671B7F" w:rsidP="00671B7F">
      <w:pPr>
        <w:autoSpaceDE w:val="0"/>
        <w:autoSpaceDN w:val="0"/>
        <w:adjustRightInd w:val="0"/>
        <w:ind w:firstLine="720"/>
        <w:rPr>
          <w:rFonts w:cs="Times New Roman"/>
          <w:szCs w:val="24"/>
        </w:rPr>
      </w:pPr>
    </w:p>
    <w:p w14:paraId="66348E1B"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Section 2000e-2(a)(1) reads, in relevant part, that it shall be an unlawful employment practice for an employer “to fail or refuse to hire or to discharge any individual, or otherwise to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race, color, religion, sex, or national origin” (emphasis added).  In </w:t>
      </w:r>
      <w:r w:rsidRPr="00671B7F">
        <w:rPr>
          <w:rFonts w:cs="Times New Roman"/>
          <w:i/>
          <w:iCs/>
          <w:szCs w:val="24"/>
        </w:rPr>
        <w:t>Price Waterhouse v. Hopkins</w:t>
      </w:r>
      <w:r w:rsidRPr="00671B7F">
        <w:rPr>
          <w:rFonts w:cs="Times New Roman"/>
          <w:szCs w:val="24"/>
        </w:rPr>
        <w:t xml:space="preserve">, 490 U.S. 228 (1989), the Supreme Court addressed what it means for an employment action to be taken “because of” an individual’s protected characteristic.  The Supreme Court in </w:t>
      </w:r>
      <w:r w:rsidRPr="00671B7F">
        <w:rPr>
          <w:rFonts w:cs="Times New Roman"/>
          <w:i/>
          <w:iCs/>
          <w:szCs w:val="24"/>
        </w:rPr>
        <w:t xml:space="preserve">Nassar </w:t>
      </w:r>
      <w:r w:rsidRPr="00671B7F">
        <w:rPr>
          <w:rFonts w:cs="Times New Roman"/>
          <w:szCs w:val="24"/>
        </w:rPr>
        <w:t xml:space="preserve">explained the </w:t>
      </w:r>
      <w:r w:rsidRPr="00671B7F">
        <w:rPr>
          <w:rFonts w:cs="Times New Roman"/>
          <w:i/>
          <w:iCs/>
          <w:szCs w:val="24"/>
        </w:rPr>
        <w:t xml:space="preserve">Price Waterhouse </w:t>
      </w:r>
      <w:r w:rsidRPr="00671B7F">
        <w:rPr>
          <w:rFonts w:cs="Times New Roman"/>
          <w:szCs w:val="24"/>
        </w:rPr>
        <w:t xml:space="preserve">decision as follows: </w:t>
      </w:r>
    </w:p>
    <w:p w14:paraId="093C8E75" w14:textId="77777777" w:rsidR="00671B7F" w:rsidRPr="00671B7F" w:rsidRDefault="00671B7F" w:rsidP="00671B7F">
      <w:pPr>
        <w:autoSpaceDE w:val="0"/>
        <w:autoSpaceDN w:val="0"/>
        <w:adjustRightInd w:val="0"/>
        <w:ind w:firstLine="720"/>
        <w:rPr>
          <w:rFonts w:cs="Times New Roman"/>
          <w:szCs w:val="24"/>
        </w:rPr>
      </w:pPr>
    </w:p>
    <w:p w14:paraId="7331E083"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Although no opinion in [</w:t>
      </w:r>
      <w:r w:rsidRPr="00671B7F">
        <w:rPr>
          <w:rFonts w:cs="Times New Roman"/>
          <w:i/>
          <w:iCs/>
          <w:szCs w:val="24"/>
        </w:rPr>
        <w:t>Price Waterhouse</w:t>
      </w:r>
      <w:r w:rsidRPr="00671B7F">
        <w:rPr>
          <w:rFonts w:cs="Times New Roman"/>
          <w:szCs w:val="24"/>
        </w:rPr>
        <w:t xml:space="preserve">] commanded a majority, six Justices did agree that a plaintiff could prevail on a claim of status-based discrimination if he or she could show that one of the prohibited traits was a “motivating” or “substantial” factor in the employer’s decision. If the plaintiff made that showing, the burden of persuasion would shift to the employer, which could escape liability if it could prove that it would have taken the same employment action in the absence of all discriminatory animus. </w:t>
      </w:r>
    </w:p>
    <w:p w14:paraId="5B7F02C4" w14:textId="77777777" w:rsidR="00671B7F" w:rsidRPr="00671B7F" w:rsidRDefault="00671B7F" w:rsidP="00671B7F">
      <w:pPr>
        <w:autoSpaceDE w:val="0"/>
        <w:autoSpaceDN w:val="0"/>
        <w:adjustRightInd w:val="0"/>
        <w:ind w:left="1440" w:right="1440"/>
        <w:jc w:val="both"/>
        <w:rPr>
          <w:rFonts w:cs="Times New Roman"/>
          <w:szCs w:val="24"/>
        </w:rPr>
      </w:pPr>
    </w:p>
    <w:p w14:paraId="3299F8BD"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 (citations to separate opinions in </w:t>
      </w:r>
      <w:r w:rsidRPr="00671B7F">
        <w:rPr>
          <w:rFonts w:cs="Times New Roman"/>
          <w:i/>
          <w:iCs/>
          <w:szCs w:val="24"/>
        </w:rPr>
        <w:t xml:space="preserve">Price Waterhouse </w:t>
      </w:r>
      <w:r w:rsidRPr="00671B7F">
        <w:rPr>
          <w:rFonts w:cs="Times New Roman"/>
          <w:szCs w:val="24"/>
        </w:rPr>
        <w:t xml:space="preserve">omitted).  The Supreme Court in </w:t>
      </w:r>
      <w:r w:rsidRPr="00671B7F">
        <w:rPr>
          <w:rFonts w:cs="Times New Roman"/>
          <w:i/>
          <w:iCs/>
          <w:szCs w:val="24"/>
        </w:rPr>
        <w:t xml:space="preserve">Nassar </w:t>
      </w:r>
      <w:r w:rsidRPr="00671B7F">
        <w:rPr>
          <w:rFonts w:cs="Times New Roman"/>
          <w:szCs w:val="24"/>
        </w:rPr>
        <w:t xml:space="preserve">continued: </w:t>
      </w:r>
    </w:p>
    <w:p w14:paraId="57E834D7" w14:textId="77777777" w:rsidR="00671B7F" w:rsidRPr="00671B7F" w:rsidRDefault="00671B7F" w:rsidP="00671B7F">
      <w:pPr>
        <w:autoSpaceDE w:val="0"/>
        <w:autoSpaceDN w:val="0"/>
        <w:adjustRightInd w:val="0"/>
        <w:rPr>
          <w:rFonts w:cs="Times New Roman"/>
          <w:szCs w:val="24"/>
        </w:rPr>
      </w:pPr>
    </w:p>
    <w:p w14:paraId="023FEF34"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Two years later, Congress passed the Civil Rights Act of 1991 (1991 Act), 105 Stat. 1071. This statute (which had many other provisions) codified the burden-shifting and lessened-causation framework of </w:t>
      </w:r>
      <w:r w:rsidRPr="00671B7F">
        <w:rPr>
          <w:rFonts w:cs="Times New Roman"/>
          <w:i/>
          <w:iCs/>
          <w:szCs w:val="24"/>
        </w:rPr>
        <w:t xml:space="preserve">Price Waterhouse </w:t>
      </w:r>
      <w:r w:rsidRPr="00671B7F">
        <w:rPr>
          <w:rFonts w:cs="Times New Roman"/>
          <w:szCs w:val="24"/>
        </w:rPr>
        <w:t>in part but also rejected it to a substantial degree.</w:t>
      </w:r>
    </w:p>
    <w:p w14:paraId="69C86239"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lastRenderedPageBreak/>
        <w:t xml:space="preserve">Legislation first added a new subsection to the end of § 2000e-2, </w:t>
      </w:r>
      <w:r w:rsidRPr="00671B7F">
        <w:rPr>
          <w:rFonts w:cs="Times New Roman"/>
          <w:i/>
          <w:iCs/>
          <w:szCs w:val="24"/>
        </w:rPr>
        <w:t>i.e</w:t>
      </w:r>
      <w:r w:rsidRPr="00671B7F">
        <w:rPr>
          <w:rFonts w:cs="Times New Roman"/>
          <w:szCs w:val="24"/>
        </w:rPr>
        <w:t xml:space="preserve">., Title VII’s principal ban on status-based discrimination. </w:t>
      </w:r>
      <w:r w:rsidRPr="00671B7F">
        <w:rPr>
          <w:rFonts w:cs="Times New Roman"/>
          <w:i/>
          <w:iCs/>
          <w:szCs w:val="24"/>
        </w:rPr>
        <w:t xml:space="preserve">See </w:t>
      </w:r>
      <w:r w:rsidRPr="00671B7F">
        <w:rPr>
          <w:rFonts w:cs="Times New Roman"/>
          <w:szCs w:val="24"/>
        </w:rPr>
        <w:t>§ 107(a), 105 Stat. 1075. The new provision, § 2000e-2(m), states:</w:t>
      </w:r>
    </w:p>
    <w:p w14:paraId="476D17B9" w14:textId="77777777" w:rsidR="00671B7F" w:rsidRPr="00671B7F" w:rsidRDefault="00671B7F" w:rsidP="00671B7F">
      <w:pPr>
        <w:autoSpaceDE w:val="0"/>
        <w:autoSpaceDN w:val="0"/>
        <w:adjustRightInd w:val="0"/>
        <w:rPr>
          <w:rFonts w:cs="Times New Roman"/>
          <w:szCs w:val="24"/>
        </w:rPr>
      </w:pPr>
    </w:p>
    <w:p w14:paraId="3F33FE15" w14:textId="77777777" w:rsidR="00671B7F" w:rsidRPr="00671B7F" w:rsidRDefault="00671B7F" w:rsidP="00671B7F">
      <w:pPr>
        <w:autoSpaceDE w:val="0"/>
        <w:autoSpaceDN w:val="0"/>
        <w:adjustRightInd w:val="0"/>
        <w:ind w:left="2160" w:right="1440"/>
        <w:jc w:val="both"/>
        <w:rPr>
          <w:rFonts w:cs="Times New Roman"/>
          <w:szCs w:val="24"/>
        </w:rPr>
      </w:pPr>
      <w:r w:rsidRPr="00671B7F">
        <w:rPr>
          <w:rFonts w:cs="Times New Roman"/>
          <w:szCs w:val="24"/>
        </w:rPr>
        <w:t xml:space="preserve">[A]n unlawful employment practice is established when the complaining party demonstrates that race, color, religion, sex, or national origin was </w:t>
      </w:r>
      <w:r w:rsidRPr="00671B7F">
        <w:rPr>
          <w:rFonts w:cs="Times New Roman"/>
          <w:i/>
          <w:iCs/>
          <w:szCs w:val="24"/>
        </w:rPr>
        <w:t xml:space="preserve">a motivating factor </w:t>
      </w:r>
      <w:r w:rsidRPr="00671B7F">
        <w:rPr>
          <w:rFonts w:cs="Times New Roman"/>
          <w:szCs w:val="24"/>
        </w:rPr>
        <w:t xml:space="preserve">for any employment practice, even though other factors also motivated the practice. </w:t>
      </w:r>
    </w:p>
    <w:p w14:paraId="48A7385B" w14:textId="77777777" w:rsidR="00671B7F" w:rsidRPr="00671B7F" w:rsidRDefault="00671B7F" w:rsidP="00671B7F">
      <w:pPr>
        <w:autoSpaceDE w:val="0"/>
        <w:autoSpaceDN w:val="0"/>
        <w:adjustRightInd w:val="0"/>
        <w:ind w:left="2160" w:right="1440"/>
        <w:jc w:val="both"/>
        <w:rPr>
          <w:rFonts w:cs="Times New Roman"/>
          <w:szCs w:val="24"/>
        </w:rPr>
      </w:pPr>
    </w:p>
    <w:p w14:paraId="5229D4E6" w14:textId="77777777" w:rsidR="00671B7F" w:rsidRPr="00671B7F" w:rsidRDefault="00671B7F" w:rsidP="00671B7F">
      <w:pPr>
        <w:autoSpaceDE w:val="0"/>
        <w:autoSpaceDN w:val="0"/>
        <w:adjustRightInd w:val="0"/>
        <w:ind w:left="720" w:firstLine="720"/>
        <w:rPr>
          <w:rFonts w:cs="Times New Roman"/>
          <w:szCs w:val="24"/>
        </w:rPr>
      </w:pPr>
      <w:r w:rsidRPr="00671B7F">
        <w:rPr>
          <w:rFonts w:cs="Times New Roman"/>
          <w:szCs w:val="24"/>
        </w:rPr>
        <w:t xml:space="preserve">This, of course, is a lessened causation standard. </w:t>
      </w:r>
    </w:p>
    <w:p w14:paraId="29D94D3A" w14:textId="77777777" w:rsidR="00671B7F" w:rsidRPr="00671B7F" w:rsidRDefault="00671B7F" w:rsidP="00671B7F">
      <w:pPr>
        <w:autoSpaceDE w:val="0"/>
        <w:autoSpaceDN w:val="0"/>
        <w:adjustRightInd w:val="0"/>
        <w:ind w:left="720" w:firstLine="720"/>
        <w:rPr>
          <w:rFonts w:cs="Times New Roman"/>
          <w:szCs w:val="24"/>
        </w:rPr>
      </w:pPr>
    </w:p>
    <w:p w14:paraId="10748377"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 at 348-49 (emphasis added) (alteration in </w:t>
      </w:r>
      <w:r w:rsidRPr="00671B7F">
        <w:rPr>
          <w:rFonts w:cs="Times New Roman"/>
          <w:i/>
          <w:iCs/>
          <w:szCs w:val="24"/>
        </w:rPr>
        <w:t>Nassar</w:t>
      </w:r>
      <w:r w:rsidRPr="00671B7F">
        <w:rPr>
          <w:rFonts w:cs="Times New Roman"/>
          <w:szCs w:val="24"/>
        </w:rPr>
        <w:t xml:space="preserve">). </w:t>
      </w:r>
    </w:p>
    <w:p w14:paraId="60E41417" w14:textId="77777777" w:rsidR="00671B7F" w:rsidRPr="00671B7F" w:rsidRDefault="00671B7F" w:rsidP="00671B7F">
      <w:pPr>
        <w:autoSpaceDE w:val="0"/>
        <w:autoSpaceDN w:val="0"/>
        <w:adjustRightInd w:val="0"/>
        <w:rPr>
          <w:rFonts w:cs="Times New Roman"/>
          <w:szCs w:val="24"/>
        </w:rPr>
      </w:pPr>
    </w:p>
    <w:p w14:paraId="28E3A87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i/>
          <w:iCs/>
          <w:szCs w:val="24"/>
        </w:rPr>
        <w:t xml:space="preserve">Nassar </w:t>
      </w:r>
      <w:r w:rsidRPr="00671B7F">
        <w:rPr>
          <w:rFonts w:cs="Times New Roman"/>
          <w:szCs w:val="24"/>
        </w:rPr>
        <w:t xml:space="preserve">further explained that </w:t>
      </w:r>
    </w:p>
    <w:p w14:paraId="40C2F5EF" w14:textId="77777777" w:rsidR="00671B7F" w:rsidRPr="00671B7F" w:rsidRDefault="00671B7F" w:rsidP="00671B7F">
      <w:pPr>
        <w:autoSpaceDE w:val="0"/>
        <w:autoSpaceDN w:val="0"/>
        <w:adjustRightInd w:val="0"/>
        <w:ind w:firstLine="720"/>
        <w:rPr>
          <w:rFonts w:cs="Times New Roman"/>
          <w:szCs w:val="24"/>
        </w:rPr>
      </w:pPr>
    </w:p>
    <w:p w14:paraId="1261B2B6" w14:textId="77777777" w:rsidR="00671B7F" w:rsidRPr="00671B7F" w:rsidRDefault="00671B7F" w:rsidP="00671B7F">
      <w:pPr>
        <w:autoSpaceDE w:val="0"/>
        <w:autoSpaceDN w:val="0"/>
        <w:adjustRightInd w:val="0"/>
        <w:ind w:left="1440" w:right="1440"/>
        <w:jc w:val="both"/>
        <w:rPr>
          <w:rFonts w:cs="Times New Roman"/>
          <w:szCs w:val="24"/>
        </w:rPr>
      </w:pPr>
      <w:r w:rsidRPr="00671B7F">
        <w:rPr>
          <w:rFonts w:cs="Times New Roman"/>
          <w:szCs w:val="24"/>
        </w:rPr>
        <w:t xml:space="preserve">the 1991 Act substituted a new burden-shifting framework for the one endorsed by </w:t>
      </w:r>
      <w:r w:rsidRPr="00671B7F">
        <w:rPr>
          <w:rFonts w:cs="Times New Roman"/>
          <w:i/>
          <w:iCs/>
          <w:szCs w:val="24"/>
        </w:rPr>
        <w:t>Price Waterhouse</w:t>
      </w:r>
      <w:r w:rsidRPr="00671B7F">
        <w:rPr>
          <w:rFonts w:cs="Times New Roman"/>
          <w:szCs w:val="24"/>
        </w:rPr>
        <w:t xml:space="preserve">. Under that new regime, a plaintiff could obtain declaratory relief, attorney’s fees and costs, and some forms of injunctive relief based solely on proof that race, color, religion, sex, or nationality was a motivating factor in the employment action; but the employer’s proof that it would still have taken the same employment action would save it from monetary damages and a reinstatement order. </w:t>
      </w:r>
    </w:p>
    <w:p w14:paraId="49119E46" w14:textId="77777777" w:rsidR="00671B7F" w:rsidRPr="00671B7F" w:rsidRDefault="00671B7F" w:rsidP="00671B7F">
      <w:pPr>
        <w:autoSpaceDE w:val="0"/>
        <w:autoSpaceDN w:val="0"/>
        <w:adjustRightInd w:val="0"/>
        <w:ind w:left="1440" w:right="1440"/>
        <w:jc w:val="both"/>
        <w:rPr>
          <w:rFonts w:cs="Times New Roman"/>
          <w:szCs w:val="24"/>
        </w:rPr>
      </w:pPr>
    </w:p>
    <w:p w14:paraId="43F1B91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349.  The Supreme Court’s opinion in </w:t>
      </w:r>
      <w:r w:rsidRPr="00671B7F">
        <w:rPr>
          <w:rFonts w:cs="Times New Roman"/>
          <w:i/>
          <w:iCs/>
          <w:szCs w:val="24"/>
        </w:rPr>
        <w:t xml:space="preserve">Nassar </w:t>
      </w:r>
      <w:r w:rsidRPr="00671B7F">
        <w:rPr>
          <w:rFonts w:cs="Times New Roman"/>
          <w:szCs w:val="24"/>
        </w:rPr>
        <w:t xml:space="preserve">continued its march through history, stating: “After </w:t>
      </w:r>
      <w:r w:rsidRPr="00671B7F">
        <w:rPr>
          <w:rFonts w:cs="Times New Roman"/>
          <w:i/>
          <w:iCs/>
          <w:szCs w:val="24"/>
        </w:rPr>
        <w:t xml:space="preserve">Price Waterhouse </w:t>
      </w:r>
      <w:r w:rsidRPr="00671B7F">
        <w:rPr>
          <w:rFonts w:cs="Times New Roman"/>
          <w:szCs w:val="24"/>
        </w:rPr>
        <w:t xml:space="preserve">and the 1991 Act, considerable time elapsed before the Court returned again to the meaning of ‘because’ and the problem of causation.  This time it arose in the context of a different, yet similar statute,” the Age Discrimination in Employment Act of 1967 (ADEA), 29 U.S.C. § 623(a).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 v. FBL Fin. Servs., Inc</w:t>
      </w:r>
      <w:r w:rsidRPr="00671B7F">
        <w:rPr>
          <w:rFonts w:cs="Times New Roman"/>
          <w:szCs w:val="24"/>
        </w:rPr>
        <w:t xml:space="preserve">., 557 U.S. 167 (2009)).  As </w:t>
      </w:r>
      <w:r w:rsidRPr="00671B7F">
        <w:rPr>
          <w:rFonts w:cs="Times New Roman"/>
          <w:i/>
          <w:iCs/>
          <w:szCs w:val="24"/>
        </w:rPr>
        <w:t xml:space="preserve">Nassar </w:t>
      </w:r>
      <w:r w:rsidRPr="00671B7F">
        <w:rPr>
          <w:rFonts w:cs="Times New Roman"/>
          <w:szCs w:val="24"/>
        </w:rPr>
        <w:t xml:space="preserve">explained: “Much like the Title VII statute in </w:t>
      </w:r>
      <w:r w:rsidRPr="00671B7F">
        <w:rPr>
          <w:rFonts w:cs="Times New Roman"/>
          <w:i/>
          <w:iCs/>
          <w:szCs w:val="24"/>
        </w:rPr>
        <w:t>Price Waterhouse</w:t>
      </w:r>
      <w:r w:rsidRPr="00671B7F">
        <w:rPr>
          <w:rFonts w:cs="Times New Roman"/>
          <w:szCs w:val="24"/>
        </w:rPr>
        <w:t>, the relevant portion of the ADEA provided that ‘[</w:t>
      </w:r>
      <w:proofErr w:type="spellStart"/>
      <w:r w:rsidRPr="00671B7F">
        <w:rPr>
          <w:rFonts w:cs="Times New Roman"/>
          <w:szCs w:val="24"/>
        </w:rPr>
        <w:t>i</w:t>
      </w:r>
      <w:proofErr w:type="spellEnd"/>
      <w:r w:rsidRPr="00671B7F">
        <w:rPr>
          <w:rFonts w:cs="Times New Roman"/>
          <w:szCs w:val="24"/>
        </w:rPr>
        <w:t xml:space="preserve">]t shall be unlawful for an employer . . . to fail or refuse to hire or to discharge any individual or otherwise discriminate against any individual with respect to his compensation, terms, conditions, or privileges of employment, </w:t>
      </w:r>
      <w:r w:rsidRPr="00671B7F">
        <w:rPr>
          <w:rFonts w:cs="Times New Roman"/>
          <w:i/>
          <w:iCs/>
          <w:szCs w:val="24"/>
        </w:rPr>
        <w:t xml:space="preserve">because of </w:t>
      </w:r>
      <w:r w:rsidRPr="00671B7F">
        <w:rPr>
          <w:rFonts w:cs="Times New Roman"/>
          <w:szCs w:val="24"/>
        </w:rPr>
        <w:t xml:space="preserve">such individual’s age.’” </w:t>
      </w:r>
      <w:r w:rsidRPr="00671B7F">
        <w:rPr>
          <w:rFonts w:cs="Times New Roman"/>
          <w:i/>
          <w:iCs/>
          <w:szCs w:val="24"/>
        </w:rPr>
        <w:t>Id</w:t>
      </w:r>
      <w:r w:rsidRPr="00671B7F">
        <w:rPr>
          <w:rFonts w:cs="Times New Roman"/>
          <w:szCs w:val="24"/>
        </w:rPr>
        <w:t xml:space="preserve">. at 349-50 (emphasis added) (alterations in original). </w:t>
      </w:r>
    </w:p>
    <w:p w14:paraId="2B55D8FB" w14:textId="77777777" w:rsidR="00671B7F" w:rsidRPr="00671B7F" w:rsidRDefault="00671B7F" w:rsidP="00671B7F">
      <w:pPr>
        <w:autoSpaceDE w:val="0"/>
        <w:autoSpaceDN w:val="0"/>
        <w:adjustRightInd w:val="0"/>
        <w:rPr>
          <w:rFonts w:cs="Times New Roman"/>
          <w:szCs w:val="24"/>
        </w:rPr>
      </w:pPr>
    </w:p>
    <w:p w14:paraId="1771EF2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its 2009 decision in </w:t>
      </w:r>
      <w:r w:rsidRPr="00671B7F">
        <w:rPr>
          <w:rFonts w:cs="Times New Roman"/>
          <w:i/>
          <w:iCs/>
          <w:szCs w:val="24"/>
        </w:rPr>
        <w:t>Gross</w:t>
      </w:r>
      <w:r w:rsidRPr="00671B7F">
        <w:rPr>
          <w:rFonts w:cs="Times New Roman"/>
          <w:szCs w:val="24"/>
        </w:rPr>
        <w:t xml:space="preserve">, the Supreme Court held “that a plaintiff bringing a disparate-treatment claim pursuant to the ADEA must prove, by a preponderance of the evidence, that age was </w:t>
      </w:r>
      <w:r w:rsidRPr="00671B7F">
        <w:rPr>
          <w:rFonts w:cs="Times New Roman"/>
          <w:i/>
          <w:iCs/>
          <w:szCs w:val="24"/>
        </w:rPr>
        <w:t xml:space="preserve">the </w:t>
      </w:r>
      <w:r w:rsidRPr="00671B7F">
        <w:rPr>
          <w:rFonts w:cs="Times New Roman"/>
          <w:szCs w:val="24"/>
        </w:rPr>
        <w:t xml:space="preserve">‘but-for’ cause of the challenged adverse employment action.”  </w:t>
      </w:r>
      <w:r w:rsidRPr="00671B7F">
        <w:rPr>
          <w:rFonts w:cs="Times New Roman"/>
          <w:i/>
          <w:iCs/>
          <w:szCs w:val="24"/>
        </w:rPr>
        <w:t>Id</w:t>
      </w:r>
      <w:r w:rsidRPr="00671B7F">
        <w:rPr>
          <w:rFonts w:cs="Times New Roman"/>
          <w:szCs w:val="24"/>
        </w:rPr>
        <w:t xml:space="preserve">. at 180 (emphasis added).  The use of the definite article “the,” as opposed to the indefinite articles “a” and “an,” implied that there was only one but-for cause. </w:t>
      </w:r>
    </w:p>
    <w:p w14:paraId="08F14A99" w14:textId="77777777" w:rsidR="00671B7F" w:rsidRPr="00671B7F" w:rsidRDefault="00671B7F" w:rsidP="00671B7F">
      <w:pPr>
        <w:autoSpaceDE w:val="0"/>
        <w:autoSpaceDN w:val="0"/>
        <w:adjustRightInd w:val="0"/>
        <w:ind w:firstLine="720"/>
        <w:rPr>
          <w:rFonts w:cs="Times New Roman"/>
          <w:szCs w:val="24"/>
        </w:rPr>
      </w:pPr>
    </w:p>
    <w:p w14:paraId="2BC77A5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Supreme Court in </w:t>
      </w:r>
      <w:r w:rsidRPr="00671B7F">
        <w:rPr>
          <w:rFonts w:cs="Times New Roman"/>
          <w:i/>
          <w:iCs/>
          <w:szCs w:val="24"/>
        </w:rPr>
        <w:t xml:space="preserve">Nassar </w:t>
      </w:r>
      <w:r w:rsidRPr="00671B7F">
        <w:rPr>
          <w:rFonts w:cs="Times New Roman"/>
          <w:szCs w:val="24"/>
        </w:rPr>
        <w:t xml:space="preserve">then applied this analysis from </w:t>
      </w:r>
      <w:r w:rsidRPr="00671B7F">
        <w:rPr>
          <w:rFonts w:cs="Times New Roman"/>
          <w:i/>
          <w:iCs/>
          <w:szCs w:val="24"/>
        </w:rPr>
        <w:t xml:space="preserve">Gross </w:t>
      </w:r>
      <w:r w:rsidRPr="00671B7F">
        <w:rPr>
          <w:rFonts w:cs="Times New Roman"/>
          <w:szCs w:val="24"/>
        </w:rPr>
        <w:t xml:space="preserve">when interpreting the meaning of “because of” in the antiretaliation provision of Title VII, set forth in § 2000e-3(a). After noting that the antiretaliation provision “appears in a different section from Title VII’s ban on status-based discrimination,” the Supreme Court in </w:t>
      </w:r>
      <w:r w:rsidRPr="00671B7F">
        <w:rPr>
          <w:rFonts w:cs="Times New Roman"/>
          <w:i/>
          <w:iCs/>
          <w:szCs w:val="24"/>
        </w:rPr>
        <w:t>Nassar</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explained: </w:t>
      </w:r>
    </w:p>
    <w:p w14:paraId="1EAE3720" w14:textId="77777777" w:rsidR="00671B7F" w:rsidRPr="00671B7F" w:rsidRDefault="00671B7F" w:rsidP="00671B7F">
      <w:pPr>
        <w:autoSpaceDE w:val="0"/>
        <w:autoSpaceDN w:val="0"/>
        <w:adjustRightInd w:val="0"/>
        <w:ind w:firstLine="720"/>
        <w:rPr>
          <w:rFonts w:cs="Times New Roman"/>
          <w:szCs w:val="24"/>
        </w:rPr>
      </w:pPr>
    </w:p>
    <w:p w14:paraId="1C858B56" w14:textId="77777777" w:rsidR="00671B7F" w:rsidRPr="00671B7F" w:rsidRDefault="00671B7F" w:rsidP="00671B7F">
      <w:pPr>
        <w:autoSpaceDE w:val="0"/>
        <w:autoSpaceDN w:val="0"/>
        <w:adjustRightInd w:val="0"/>
        <w:ind w:left="1440" w:rightChars="655" w:right="1572"/>
        <w:jc w:val="both"/>
        <w:rPr>
          <w:rFonts w:cs="Times New Roman"/>
          <w:szCs w:val="24"/>
        </w:rPr>
      </w:pPr>
      <w:r w:rsidRPr="00671B7F">
        <w:rPr>
          <w:rFonts w:cs="Times New Roman"/>
          <w:szCs w:val="24"/>
        </w:rPr>
        <w:lastRenderedPageBreak/>
        <w:t xml:space="preserve">This enactment, like the statute at issue in </w:t>
      </w:r>
      <w:r w:rsidRPr="00671B7F">
        <w:rPr>
          <w:rFonts w:cs="Times New Roman"/>
          <w:i/>
          <w:iCs/>
          <w:szCs w:val="24"/>
        </w:rPr>
        <w:t>Gross</w:t>
      </w:r>
      <w:r w:rsidRPr="00671B7F">
        <w:rPr>
          <w:rFonts w:cs="Times New Roman"/>
          <w:szCs w:val="24"/>
        </w:rPr>
        <w:t xml:space="preserve">, makes it unlawful for an employer to take adverse employment action against an employee “because” of certain criteria. </w:t>
      </w:r>
      <w:r w:rsidRPr="00671B7F">
        <w:rPr>
          <w:rFonts w:cs="Times New Roman"/>
          <w:i/>
          <w:iCs/>
          <w:szCs w:val="24"/>
        </w:rPr>
        <w:t>Cf</w:t>
      </w:r>
      <w:r w:rsidRPr="00671B7F">
        <w:rPr>
          <w:rFonts w:cs="Times New Roman"/>
          <w:szCs w:val="24"/>
        </w:rPr>
        <w:t xml:space="preserve">. 29 U.S.C. § 623(a)(1). Given the lack of any meaningful textual difference between the text in this statute and the one in </w:t>
      </w:r>
      <w:r w:rsidRPr="00671B7F">
        <w:rPr>
          <w:rFonts w:cs="Times New Roman"/>
          <w:i/>
          <w:iCs/>
          <w:szCs w:val="24"/>
        </w:rPr>
        <w:t>Gross</w:t>
      </w:r>
      <w:r w:rsidRPr="00671B7F">
        <w:rPr>
          <w:rFonts w:cs="Times New Roman"/>
          <w:szCs w:val="24"/>
        </w:rPr>
        <w:t xml:space="preserve">, the proper conclusion here, as in </w:t>
      </w:r>
      <w:r w:rsidRPr="00671B7F">
        <w:rPr>
          <w:rFonts w:cs="Times New Roman"/>
          <w:i/>
          <w:iCs/>
          <w:szCs w:val="24"/>
        </w:rPr>
        <w:t>Gross</w:t>
      </w:r>
      <w:r w:rsidRPr="00671B7F">
        <w:rPr>
          <w:rFonts w:cs="Times New Roman"/>
          <w:szCs w:val="24"/>
        </w:rPr>
        <w:t xml:space="preserve">, is that Title VII retaliation claims require proof that the desire to retaliate was </w:t>
      </w:r>
      <w:r w:rsidRPr="00671B7F">
        <w:rPr>
          <w:rFonts w:cs="Times New Roman"/>
          <w:i/>
          <w:iCs/>
          <w:szCs w:val="24"/>
        </w:rPr>
        <w:t xml:space="preserve">the </w:t>
      </w:r>
      <w:r w:rsidRPr="00671B7F">
        <w:rPr>
          <w:rFonts w:cs="Times New Roman"/>
          <w:szCs w:val="24"/>
        </w:rPr>
        <w:t>but-for cause of the challenged employment action</w:t>
      </w:r>
    </w:p>
    <w:p w14:paraId="4A3F2B5F" w14:textId="77777777" w:rsidR="00671B7F" w:rsidRPr="00671B7F" w:rsidRDefault="00671B7F" w:rsidP="00671B7F">
      <w:pPr>
        <w:autoSpaceDE w:val="0"/>
        <w:autoSpaceDN w:val="0"/>
        <w:adjustRightInd w:val="0"/>
        <w:ind w:left="720" w:rightChars="655" w:right="1572"/>
        <w:jc w:val="both"/>
        <w:rPr>
          <w:rFonts w:cs="Times New Roman"/>
          <w:szCs w:val="24"/>
        </w:rPr>
      </w:pPr>
    </w:p>
    <w:p w14:paraId="746FC023"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Nassar</w:t>
      </w:r>
      <w:r w:rsidRPr="00671B7F">
        <w:rPr>
          <w:rFonts w:cs="Times New Roman"/>
          <w:szCs w:val="24"/>
        </w:rPr>
        <w:t xml:space="preserve">, 570 U.S.at 351-52 (emphasis added); </w:t>
      </w:r>
      <w:r w:rsidRPr="00671B7F">
        <w:rPr>
          <w:rFonts w:cs="Times New Roman"/>
          <w:i/>
          <w:iCs/>
          <w:szCs w:val="24"/>
        </w:rPr>
        <w:t>see Gross</w:t>
      </w:r>
      <w:r w:rsidRPr="00671B7F">
        <w:rPr>
          <w:rFonts w:cs="Times New Roman"/>
          <w:szCs w:val="24"/>
        </w:rPr>
        <w:t xml:space="preserve">, 557 U.S. at 176 (“To establish a disparate-treatment claim under the plain language of the ADEA, therefore, a plaintiff must prove that age was </w:t>
      </w:r>
      <w:r w:rsidRPr="00671B7F">
        <w:rPr>
          <w:rFonts w:cs="Times New Roman"/>
          <w:i/>
          <w:iCs/>
          <w:szCs w:val="24"/>
        </w:rPr>
        <w:t xml:space="preserve">the </w:t>
      </w:r>
      <w:r w:rsidRPr="00671B7F">
        <w:rPr>
          <w:rFonts w:cs="Times New Roman"/>
          <w:szCs w:val="24"/>
        </w:rPr>
        <w:t xml:space="preserve">‘but-for’ cause of the employer’s adverse decision.”  (emphasis added)). </w:t>
      </w:r>
    </w:p>
    <w:p w14:paraId="7E2AFCBE" w14:textId="77777777" w:rsidR="00671B7F" w:rsidRPr="00671B7F" w:rsidRDefault="00671B7F" w:rsidP="00671B7F">
      <w:pPr>
        <w:autoSpaceDE w:val="0"/>
        <w:autoSpaceDN w:val="0"/>
        <w:adjustRightInd w:val="0"/>
        <w:rPr>
          <w:rFonts w:cs="Times New Roman"/>
          <w:szCs w:val="24"/>
        </w:rPr>
      </w:pPr>
    </w:p>
    <w:p w14:paraId="522EF2F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Based on these Supreme Court decisions plus the 1991 amendments, which added § 2000e-2(m), for quite some time courts required that if plaintiff in a Title VII employment discrimination case proceeded under § 2000e-2(a), which required discrimination “because of” the plaintiff’s protected status or characteristic, that plaintiff would need to show that the protected status was </w:t>
      </w:r>
      <w:r w:rsidRPr="00671B7F">
        <w:rPr>
          <w:rFonts w:cs="Times New Roman"/>
          <w:i/>
          <w:iCs/>
          <w:szCs w:val="24"/>
        </w:rPr>
        <w:t xml:space="preserve">the </w:t>
      </w:r>
      <w:r w:rsidRPr="00671B7F">
        <w:rPr>
          <w:rFonts w:cs="Times New Roman"/>
          <w:szCs w:val="24"/>
        </w:rPr>
        <w:t xml:space="preserve">but-for cause, or the sole cause, of the challenged employment action.  A similar test applied (and continues to apply after </w:t>
      </w:r>
      <w:r w:rsidRPr="00671B7F">
        <w:rPr>
          <w:rFonts w:cs="Times New Roman"/>
          <w:i/>
          <w:iCs/>
          <w:szCs w:val="24"/>
        </w:rPr>
        <w:t>Nassar</w:t>
      </w:r>
      <w:r w:rsidRPr="00671B7F">
        <w:rPr>
          <w:rFonts w:cs="Times New Roman"/>
          <w:szCs w:val="24"/>
        </w:rPr>
        <w:t xml:space="preserve">) if the plaintiff alleged retaliation in violation of § 2000e-3(a).  On the other hand, a Title VII plaintiff alleging discrimination based on a protected status proceeding under § 2000e-2(m) need only show “that race, color, religion, sex, or national origin was a </w:t>
      </w:r>
      <w:r w:rsidRPr="00671B7F">
        <w:rPr>
          <w:rFonts w:cs="Times New Roman"/>
          <w:i/>
          <w:iCs/>
          <w:szCs w:val="24"/>
        </w:rPr>
        <w:t xml:space="preserve">motivating factor </w:t>
      </w:r>
      <w:r w:rsidRPr="00671B7F">
        <w:rPr>
          <w:rFonts w:cs="Times New Roman"/>
          <w:szCs w:val="24"/>
        </w:rPr>
        <w:t xml:space="preserve">for any employment practice, even though other factors also motivated the practice.”  42 U.S.C. § 2000e-2(m) (emphasis added).  In that event, however, an employer could limit its liability if the employer could show, by a preponderance of the evidence, that it “would have taken the same action in the absence of the impermissible motivating factor.”  42 U.S.C. § 2000e-5(g)(2)(B); </w:t>
      </w:r>
      <w:r w:rsidRPr="00671B7F">
        <w:rPr>
          <w:rFonts w:cs="Times New Roman"/>
          <w:i/>
          <w:iCs/>
          <w:szCs w:val="24"/>
        </w:rPr>
        <w:t xml:space="preserve">see also </w:t>
      </w:r>
      <w:proofErr w:type="spellStart"/>
      <w:r w:rsidRPr="00671B7F">
        <w:rPr>
          <w:rFonts w:cs="Times New Roman"/>
          <w:i/>
          <w:iCs/>
          <w:szCs w:val="24"/>
        </w:rPr>
        <w:t>O’Day</w:t>
      </w:r>
      <w:proofErr w:type="spellEnd"/>
      <w:r w:rsidRPr="00671B7F">
        <w:rPr>
          <w:rFonts w:cs="Times New Roman"/>
          <w:i/>
          <w:iCs/>
          <w:szCs w:val="24"/>
        </w:rPr>
        <w:t xml:space="preserve"> v. McDonnell Douglas Helicopter Co</w:t>
      </w:r>
      <w:r w:rsidRPr="00671B7F">
        <w:rPr>
          <w:rFonts w:cs="Times New Roman"/>
          <w:szCs w:val="24"/>
        </w:rPr>
        <w:t xml:space="preserve">., 79 F.3d 756, 760 (9th Cir. 1996). </w:t>
      </w:r>
    </w:p>
    <w:p w14:paraId="6E2AF35F" w14:textId="77777777" w:rsidR="00671B7F" w:rsidRPr="00671B7F" w:rsidRDefault="00671B7F" w:rsidP="00671B7F">
      <w:pPr>
        <w:autoSpaceDE w:val="0"/>
        <w:autoSpaceDN w:val="0"/>
        <w:adjustRightInd w:val="0"/>
        <w:ind w:firstLine="720"/>
        <w:rPr>
          <w:rFonts w:cs="Times New Roman"/>
          <w:szCs w:val="24"/>
        </w:rPr>
      </w:pPr>
    </w:p>
    <w:p w14:paraId="00C76B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Back in 2002, the Ninth Circuit issued its </w:t>
      </w:r>
      <w:proofErr w:type="spellStart"/>
      <w:r w:rsidRPr="00671B7F">
        <w:rPr>
          <w:rFonts w:cs="Times New Roman"/>
          <w:szCs w:val="24"/>
        </w:rPr>
        <w:t>en</w:t>
      </w:r>
      <w:proofErr w:type="spellEnd"/>
      <w:r w:rsidRPr="00671B7F">
        <w:rPr>
          <w:rFonts w:cs="Times New Roman"/>
          <w:szCs w:val="24"/>
        </w:rPr>
        <w:t xml:space="preserve"> banc decision in </w:t>
      </w:r>
      <w:r w:rsidRPr="00671B7F">
        <w:rPr>
          <w:rFonts w:cs="Times New Roman"/>
          <w:i/>
          <w:iCs/>
          <w:szCs w:val="24"/>
        </w:rPr>
        <w:t>Costa</w:t>
      </w:r>
      <w:r w:rsidRPr="00671B7F">
        <w:rPr>
          <w:rFonts w:cs="Times New Roman"/>
          <w:szCs w:val="24"/>
        </w:rPr>
        <w:t xml:space="preserve">.  In that case, the Ninth Circuit held that a plaintiff alleging disparate treatment could prevail under Title VII merely by showing that the discrimination was “a motivating factor” in the employment decision, even though other factors also may have motivated the action.  “Put simply, the plaintiff in any Title VII case may establish a violation through a preponderance of evidence (whether direct or circumstantial) that a protected characteristic played ‘a motivating factor.’” </w:t>
      </w:r>
      <w:r w:rsidRPr="00671B7F">
        <w:rPr>
          <w:rFonts w:cs="Times New Roman"/>
          <w:i/>
          <w:iCs/>
          <w:szCs w:val="24"/>
        </w:rPr>
        <w:t>Costa</w:t>
      </w:r>
      <w:r w:rsidRPr="00671B7F">
        <w:rPr>
          <w:rFonts w:cs="Times New Roman"/>
          <w:szCs w:val="24"/>
        </w:rPr>
        <w:t xml:space="preserve">, 299 F.3d at 853-54; </w:t>
      </w:r>
      <w:r w:rsidRPr="00671B7F">
        <w:rPr>
          <w:rFonts w:cs="Times New Roman"/>
          <w:i/>
          <w:iCs/>
          <w:szCs w:val="24"/>
        </w:rPr>
        <w:t>see also E.E.O.C. v. Abercrombie &amp; Fitch Stores, Inc</w:t>
      </w:r>
      <w:r w:rsidRPr="00671B7F">
        <w:rPr>
          <w:rFonts w:cs="Times New Roman"/>
          <w:szCs w:val="24"/>
        </w:rPr>
        <w:t xml:space="preserve">., 575 U.S. 768, 772-73 (2015) (explaining that phrase “because of” “typically imports, at a minimum, the traditional standard of but-for causation,” but Title VII relaxes this standard in status cases “to prohibit even making a protected characteristic a ‘motivating factor’ in an employment decision”). </w:t>
      </w:r>
    </w:p>
    <w:p w14:paraId="7D859E4C" w14:textId="77777777" w:rsidR="00671B7F" w:rsidRPr="00671B7F" w:rsidRDefault="00671B7F" w:rsidP="00671B7F">
      <w:pPr>
        <w:autoSpaceDE w:val="0"/>
        <w:autoSpaceDN w:val="0"/>
        <w:adjustRightInd w:val="0"/>
        <w:rPr>
          <w:rFonts w:cs="Times New Roman"/>
          <w:szCs w:val="24"/>
        </w:rPr>
      </w:pPr>
    </w:p>
    <w:p w14:paraId="0A16B2F7"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In </w:t>
      </w:r>
      <w:r w:rsidRPr="00671B7F">
        <w:rPr>
          <w:rFonts w:cs="Times New Roman"/>
          <w:i/>
          <w:iCs/>
          <w:szCs w:val="24"/>
        </w:rPr>
        <w:t>Costa</w:t>
      </w:r>
      <w:r w:rsidRPr="00671B7F">
        <w:rPr>
          <w:rFonts w:cs="Times New Roman"/>
          <w:szCs w:val="24"/>
        </w:rPr>
        <w:t xml:space="preserve">, the Ninth Circuit discussed jury instructions on causation in Title VII disparate treatment cases.  In that decision, the Ninth Circuit stated that a district court may provide either a “single motive” or a “mixed motive” instruction. </w:t>
      </w:r>
      <w:r w:rsidRPr="00671B7F">
        <w:rPr>
          <w:rFonts w:cs="Times New Roman"/>
          <w:i/>
          <w:iCs/>
          <w:szCs w:val="24"/>
        </w:rPr>
        <w:t xml:space="preserve">Costa </w:t>
      </w:r>
      <w:r w:rsidRPr="00671B7F">
        <w:rPr>
          <w:rFonts w:cs="Times New Roman"/>
          <w:szCs w:val="24"/>
        </w:rPr>
        <w:t xml:space="preserve">added that “mixed” and “single” motives are not two “fundamentally different” theories of liability.  </w:t>
      </w:r>
      <w:r w:rsidRPr="00671B7F">
        <w:rPr>
          <w:rFonts w:cs="Times New Roman"/>
          <w:i/>
          <w:iCs/>
          <w:szCs w:val="24"/>
        </w:rPr>
        <w:t>Costa</w:t>
      </w:r>
      <w:r w:rsidRPr="00671B7F">
        <w:rPr>
          <w:rFonts w:cs="Times New Roman"/>
          <w:szCs w:val="24"/>
        </w:rPr>
        <w:t xml:space="preserve">, 299 F.3d at 857.  Instead, they are merely two avenues of instruction by which the plaintiff may meet the ultimate burden of proof: “to show by a preponderance of the evidence that the challenged employment decision was ‘because of’ discrimination.’”  </w:t>
      </w:r>
      <w:r w:rsidRPr="00671B7F">
        <w:rPr>
          <w:rFonts w:cs="Times New Roman"/>
          <w:i/>
          <w:iCs/>
          <w:szCs w:val="24"/>
        </w:rPr>
        <w:t>Id</w:t>
      </w:r>
      <w:r w:rsidRPr="00671B7F">
        <w:rPr>
          <w:rFonts w:cs="Times New Roman"/>
          <w:szCs w:val="24"/>
        </w:rPr>
        <w:t>.</w:t>
      </w:r>
    </w:p>
    <w:p w14:paraId="56BE149E"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lastRenderedPageBreak/>
        <w:t xml:space="preserve">As stated by the Ninth Circuit in </w:t>
      </w:r>
      <w:r w:rsidRPr="00671B7F">
        <w:rPr>
          <w:rFonts w:cs="Times New Roman"/>
          <w:i/>
          <w:iCs/>
          <w:szCs w:val="24"/>
        </w:rPr>
        <w:t>Costa</w:t>
      </w:r>
      <w:r w:rsidRPr="00671B7F">
        <w:rPr>
          <w:rFonts w:cs="Times New Roman"/>
          <w:szCs w:val="24"/>
        </w:rPr>
        <w:t>, “[a]</w:t>
      </w:r>
      <w:proofErr w:type="spellStart"/>
      <w:r w:rsidRPr="00671B7F">
        <w:rPr>
          <w:rFonts w:cs="Times New Roman"/>
          <w:szCs w:val="24"/>
        </w:rPr>
        <w:t>fter</w:t>
      </w:r>
      <w:proofErr w:type="spellEnd"/>
      <w:r w:rsidRPr="00671B7F">
        <w:rPr>
          <w:rFonts w:cs="Times New Roman"/>
          <w:szCs w:val="24"/>
        </w:rPr>
        <w:t xml:space="preserve"> hearing both parties’ evidence, the district court must decide what legal conclusions the evidence could reasonably support and instruct the jury accordingly.”  </w:t>
      </w:r>
      <w:r w:rsidRPr="00671B7F">
        <w:rPr>
          <w:rFonts w:cs="Times New Roman"/>
          <w:i/>
          <w:iCs/>
          <w:szCs w:val="24"/>
        </w:rPr>
        <w:t>Id</w:t>
      </w:r>
      <w:r w:rsidRPr="00671B7F">
        <w:rPr>
          <w:rFonts w:cs="Times New Roman"/>
          <w:szCs w:val="24"/>
        </w:rPr>
        <w:t>. at 856.</w:t>
      </w:r>
    </w:p>
    <w:p w14:paraId="5529D1FB" w14:textId="77777777" w:rsidR="00671B7F" w:rsidRPr="00671B7F" w:rsidRDefault="00671B7F" w:rsidP="00671B7F">
      <w:pPr>
        <w:autoSpaceDE w:val="0"/>
        <w:autoSpaceDN w:val="0"/>
        <w:adjustRightInd w:val="0"/>
        <w:rPr>
          <w:rFonts w:cs="Times New Roman"/>
          <w:szCs w:val="24"/>
        </w:rPr>
      </w:pPr>
    </w:p>
    <w:p w14:paraId="40696931"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If, based on the evidence, the trial court determines that the only reasonable conclusion a jury could reach is that discriminatory animus is the </w:t>
      </w:r>
      <w:r w:rsidRPr="00671B7F">
        <w:rPr>
          <w:rFonts w:cs="Times New Roman"/>
          <w:i/>
          <w:iCs/>
          <w:szCs w:val="24"/>
        </w:rPr>
        <w:t xml:space="preserve">sole </w:t>
      </w:r>
      <w:r w:rsidRPr="00671B7F">
        <w:rPr>
          <w:rFonts w:cs="Times New Roman"/>
          <w:szCs w:val="24"/>
        </w:rPr>
        <w:t xml:space="preserve">cause for the challenged employment action or that discrimination played </w:t>
      </w:r>
      <w:r w:rsidRPr="00671B7F">
        <w:rPr>
          <w:rFonts w:cs="Times New Roman"/>
          <w:i/>
          <w:iCs/>
          <w:szCs w:val="24"/>
        </w:rPr>
        <w:t xml:space="preserve">no </w:t>
      </w:r>
      <w:r w:rsidRPr="00671B7F">
        <w:rPr>
          <w:rFonts w:cs="Times New Roman"/>
          <w:szCs w:val="24"/>
        </w:rPr>
        <w:t xml:space="preserve">role at all in the employer’s </w:t>
      </w:r>
      <w:proofErr w:type="spellStart"/>
      <w:r w:rsidRPr="00671B7F">
        <w:rPr>
          <w:rFonts w:cs="Times New Roman"/>
          <w:szCs w:val="24"/>
        </w:rPr>
        <w:t>decisionmaking</w:t>
      </w:r>
      <w:proofErr w:type="spellEnd"/>
      <w:r w:rsidRPr="00671B7F">
        <w:rPr>
          <w:rFonts w:cs="Times New Roman"/>
          <w:szCs w:val="24"/>
        </w:rPr>
        <w:t xml:space="preserve">, then the jury should be instructed to determine whether the challenged action was taken “because of” the prohibited reason. . . . </w:t>
      </w:r>
    </w:p>
    <w:p w14:paraId="26F562EE" w14:textId="77777777" w:rsidR="00671B7F" w:rsidRPr="00671B7F" w:rsidRDefault="00671B7F" w:rsidP="00671B7F">
      <w:pPr>
        <w:autoSpaceDE w:val="0"/>
        <w:autoSpaceDN w:val="0"/>
        <w:adjustRightInd w:val="0"/>
        <w:ind w:left="1440" w:right="1440"/>
        <w:rPr>
          <w:rFonts w:cs="Times New Roman"/>
          <w:szCs w:val="24"/>
        </w:rPr>
      </w:pPr>
    </w:p>
    <w:p w14:paraId="2EE10E0B" w14:textId="77777777" w:rsidR="00671B7F" w:rsidRPr="00671B7F" w:rsidRDefault="00671B7F" w:rsidP="00671B7F">
      <w:pPr>
        <w:autoSpaceDE w:val="0"/>
        <w:autoSpaceDN w:val="0"/>
        <w:adjustRightInd w:val="0"/>
        <w:ind w:left="1440" w:right="1440"/>
        <w:rPr>
          <w:rFonts w:cs="Times New Roman"/>
          <w:szCs w:val="24"/>
        </w:rPr>
      </w:pPr>
      <w:r w:rsidRPr="00671B7F">
        <w:rPr>
          <w:rFonts w:cs="Times New Roman"/>
          <w:szCs w:val="24"/>
        </w:rPr>
        <w:t xml:space="preserve">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 However, if the jury then finds that the employer has proved the “same decision” affirmative defense by a preponderance of the evidence, 42 U.S.C. § 2000e–5(g)(2)(B), the employer will escape the imposition of damages and any order of reinstatement, hiring, promotion, and the like, and is liable solely for attorney’s fees, declaratory relief, and an order prohibiting future discriminatory actions. </w:t>
      </w:r>
    </w:p>
    <w:p w14:paraId="0AE47DB6" w14:textId="77777777" w:rsidR="00671B7F" w:rsidRPr="00671B7F" w:rsidRDefault="00671B7F" w:rsidP="00671B7F">
      <w:pPr>
        <w:autoSpaceDE w:val="0"/>
        <w:autoSpaceDN w:val="0"/>
        <w:adjustRightInd w:val="0"/>
        <w:rPr>
          <w:rFonts w:cs="Times New Roman"/>
          <w:szCs w:val="24"/>
        </w:rPr>
      </w:pPr>
    </w:p>
    <w:p w14:paraId="7AB76E0E" w14:textId="77777777" w:rsidR="00671B7F" w:rsidRPr="00671B7F" w:rsidRDefault="00671B7F" w:rsidP="00671B7F">
      <w:pPr>
        <w:autoSpaceDE w:val="0"/>
        <w:autoSpaceDN w:val="0"/>
        <w:adjustRightInd w:val="0"/>
        <w:rPr>
          <w:rFonts w:cs="Times New Roman"/>
          <w:szCs w:val="24"/>
        </w:rPr>
      </w:pPr>
      <w:r w:rsidRPr="00671B7F">
        <w:rPr>
          <w:rFonts w:cs="Times New Roman"/>
          <w:i/>
          <w:iCs/>
          <w:szCs w:val="24"/>
        </w:rPr>
        <w:t>Id</w:t>
      </w:r>
      <w:r w:rsidRPr="00671B7F">
        <w:rPr>
          <w:rFonts w:cs="Times New Roman"/>
          <w:szCs w:val="24"/>
        </w:rPr>
        <w:t xml:space="preserve">. at 856-57.  After </w:t>
      </w:r>
      <w:r w:rsidRPr="00671B7F">
        <w:rPr>
          <w:rFonts w:cs="Times New Roman"/>
          <w:i/>
          <w:iCs/>
          <w:szCs w:val="24"/>
        </w:rPr>
        <w:t>Costa</w:t>
      </w:r>
      <w:r w:rsidRPr="00671B7F">
        <w:rPr>
          <w:rFonts w:cs="Times New Roman"/>
          <w:szCs w:val="24"/>
        </w:rPr>
        <w:t xml:space="preserve">, the Ninth Circuit Jury Instructions Committee developed several alternative model instructions.  As those model instructions explained, the proper formulation of the actual instructions depends on the trial court’s assessment of the evidence presented and what findings a reasonable jury could make. </w:t>
      </w:r>
    </w:p>
    <w:p w14:paraId="6A05FF1A" w14:textId="77777777" w:rsidR="00671B7F" w:rsidRPr="00671B7F" w:rsidRDefault="00671B7F" w:rsidP="00671B7F">
      <w:pPr>
        <w:autoSpaceDE w:val="0"/>
        <w:autoSpaceDN w:val="0"/>
        <w:adjustRightInd w:val="0"/>
        <w:rPr>
          <w:rFonts w:cs="Times New Roman"/>
          <w:szCs w:val="24"/>
        </w:rPr>
      </w:pPr>
    </w:p>
    <w:p w14:paraId="03187791"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causation analysis, however, significantly changed after </w:t>
      </w:r>
      <w:r w:rsidRPr="00671B7F">
        <w:rPr>
          <w:rFonts w:cs="Times New Roman"/>
          <w:i/>
          <w:iCs/>
          <w:szCs w:val="24"/>
        </w:rPr>
        <w:t>Bostock v. Clayton County</w:t>
      </w:r>
      <w:r w:rsidRPr="00671B7F">
        <w:rPr>
          <w:rFonts w:cs="Times New Roman"/>
          <w:szCs w:val="24"/>
        </w:rPr>
        <w:t xml:space="preserve">, 140 S. Ct. 1731 (2020).  </w:t>
      </w:r>
      <w:r w:rsidRPr="00671B7F">
        <w:rPr>
          <w:rFonts w:cs="Times New Roman"/>
          <w:i/>
          <w:iCs/>
          <w:szCs w:val="24"/>
        </w:rPr>
        <w:t xml:space="preserve">Bostock </w:t>
      </w:r>
      <w:r w:rsidRPr="00671B7F">
        <w:rPr>
          <w:rFonts w:cs="Times New Roman"/>
          <w:szCs w:val="24"/>
        </w:rPr>
        <w:t xml:space="preserve">is mostly known for its interpretation of the phrase “because of such individual’s . . . sex” in § 2000e-2(a) and its holding that an employer violates Title VII by taking an adverse employment action based on an individual’s sexual orientation, gender identity, or transgender status.  </w:t>
      </w:r>
      <w:r w:rsidRPr="00671B7F">
        <w:rPr>
          <w:rFonts w:cs="Times New Roman"/>
          <w:i/>
          <w:iCs/>
          <w:szCs w:val="24"/>
        </w:rPr>
        <w:t>Id</w:t>
      </w:r>
      <w:r w:rsidRPr="00671B7F">
        <w:rPr>
          <w:rFonts w:cs="Times New Roman"/>
          <w:szCs w:val="24"/>
        </w:rPr>
        <w:t xml:space="preserve">. at 1741, 1754.  But </w:t>
      </w:r>
      <w:r w:rsidRPr="00671B7F">
        <w:rPr>
          <w:rFonts w:cs="Times New Roman"/>
          <w:i/>
          <w:iCs/>
          <w:szCs w:val="24"/>
        </w:rPr>
        <w:t xml:space="preserve">Bostock </w:t>
      </w:r>
      <w:r w:rsidRPr="00671B7F">
        <w:rPr>
          <w:rFonts w:cs="Times New Roman"/>
          <w:szCs w:val="24"/>
        </w:rPr>
        <w:t xml:space="preserve">also is significant for interpreting “because of” in § 2000e-2(a) to refer to but-for causation, which courts traditionally have recognized can include more than one but-for cause.  </w:t>
      </w:r>
      <w:r w:rsidRPr="00671B7F">
        <w:rPr>
          <w:rFonts w:cs="Times New Roman"/>
          <w:i/>
          <w:iCs/>
          <w:szCs w:val="24"/>
        </w:rPr>
        <w:t>See id</w:t>
      </w:r>
      <w:r w:rsidRPr="00671B7F">
        <w:rPr>
          <w:rFonts w:cs="Times New Roman"/>
          <w:szCs w:val="24"/>
        </w:rPr>
        <w:t xml:space="preserve">. at 1739. </w:t>
      </w:r>
    </w:p>
    <w:p w14:paraId="5CAFB776" w14:textId="77777777" w:rsidR="00671B7F" w:rsidRPr="00671B7F" w:rsidRDefault="00671B7F" w:rsidP="00671B7F">
      <w:pPr>
        <w:autoSpaceDE w:val="0"/>
        <w:autoSpaceDN w:val="0"/>
        <w:adjustRightInd w:val="0"/>
        <w:ind w:firstLine="720"/>
        <w:rPr>
          <w:rFonts w:cs="Times New Roman"/>
          <w:szCs w:val="24"/>
        </w:rPr>
      </w:pPr>
    </w:p>
    <w:p w14:paraId="5C1E162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As explained in </w:t>
      </w:r>
      <w:r w:rsidRPr="00671B7F">
        <w:rPr>
          <w:rFonts w:cs="Times New Roman"/>
          <w:i/>
          <w:iCs/>
          <w:szCs w:val="24"/>
        </w:rPr>
        <w:t>Bostock</w:t>
      </w:r>
      <w:r w:rsidRPr="00671B7F">
        <w:rPr>
          <w:rFonts w:cs="Times New Roman"/>
          <w:szCs w:val="24"/>
        </w:rPr>
        <w:t xml:space="preserve">, “the ordinary meaning of ‘because of’ is ‘by reason of’ or ‘on account of.’”  </w:t>
      </w:r>
      <w:r w:rsidRPr="00671B7F">
        <w:rPr>
          <w:rFonts w:cs="Times New Roman"/>
          <w:i/>
          <w:iCs/>
          <w:szCs w:val="24"/>
        </w:rPr>
        <w:t>Id</w:t>
      </w:r>
      <w:r w:rsidRPr="00671B7F">
        <w:rPr>
          <w:rFonts w:cs="Times New Roman"/>
          <w:szCs w:val="24"/>
        </w:rPr>
        <w:t xml:space="preserve">. at 1739 (quoting </w:t>
      </w:r>
      <w:r w:rsidRPr="00671B7F">
        <w:rPr>
          <w:rFonts w:cs="Times New Roman"/>
          <w:i/>
          <w:iCs/>
          <w:szCs w:val="24"/>
        </w:rPr>
        <w:t>Nassar</w:t>
      </w:r>
      <w:r w:rsidRPr="00671B7F">
        <w:rPr>
          <w:rFonts w:cs="Times New Roman"/>
          <w:szCs w:val="24"/>
        </w:rPr>
        <w:t xml:space="preserve">, 570 U.S. at 350).  “In the language of law, this means that Title VII’s ‘because of’” test incorporates the ‘simple’ and ‘traditional’ standard of but-for causation.”  </w:t>
      </w:r>
      <w:r w:rsidRPr="00671B7F">
        <w:rPr>
          <w:rFonts w:cs="Times New Roman"/>
          <w:i/>
          <w:iCs/>
          <w:szCs w:val="24"/>
        </w:rPr>
        <w:t>Id</w:t>
      </w:r>
      <w:r w:rsidRPr="00671B7F">
        <w:rPr>
          <w:rFonts w:cs="Times New Roman"/>
          <w:szCs w:val="24"/>
        </w:rPr>
        <w:t xml:space="preserve">. (citing </w:t>
      </w:r>
      <w:r w:rsidRPr="00671B7F">
        <w:rPr>
          <w:rFonts w:cs="Times New Roman"/>
          <w:i/>
          <w:iCs/>
          <w:szCs w:val="24"/>
        </w:rPr>
        <w:t>Nassar</w:t>
      </w:r>
      <w:r w:rsidRPr="00671B7F">
        <w:rPr>
          <w:rFonts w:cs="Times New Roman"/>
          <w:szCs w:val="24"/>
        </w:rPr>
        <w:t xml:space="preserve">, 570 U.S. at 346).  “That form of causation is established whenever a particular outcome would not have happened ‘but for’ the purported cause.”  </w:t>
      </w:r>
      <w:r w:rsidRPr="00671B7F">
        <w:rPr>
          <w:rFonts w:cs="Times New Roman"/>
          <w:i/>
          <w:iCs/>
          <w:szCs w:val="24"/>
        </w:rPr>
        <w:t>Id</w:t>
      </w:r>
      <w:r w:rsidRPr="00671B7F">
        <w:rPr>
          <w:rFonts w:cs="Times New Roman"/>
          <w:szCs w:val="24"/>
        </w:rPr>
        <w:t xml:space="preserve">. (citing </w:t>
      </w:r>
      <w:r w:rsidRPr="00671B7F">
        <w:rPr>
          <w:rFonts w:cs="Times New Roman"/>
          <w:i/>
          <w:iCs/>
          <w:szCs w:val="24"/>
        </w:rPr>
        <w:t>Gross</w:t>
      </w:r>
      <w:r w:rsidRPr="00671B7F">
        <w:rPr>
          <w:rFonts w:cs="Times New Roman"/>
          <w:szCs w:val="24"/>
        </w:rPr>
        <w:t xml:space="preserve">, 557 U.S. at 176).  “In other words, a but-for test directs us to change one thing at a time and see if the outcome changes. If it does, we have found a </w:t>
      </w:r>
      <w:proofErr w:type="spellStart"/>
      <w:r w:rsidRPr="00671B7F">
        <w:rPr>
          <w:rFonts w:cs="Times New Roman"/>
          <w:szCs w:val="24"/>
        </w:rPr>
        <w:t>but</w:t>
      </w:r>
      <w:proofErr w:type="spellEnd"/>
      <w:r w:rsidRPr="00671B7F">
        <w:rPr>
          <w:rFonts w:cs="Times New Roman"/>
          <w:szCs w:val="24"/>
        </w:rPr>
        <w:t xml:space="preserve">-for cause.”  </w:t>
      </w:r>
      <w:r w:rsidRPr="00671B7F">
        <w:rPr>
          <w:rFonts w:cs="Times New Roman"/>
          <w:i/>
          <w:iCs/>
          <w:szCs w:val="24"/>
        </w:rPr>
        <w:t>Id</w:t>
      </w:r>
      <w:r w:rsidRPr="00671B7F">
        <w:rPr>
          <w:rFonts w:cs="Times New Roman"/>
          <w:szCs w:val="24"/>
        </w:rPr>
        <w:t xml:space="preserve">.  “This can be a sweeping standard.  Often, events have multiple but-for causes.  So, for example, if a car </w:t>
      </w:r>
      <w:r w:rsidRPr="00671B7F">
        <w:rPr>
          <w:rFonts w:cs="Times New Roman"/>
          <w:szCs w:val="24"/>
        </w:rPr>
        <w:lastRenderedPageBreak/>
        <w:t xml:space="preserve">accident occurred </w:t>
      </w:r>
      <w:r w:rsidRPr="00671B7F">
        <w:rPr>
          <w:rFonts w:cs="Times New Roman"/>
          <w:i/>
          <w:iCs/>
          <w:szCs w:val="24"/>
        </w:rPr>
        <w:t>both</w:t>
      </w:r>
      <w:r w:rsidRPr="00671B7F">
        <w:rPr>
          <w:rFonts w:cs="Times New Roman"/>
          <w:szCs w:val="24"/>
        </w:rPr>
        <w:t xml:space="preserve"> because the defendant ran a red light </w:t>
      </w:r>
      <w:r w:rsidRPr="00671B7F">
        <w:rPr>
          <w:rFonts w:cs="Times New Roman"/>
          <w:i/>
          <w:iCs/>
          <w:szCs w:val="24"/>
        </w:rPr>
        <w:t>and</w:t>
      </w:r>
      <w:r w:rsidRPr="00671B7F">
        <w:rPr>
          <w:rFonts w:cs="Times New Roman"/>
          <w:szCs w:val="24"/>
        </w:rPr>
        <w:t xml:space="preserve"> because the plaintiff failed to signal his turn at the intersection, we might call each a </w:t>
      </w:r>
      <w:proofErr w:type="spellStart"/>
      <w:r w:rsidRPr="00671B7F">
        <w:rPr>
          <w:rFonts w:cs="Times New Roman"/>
          <w:szCs w:val="24"/>
        </w:rPr>
        <w:t>but</w:t>
      </w:r>
      <w:proofErr w:type="spellEnd"/>
      <w:r w:rsidRPr="00671B7F">
        <w:rPr>
          <w:rFonts w:cs="Times New Roman"/>
          <w:szCs w:val="24"/>
        </w:rPr>
        <w:t xml:space="preserve">-for cause of the collision.”  </w:t>
      </w:r>
      <w:r w:rsidRPr="00671B7F">
        <w:rPr>
          <w:rFonts w:cs="Times New Roman"/>
          <w:i/>
          <w:iCs/>
          <w:szCs w:val="24"/>
        </w:rPr>
        <w:t>Id</w:t>
      </w:r>
      <w:r w:rsidRPr="00671B7F">
        <w:rPr>
          <w:rFonts w:cs="Times New Roman"/>
          <w:szCs w:val="24"/>
        </w:rPr>
        <w:t xml:space="preserve">.  “When it comes to Title VII, the adoption of the traditional but-for causation standard means a defendant cannot avoid liability just by citing some </w:t>
      </w:r>
      <w:r w:rsidRPr="00671B7F">
        <w:rPr>
          <w:rFonts w:cs="Times New Roman"/>
          <w:i/>
          <w:iCs/>
          <w:szCs w:val="24"/>
        </w:rPr>
        <w:t>other</w:t>
      </w:r>
      <w:r w:rsidRPr="00671B7F">
        <w:rPr>
          <w:rFonts w:cs="Times New Roman"/>
          <w:szCs w:val="24"/>
        </w:rPr>
        <w:t xml:space="preserve"> factor that contributed to its challenged employment decision. So long as the plaintiff’s sex was one but-for cause of that decision, that is enough to trigger the law.”  </w:t>
      </w:r>
      <w:r w:rsidRPr="00671B7F">
        <w:rPr>
          <w:rFonts w:cs="Times New Roman"/>
          <w:i/>
          <w:iCs/>
          <w:szCs w:val="24"/>
        </w:rPr>
        <w:t>Id</w:t>
      </w:r>
      <w:r w:rsidRPr="00671B7F">
        <w:rPr>
          <w:rFonts w:cs="Times New Roman"/>
          <w:szCs w:val="24"/>
        </w:rPr>
        <w:t xml:space="preserve">.   Further, “the plaintiff’s sex need not be the sole or primary cause of the employer’s adverse action.”  </w:t>
      </w:r>
      <w:r w:rsidRPr="00671B7F">
        <w:rPr>
          <w:rFonts w:cs="Times New Roman"/>
          <w:i/>
          <w:iCs/>
          <w:szCs w:val="24"/>
        </w:rPr>
        <w:t>Id</w:t>
      </w:r>
      <w:r w:rsidRPr="00671B7F">
        <w:rPr>
          <w:rFonts w:cs="Times New Roman"/>
          <w:szCs w:val="24"/>
        </w:rPr>
        <w:t>. at 1744.</w:t>
      </w:r>
    </w:p>
    <w:p w14:paraId="09443F9E" w14:textId="77777777" w:rsidR="00671B7F" w:rsidRPr="00671B7F" w:rsidRDefault="00671B7F" w:rsidP="00671B7F">
      <w:pPr>
        <w:autoSpaceDE w:val="0"/>
        <w:autoSpaceDN w:val="0"/>
        <w:adjustRightInd w:val="0"/>
        <w:rPr>
          <w:rFonts w:cs="Times New Roman"/>
          <w:szCs w:val="24"/>
        </w:rPr>
      </w:pPr>
    </w:p>
    <w:p w14:paraId="1A495064"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Thus, any reading of Title VII’s prohibition of discrimination based on a protected status that implies that a plaintiff must show that forbidden discrimination was the sole or primary cause of the challenged action must be carefully examined to determine if it remains good law.  </w:t>
      </w:r>
      <w:r w:rsidRPr="00671B7F">
        <w:rPr>
          <w:rFonts w:cs="Times New Roman"/>
          <w:i/>
          <w:iCs/>
          <w:szCs w:val="24"/>
        </w:rPr>
        <w:t>See Miller v. Gammie</w:t>
      </w:r>
      <w:r w:rsidRPr="00671B7F">
        <w:rPr>
          <w:rFonts w:cs="Times New Roman"/>
          <w:szCs w:val="24"/>
        </w:rPr>
        <w:t xml:space="preserve">, 335 F.3d 889, 893 (9th Cir. 2003) (“We hold that in circumstances like those presented here, where the reasoning or theory of our prior circuit authority is clearly irreconcilable with the reasoning or theory of intervening higher authority, a three-judge panel should consider itself bound by the later and controlling authority, and should reject the prior circuit opinion as having been effectively overruled.”).  For example, to the extent </w:t>
      </w:r>
      <w:r w:rsidRPr="00671B7F">
        <w:rPr>
          <w:rFonts w:cs="Times New Roman"/>
          <w:i/>
          <w:iCs/>
          <w:szCs w:val="24"/>
        </w:rPr>
        <w:t xml:space="preserve">Costa </w:t>
      </w:r>
      <w:r w:rsidRPr="00671B7F">
        <w:rPr>
          <w:rFonts w:cs="Times New Roman"/>
          <w:szCs w:val="24"/>
        </w:rPr>
        <w:t xml:space="preserve">indicates that the phrase “because of” in 42 U.S.C. § 2000e-2(a) requires a trial court to determine “that the only reasonable conclusion a jury could reach is that discriminatory animus is the </w:t>
      </w:r>
      <w:r w:rsidRPr="00671B7F">
        <w:rPr>
          <w:rFonts w:cs="Times New Roman"/>
          <w:i/>
          <w:iCs/>
          <w:szCs w:val="24"/>
        </w:rPr>
        <w:t>sole</w:t>
      </w:r>
      <w:r w:rsidRPr="00671B7F">
        <w:rPr>
          <w:rFonts w:cs="Times New Roman"/>
          <w:szCs w:val="24"/>
        </w:rPr>
        <w:t xml:space="preserve"> cause for the challenged employment action,” 299 F.3d at 856, it would be inconsistent with </w:t>
      </w:r>
      <w:r w:rsidRPr="00671B7F">
        <w:rPr>
          <w:rFonts w:cs="Times New Roman"/>
          <w:i/>
          <w:iCs/>
          <w:szCs w:val="24"/>
        </w:rPr>
        <w:t>Bostock</w:t>
      </w:r>
      <w:r w:rsidRPr="00671B7F">
        <w:rPr>
          <w:rFonts w:cs="Times New Roman"/>
          <w:szCs w:val="24"/>
        </w:rPr>
        <w:t xml:space="preserve">.  After </w:t>
      </w:r>
      <w:r w:rsidRPr="00671B7F">
        <w:rPr>
          <w:rFonts w:cs="Times New Roman"/>
          <w:i/>
          <w:iCs/>
          <w:szCs w:val="24"/>
        </w:rPr>
        <w:t>Bostock</w:t>
      </w:r>
      <w:r w:rsidRPr="00671B7F">
        <w:rPr>
          <w:rFonts w:cs="Times New Roman"/>
          <w:szCs w:val="24"/>
        </w:rPr>
        <w:t xml:space="preserve">, the Jury Instructions Committee substantially modified its Chapter 10 Introductory Comment and Instructions 10.1, 10.2, and 10.3.  Indeed, current Instruction 10.3 now defines “because of” based on </w:t>
      </w:r>
      <w:r w:rsidRPr="00671B7F">
        <w:rPr>
          <w:rFonts w:cs="Times New Roman"/>
          <w:i/>
          <w:iCs/>
          <w:szCs w:val="24"/>
        </w:rPr>
        <w:t>Bostock</w:t>
      </w:r>
      <w:r w:rsidRPr="00671B7F">
        <w:rPr>
          <w:rFonts w:cs="Times New Roman"/>
          <w:szCs w:val="24"/>
        </w:rPr>
        <w:t xml:space="preserve">. </w:t>
      </w:r>
    </w:p>
    <w:p w14:paraId="099DC474" w14:textId="77777777" w:rsidR="00671B7F" w:rsidRPr="00671B7F" w:rsidRDefault="00671B7F" w:rsidP="00671B7F">
      <w:pPr>
        <w:autoSpaceDE w:val="0"/>
        <w:autoSpaceDN w:val="0"/>
        <w:adjustRightInd w:val="0"/>
        <w:ind w:firstLine="720"/>
        <w:rPr>
          <w:rFonts w:cs="Times New Roman"/>
          <w:szCs w:val="24"/>
        </w:rPr>
      </w:pPr>
    </w:p>
    <w:p w14:paraId="04864B7E" w14:textId="77777777" w:rsidR="00671B7F" w:rsidRPr="00671B7F" w:rsidRDefault="00671B7F" w:rsidP="00671B7F">
      <w:pPr>
        <w:autoSpaceDE w:val="0"/>
        <w:autoSpaceDN w:val="0"/>
        <w:adjustRightInd w:val="0"/>
        <w:jc w:val="center"/>
        <w:rPr>
          <w:rFonts w:cs="Times New Roman"/>
          <w:i/>
          <w:iCs/>
          <w:szCs w:val="24"/>
        </w:rPr>
      </w:pPr>
      <w:r w:rsidRPr="00671B7F">
        <w:rPr>
          <w:rFonts w:cs="Times New Roman"/>
          <w:i/>
          <w:iCs/>
          <w:szCs w:val="24"/>
        </w:rPr>
        <w:t>Organization of Instructions</w:t>
      </w:r>
    </w:p>
    <w:p w14:paraId="2F0AE0D7" w14:textId="77777777" w:rsidR="00671B7F" w:rsidRPr="00671B7F" w:rsidRDefault="00671B7F" w:rsidP="00671B7F">
      <w:pPr>
        <w:autoSpaceDE w:val="0"/>
        <w:autoSpaceDN w:val="0"/>
        <w:adjustRightInd w:val="0"/>
        <w:jc w:val="center"/>
        <w:rPr>
          <w:rFonts w:cs="Times New Roman"/>
          <w:szCs w:val="24"/>
        </w:rPr>
      </w:pPr>
    </w:p>
    <w:p w14:paraId="4F605732"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 </w:t>
      </w:r>
    </w:p>
    <w:p w14:paraId="3DFDF0C1" w14:textId="77777777" w:rsidR="00671B7F" w:rsidRPr="00671B7F" w:rsidRDefault="00671B7F" w:rsidP="00671B7F">
      <w:pPr>
        <w:autoSpaceDE w:val="0"/>
        <w:autoSpaceDN w:val="0"/>
        <w:adjustRightInd w:val="0"/>
        <w:ind w:firstLine="720"/>
        <w:rPr>
          <w:rFonts w:cs="Times New Roman"/>
          <w:szCs w:val="24"/>
        </w:rPr>
      </w:pPr>
    </w:p>
    <w:p w14:paraId="520A02EA"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or characteristic at issue in a particular case. </w:t>
      </w:r>
    </w:p>
    <w:p w14:paraId="651EACF0" w14:textId="77777777" w:rsidR="00671B7F" w:rsidRPr="00671B7F" w:rsidRDefault="00671B7F" w:rsidP="00671B7F">
      <w:pPr>
        <w:autoSpaceDE w:val="0"/>
        <w:autoSpaceDN w:val="0"/>
        <w:adjustRightInd w:val="0"/>
        <w:ind w:firstLine="720"/>
        <w:rPr>
          <w:rFonts w:cs="Times New Roman"/>
          <w:szCs w:val="24"/>
        </w:rPr>
      </w:pPr>
    </w:p>
    <w:p w14:paraId="64DD5C89"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t xml:space="preserve">No instructions have been provided for a claim of disparate impact under Title VII, although such an instruction is provided for a disparate impact claim for age discrimination under the ADEA.  </w:t>
      </w:r>
      <w:r w:rsidRPr="00671B7F">
        <w:rPr>
          <w:rFonts w:cs="Times New Roman"/>
          <w:i/>
          <w:iCs/>
          <w:szCs w:val="24"/>
        </w:rPr>
        <w:t xml:space="preserve">See </w:t>
      </w:r>
      <w:r w:rsidRPr="00671B7F">
        <w:rPr>
          <w:rFonts w:cs="Times New Roman"/>
          <w:szCs w:val="24"/>
        </w:rPr>
        <w:t xml:space="preserve">Instruction 11.4 (Age Discrimination—Disparate Impact—Elements).  For a detailed discussion of a disparate impact claim arising under the Fair Housing Act, see </w:t>
      </w:r>
      <w:r w:rsidRPr="00671B7F">
        <w:rPr>
          <w:rFonts w:cs="Times New Roman"/>
          <w:i/>
          <w:iCs/>
          <w:szCs w:val="24"/>
        </w:rPr>
        <w:t>Texas Department of Housing &amp; Community Affairs v. Inclusive Communities Project, Inc</w:t>
      </w:r>
      <w:r w:rsidRPr="00671B7F">
        <w:rPr>
          <w:rFonts w:cs="Times New Roman"/>
          <w:szCs w:val="24"/>
        </w:rPr>
        <w:t xml:space="preserve">., 135 S. Ct. 2507 (2015) (relying on cases interpreting Title VII and the ADEA). </w:t>
      </w:r>
    </w:p>
    <w:p w14:paraId="1B33DC72" w14:textId="77777777" w:rsidR="00671B7F" w:rsidRPr="00671B7F" w:rsidRDefault="00671B7F" w:rsidP="00671B7F">
      <w:pPr>
        <w:autoSpaceDE w:val="0"/>
        <w:autoSpaceDN w:val="0"/>
        <w:adjustRightInd w:val="0"/>
        <w:ind w:firstLine="720"/>
        <w:rPr>
          <w:rFonts w:cs="Times New Roman"/>
          <w:szCs w:val="24"/>
        </w:rPr>
      </w:pPr>
    </w:p>
    <w:p w14:paraId="2F9CD1BD" w14:textId="77777777" w:rsidR="00671B7F" w:rsidRPr="00671B7F" w:rsidRDefault="00671B7F" w:rsidP="00671B7F">
      <w:pPr>
        <w:autoSpaceDE w:val="0"/>
        <w:autoSpaceDN w:val="0"/>
        <w:adjustRightInd w:val="0"/>
        <w:ind w:firstLine="720"/>
        <w:rPr>
          <w:rFonts w:cs="Times New Roman"/>
          <w:szCs w:val="24"/>
        </w:rPr>
      </w:pPr>
      <w:r w:rsidRPr="00671B7F">
        <w:rPr>
          <w:rFonts w:cs="Times New Roman"/>
          <w:szCs w:val="24"/>
        </w:rPr>
        <w:lastRenderedPageBreak/>
        <w:t>In some cases when an employer is a state or local public entity, a plaintiff has the option of suing under 42 U.S.C. § 1983.  The general elements of such a claim, however, are the same as under Title VII.  Accordingly, in addition to the essential elements of a claim under 42 U.S.C. § 1983, the court may wish to refer to Instructions 10.1 through 10.7 when a claim under § 1983 is based on disparate treatment or harassment by a state or local employer.</w:t>
      </w:r>
    </w:p>
    <w:p w14:paraId="2E270EB6" w14:textId="77777777" w:rsidR="00671B7F" w:rsidRPr="00671B7F" w:rsidRDefault="00671B7F" w:rsidP="00671B7F">
      <w:pPr>
        <w:spacing w:after="160" w:line="259" w:lineRule="auto"/>
        <w:rPr>
          <w:rFonts w:asciiTheme="minorHAnsi" w:hAnsiTheme="minorHAnsi"/>
          <w:sz w:val="22"/>
        </w:rPr>
      </w:pPr>
    </w:p>
    <w:p w14:paraId="5DD98957" w14:textId="2B6C27CC" w:rsidR="00304EF5" w:rsidRPr="00304EF5" w:rsidRDefault="00304EF5" w:rsidP="00671B7F">
      <w:pPr>
        <w:pStyle w:val="Default"/>
        <w:ind w:firstLine="720"/>
      </w:pPr>
    </w:p>
    <w:p w14:paraId="7D76A4D8" w14:textId="77777777" w:rsidR="00304EF5" w:rsidRPr="00304EF5" w:rsidRDefault="00304EF5" w:rsidP="00304EF5">
      <w:pPr>
        <w:autoSpaceDE w:val="0"/>
        <w:autoSpaceDN w:val="0"/>
        <w:adjustRightInd w:val="0"/>
        <w:rPr>
          <w:rFonts w:cs="Times New Roman"/>
          <w:szCs w:val="24"/>
        </w:rPr>
      </w:pPr>
    </w:p>
    <w:p w14:paraId="4B9EF54B" w14:textId="77777777" w:rsidR="00304EF5" w:rsidRPr="00304EF5" w:rsidRDefault="00304EF5" w:rsidP="00304EF5">
      <w:pPr>
        <w:autoSpaceDE w:val="0"/>
        <w:autoSpaceDN w:val="0"/>
        <w:adjustRightInd w:val="0"/>
        <w:rPr>
          <w:rFonts w:cs="Times New Roman"/>
          <w:szCs w:val="24"/>
        </w:rPr>
      </w:pPr>
    </w:p>
    <w:p w14:paraId="2C351DC8" w14:textId="77777777" w:rsidR="00304EF5" w:rsidRPr="00304EF5" w:rsidRDefault="00304EF5" w:rsidP="00304EF5">
      <w:pPr>
        <w:autoSpaceDE w:val="0"/>
        <w:autoSpaceDN w:val="0"/>
        <w:adjustRightInd w:val="0"/>
        <w:rPr>
          <w:rFonts w:cs="Times New Roman"/>
          <w:szCs w:val="24"/>
        </w:rPr>
      </w:pPr>
    </w:p>
    <w:p w14:paraId="0CC44BD7" w14:textId="77777777" w:rsidR="00304EF5" w:rsidRPr="00304EF5" w:rsidRDefault="00304EF5" w:rsidP="00304EF5">
      <w:pPr>
        <w:autoSpaceDE w:val="0"/>
        <w:autoSpaceDN w:val="0"/>
        <w:adjustRightInd w:val="0"/>
        <w:rPr>
          <w:rFonts w:cs="Times New Roman"/>
          <w:szCs w:val="24"/>
        </w:rPr>
      </w:pPr>
    </w:p>
    <w:p w14:paraId="619E23D6" w14:textId="77777777" w:rsidR="00304EF5" w:rsidRPr="00304EF5" w:rsidRDefault="00304EF5" w:rsidP="00304EF5">
      <w:pPr>
        <w:autoSpaceDE w:val="0"/>
        <w:autoSpaceDN w:val="0"/>
        <w:adjustRightInd w:val="0"/>
        <w:rPr>
          <w:rFonts w:cs="Times New Roman"/>
          <w:szCs w:val="24"/>
        </w:rPr>
      </w:pPr>
    </w:p>
    <w:p w14:paraId="0AD1B372" w14:textId="77777777" w:rsidR="00304EF5" w:rsidRPr="00304EF5" w:rsidRDefault="00304EF5" w:rsidP="00304EF5">
      <w:pPr>
        <w:autoSpaceDE w:val="0"/>
        <w:autoSpaceDN w:val="0"/>
        <w:adjustRightInd w:val="0"/>
        <w:rPr>
          <w:rFonts w:cs="Times New Roman"/>
          <w:szCs w:val="24"/>
        </w:rPr>
      </w:pPr>
    </w:p>
    <w:p w14:paraId="29DDC2B4" w14:textId="77777777" w:rsidR="00304EF5" w:rsidRPr="00304EF5" w:rsidRDefault="00304EF5" w:rsidP="00304EF5">
      <w:pPr>
        <w:autoSpaceDE w:val="0"/>
        <w:autoSpaceDN w:val="0"/>
        <w:adjustRightInd w:val="0"/>
        <w:rPr>
          <w:rFonts w:cs="Times New Roman"/>
          <w:szCs w:val="24"/>
        </w:rPr>
      </w:pPr>
    </w:p>
    <w:p w14:paraId="3B834643" w14:textId="77777777" w:rsidR="00304EF5" w:rsidRPr="00304EF5" w:rsidRDefault="00304EF5" w:rsidP="00304EF5">
      <w:pPr>
        <w:autoSpaceDE w:val="0"/>
        <w:autoSpaceDN w:val="0"/>
        <w:adjustRightInd w:val="0"/>
        <w:rPr>
          <w:rFonts w:cs="Times New Roman"/>
          <w:szCs w:val="24"/>
        </w:rPr>
      </w:pPr>
    </w:p>
    <w:p w14:paraId="362B4E22" w14:textId="77777777" w:rsidR="00304EF5" w:rsidRPr="00304EF5" w:rsidRDefault="00304EF5" w:rsidP="00304EF5">
      <w:pPr>
        <w:autoSpaceDE w:val="0"/>
        <w:autoSpaceDN w:val="0"/>
        <w:adjustRightInd w:val="0"/>
        <w:rPr>
          <w:rFonts w:cs="Times New Roman"/>
          <w:szCs w:val="24"/>
        </w:rPr>
      </w:pPr>
    </w:p>
    <w:p w14:paraId="6E12FB39" w14:textId="6F0ADB8C" w:rsidR="006A4CD7" w:rsidRPr="006A4CD7" w:rsidRDefault="006A4CD7" w:rsidP="00304EF5">
      <w:pPr>
        <w:autoSpaceDE w:val="0"/>
        <w:autoSpaceDN w:val="0"/>
        <w:adjustRightInd w:val="0"/>
        <w:rPr>
          <w:rFonts w:cs="Times New Roman"/>
          <w:szCs w:val="24"/>
        </w:rPr>
      </w:pPr>
    </w:p>
    <w:p w14:paraId="2E67EDC1" w14:textId="116E5C00" w:rsidR="00671B7F" w:rsidRDefault="006A4CD7" w:rsidP="00304EF5">
      <w:pPr>
        <w:pStyle w:val="Heading2"/>
      </w:pPr>
      <w:r w:rsidRPr="006A4CD7">
        <w:br w:type="page"/>
      </w:r>
      <w:bookmarkStart w:id="181" w:name="_Toc117512468"/>
      <w:r w:rsidRPr="006A4CD7">
        <w:lastRenderedPageBreak/>
        <w:t>10.1 C</w:t>
      </w:r>
      <w:r w:rsidR="00B3575B">
        <w:t>ivil</w:t>
      </w:r>
      <w:r w:rsidRPr="006A4CD7">
        <w:t xml:space="preserve"> R</w:t>
      </w:r>
      <w:r w:rsidR="00B3575B">
        <w:t>ights</w:t>
      </w:r>
      <w:r w:rsidRPr="006A4CD7">
        <w:t>—T</w:t>
      </w:r>
      <w:r w:rsidR="00B3575B">
        <w:t>itle</w:t>
      </w:r>
      <w:r w:rsidRPr="006A4CD7">
        <w:t xml:space="preserve"> VII—D</w:t>
      </w:r>
      <w:r w:rsidR="00B3575B">
        <w:t>isparate</w:t>
      </w:r>
      <w:r w:rsidRPr="006A4CD7">
        <w:t xml:space="preserve"> T</w:t>
      </w:r>
      <w:r w:rsidR="00B3575B">
        <w:t>reatment</w:t>
      </w:r>
      <w:r w:rsidRPr="006A4CD7">
        <w:t>—</w:t>
      </w:r>
      <w:r w:rsidR="00304EF5">
        <w:t>Without</w:t>
      </w:r>
      <w:bookmarkEnd w:id="181"/>
      <w:r w:rsidR="00304EF5">
        <w:t xml:space="preserve"> </w:t>
      </w:r>
    </w:p>
    <w:p w14:paraId="693C9F4F" w14:textId="70F43EDC" w:rsidR="006A4CD7" w:rsidRPr="006A4CD7" w:rsidRDefault="00304EF5" w:rsidP="00304EF5">
      <w:pPr>
        <w:pStyle w:val="Heading2"/>
      </w:pPr>
      <w:bookmarkStart w:id="182" w:name="_Toc117512469"/>
      <w:r>
        <w:t>Affirmative Defense of</w:t>
      </w:r>
      <w:r w:rsidR="007B75B7">
        <w:t xml:space="preserve"> </w:t>
      </w:r>
      <w:r>
        <w:t>“Same Decision”</w:t>
      </w:r>
      <w:bookmarkEnd w:id="182"/>
    </w:p>
    <w:p w14:paraId="21F5B2A2" w14:textId="740C0CD8" w:rsidR="00911982" w:rsidRDefault="00911982" w:rsidP="00911982">
      <w:pPr>
        <w:autoSpaceDE w:val="0"/>
        <w:autoSpaceDN w:val="0"/>
        <w:adjustRightInd w:val="0"/>
        <w:rPr>
          <w:rFonts w:cs="Times New Roman"/>
          <w:szCs w:val="24"/>
        </w:rPr>
      </w:pPr>
    </w:p>
    <w:p w14:paraId="419781EE" w14:textId="77777777" w:rsidR="00911982" w:rsidRDefault="00911982" w:rsidP="00911982">
      <w:pPr>
        <w:pStyle w:val="Default"/>
        <w:ind w:firstLine="720"/>
      </w:pPr>
      <w:r w:rsidRPr="00BD3179">
        <w:t>For the plaintiff’s claim that [he] [she] [other pronoun] was [discharged] [not hired] [not promoted] [demoted] [</w:t>
      </w:r>
      <w:r w:rsidRPr="002E58ED">
        <w:rPr>
          <w:i/>
          <w:iCs/>
          <w:u w:val="single"/>
        </w:rPr>
        <w:t>state other adverse action</w:t>
      </w:r>
      <w:r w:rsidRPr="00BD3179">
        <w:t xml:space="preserve">] by the defendant because of the plaintiff’s [[race] [color] [religion] [sex] [national origin]], the plaintiff has the burden of proving the following elements by a preponderance of the evidence: </w:t>
      </w:r>
    </w:p>
    <w:p w14:paraId="6C606259" w14:textId="77777777" w:rsidR="00911982" w:rsidRPr="00BD3179" w:rsidRDefault="00911982" w:rsidP="00911982">
      <w:pPr>
        <w:pStyle w:val="Default"/>
        <w:ind w:firstLine="720"/>
      </w:pPr>
    </w:p>
    <w:p w14:paraId="48A9D6D5" w14:textId="77777777" w:rsidR="00911982" w:rsidRDefault="00911982" w:rsidP="00911982">
      <w:pPr>
        <w:pStyle w:val="Default"/>
        <w:ind w:firstLine="720"/>
      </w:pPr>
      <w:r w:rsidRPr="00BD3179">
        <w:t>1. the plaintiff was [discharged] [not hired] [not promoted] [demoted] [</w:t>
      </w:r>
      <w:r w:rsidRPr="002E58ED">
        <w:rPr>
          <w:i/>
          <w:iCs/>
          <w:u w:val="single"/>
        </w:rPr>
        <w:t>state other adverse action</w:t>
      </w:r>
      <w:r w:rsidRPr="00BD3179">
        <w:t xml:space="preserve">] by the defendant; [and] </w:t>
      </w:r>
    </w:p>
    <w:p w14:paraId="36A395CD" w14:textId="77777777" w:rsidR="00911982" w:rsidRPr="00BD3179" w:rsidRDefault="00911982" w:rsidP="00911982">
      <w:pPr>
        <w:pStyle w:val="Default"/>
        <w:ind w:firstLine="720"/>
      </w:pPr>
    </w:p>
    <w:p w14:paraId="3CB6ACF1" w14:textId="77777777" w:rsidR="00911982" w:rsidRDefault="00911982" w:rsidP="00911982">
      <w:pPr>
        <w:pStyle w:val="Default"/>
        <w:ind w:firstLine="720"/>
      </w:pPr>
      <w:r w:rsidRPr="00BD3179">
        <w:t>2. the defendant [discharged] [failed to hire] [failed to promote] [demoted] [</w:t>
      </w:r>
      <w:r w:rsidRPr="002E58ED">
        <w:rPr>
          <w:i/>
          <w:iCs/>
          <w:u w:val="single"/>
        </w:rPr>
        <w:t>state other adverse action</w:t>
      </w:r>
      <w:r w:rsidRPr="00BD3179">
        <w:t xml:space="preserve">] the plaintiff because of the plaintiff’s [race] [color] [religion] [sex] [national origin] [.] [;] </w:t>
      </w:r>
    </w:p>
    <w:p w14:paraId="471580BA" w14:textId="77777777" w:rsidR="00911982" w:rsidRPr="00BD3179" w:rsidRDefault="00911982" w:rsidP="00911982">
      <w:pPr>
        <w:pStyle w:val="Default"/>
        <w:ind w:firstLine="720"/>
      </w:pPr>
    </w:p>
    <w:p w14:paraId="1EF83DFB" w14:textId="77777777" w:rsidR="00911982" w:rsidRDefault="00911982" w:rsidP="00911982">
      <w:pPr>
        <w:pStyle w:val="Default"/>
        <w:ind w:firstLine="720"/>
      </w:pPr>
      <w:r w:rsidRPr="00BD3179">
        <w:t xml:space="preserve">[3. the plaintiff was qualified for [his] [her] [other pronoun] position [.] [;] [and] </w:t>
      </w:r>
    </w:p>
    <w:p w14:paraId="346E9AEE" w14:textId="77777777" w:rsidR="00911982" w:rsidRPr="00BD3179" w:rsidRDefault="00911982" w:rsidP="00911982">
      <w:pPr>
        <w:pStyle w:val="Default"/>
        <w:ind w:firstLine="720"/>
      </w:pPr>
    </w:p>
    <w:p w14:paraId="123A60A6" w14:textId="77777777" w:rsidR="00911982" w:rsidRDefault="00911982" w:rsidP="00911982">
      <w:pPr>
        <w:pStyle w:val="Default"/>
        <w:ind w:left="720"/>
      </w:pPr>
      <w:r w:rsidRPr="00BD3179">
        <w:t xml:space="preserve">[4. similarly situated individuals outside the plaintiff’s [race] [color] [religion] [sex] [national origin] were treated more favorably.] </w:t>
      </w:r>
    </w:p>
    <w:p w14:paraId="649A7F05" w14:textId="77777777" w:rsidR="00911982" w:rsidRPr="00BD3179" w:rsidRDefault="00911982" w:rsidP="00911982">
      <w:pPr>
        <w:pStyle w:val="Default"/>
        <w:ind w:left="720"/>
      </w:pPr>
    </w:p>
    <w:p w14:paraId="1607BDEF" w14:textId="77777777" w:rsidR="00911982" w:rsidRPr="00BD3179" w:rsidRDefault="00911982" w:rsidP="00911982">
      <w:pPr>
        <w:pStyle w:val="Default"/>
        <w:ind w:firstLine="720"/>
      </w:pPr>
      <w:r w:rsidRPr="00BD3179">
        <w:t xml:space="preserve">If the plaintiff has proven each of these elements by a preponderance of the evidence, the plaintiff is entitled to your verdict. </w:t>
      </w:r>
    </w:p>
    <w:p w14:paraId="420E2881" w14:textId="77777777" w:rsidR="00911982" w:rsidRDefault="00911982" w:rsidP="00911982">
      <w:pPr>
        <w:pStyle w:val="Default"/>
        <w:jc w:val="center"/>
        <w:rPr>
          <w:b/>
          <w:bCs/>
        </w:rPr>
      </w:pPr>
      <w:r w:rsidRPr="00BD3179">
        <w:rPr>
          <w:b/>
          <w:bCs/>
        </w:rPr>
        <w:t>Comment</w:t>
      </w:r>
    </w:p>
    <w:p w14:paraId="3434BCEC" w14:textId="77777777" w:rsidR="00911982" w:rsidRPr="00BD3179" w:rsidRDefault="00911982" w:rsidP="00911982">
      <w:pPr>
        <w:pStyle w:val="Default"/>
        <w:jc w:val="center"/>
      </w:pPr>
    </w:p>
    <w:p w14:paraId="66407E54" w14:textId="0DD5A483" w:rsidR="00911982" w:rsidRDefault="00DF08DC" w:rsidP="00911982">
      <w:pPr>
        <w:pStyle w:val="Default"/>
        <w:ind w:firstLine="720"/>
      </w:pPr>
      <w:r w:rsidRPr="00F02E51">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t xml:space="preserve"> </w:t>
      </w:r>
      <w:r w:rsidRPr="00F02E51">
        <w:rPr>
          <w:i/>
          <w:iCs/>
        </w:rPr>
        <w:t xml:space="preserve">Berry v. </w:t>
      </w:r>
      <w:proofErr w:type="spellStart"/>
      <w:r w:rsidRPr="00F02E51">
        <w:rPr>
          <w:i/>
          <w:iCs/>
        </w:rPr>
        <w:t>Dep't</w:t>
      </w:r>
      <w:proofErr w:type="spellEnd"/>
      <w:r w:rsidRPr="00F02E51">
        <w:rPr>
          <w:i/>
          <w:iCs/>
        </w:rPr>
        <w:t xml:space="preserve"> of Soc. Servs</w:t>
      </w:r>
      <w:r w:rsidRPr="00F02E51">
        <w:t>., 447 F.3d 642, 656 (9th Cir. 2006).</w:t>
      </w:r>
      <w:r w:rsidR="00911982">
        <w:t xml:space="preserve">  </w:t>
      </w:r>
      <w:r w:rsidR="00911982" w:rsidRPr="00BD3179">
        <w:t xml:space="preserve">If it is disputed that plaintiff is qualified for position and that similarly situated individuals outside of plaintiff’s protected class were treated more favorably, add the bracketed elements. </w:t>
      </w:r>
      <w:r w:rsidR="00911982">
        <w:t xml:space="preserve"> </w:t>
      </w:r>
      <w:r w:rsidR="00911982" w:rsidRPr="00BD3179">
        <w:t>“Other employees are similarly situated to the plaintiff when they have similar jobs and display similar conduct.”</w:t>
      </w:r>
      <w:r w:rsidR="00911982">
        <w:t xml:space="preserve"> </w:t>
      </w:r>
      <w:r w:rsidR="00911982" w:rsidRPr="00BD3179">
        <w:t xml:space="preserve"> </w:t>
      </w:r>
      <w:r w:rsidR="00911982" w:rsidRPr="00BD3179">
        <w:rPr>
          <w:i/>
          <w:iCs/>
        </w:rPr>
        <w:t>Id</w:t>
      </w:r>
      <w:r w:rsidR="00911982" w:rsidRPr="00BD3179">
        <w:t xml:space="preserve">. (quoting </w:t>
      </w:r>
      <w:r w:rsidR="00911982" w:rsidRPr="00BD3179">
        <w:rPr>
          <w:i/>
          <w:iCs/>
        </w:rPr>
        <w:t xml:space="preserve">Earl v. Nielsen Media </w:t>
      </w:r>
      <w:proofErr w:type="spellStart"/>
      <w:r w:rsidR="00911982" w:rsidRPr="00BD3179">
        <w:rPr>
          <w:i/>
          <w:iCs/>
        </w:rPr>
        <w:t>Rsch</w:t>
      </w:r>
      <w:proofErr w:type="spellEnd"/>
      <w:r w:rsidR="00911982" w:rsidRPr="00BD3179">
        <w:rPr>
          <w:i/>
          <w:iCs/>
        </w:rPr>
        <w:t>., Inc</w:t>
      </w:r>
      <w:r w:rsidR="00911982" w:rsidRPr="00BD3179">
        <w:t xml:space="preserve">., 658 F.3d 1108, 1114 (9th Cir. 2011) (internal quotation marks omitted)). </w:t>
      </w:r>
    </w:p>
    <w:p w14:paraId="533B3920" w14:textId="77777777" w:rsidR="00911982" w:rsidRPr="00BD3179" w:rsidRDefault="00911982" w:rsidP="00911982">
      <w:pPr>
        <w:pStyle w:val="Default"/>
        <w:ind w:firstLine="720"/>
      </w:pPr>
    </w:p>
    <w:p w14:paraId="220B6DF3" w14:textId="77777777" w:rsidR="00911982" w:rsidRDefault="00911982" w:rsidP="00911982">
      <w:pPr>
        <w:pStyle w:val="Default"/>
        <w:ind w:firstLine="720"/>
      </w:pPr>
      <w:r w:rsidRPr="00BD3179">
        <w:t xml:space="preserve">When the alleged discrimination is based on sexual orientation, gender identity, transgender status, or the like, the word “sex” in the instruction should be modified or explained consistent with </w:t>
      </w:r>
      <w:r w:rsidRPr="00BD3179">
        <w:rPr>
          <w:i/>
          <w:iCs/>
        </w:rPr>
        <w:t>Bostock v. Clayton County</w:t>
      </w:r>
      <w:r w:rsidRPr="00BD3179">
        <w:t xml:space="preserve">, 140 S. Ct. 1731, 1741, 1754 (2020) (holding employer violates Title VII by firing individual based on sexual orientation or gender identity). “Paramour preference,” however, does not constitute discrimination on the basis of sex. </w:t>
      </w:r>
      <w:r>
        <w:t xml:space="preserve"> </w:t>
      </w:r>
      <w:proofErr w:type="spellStart"/>
      <w:r w:rsidRPr="00BD3179">
        <w:rPr>
          <w:i/>
          <w:iCs/>
        </w:rPr>
        <w:t>Maner</w:t>
      </w:r>
      <w:proofErr w:type="spellEnd"/>
      <w:r w:rsidRPr="00BD3179">
        <w:rPr>
          <w:i/>
          <w:iCs/>
        </w:rPr>
        <w:t xml:space="preserve"> v. Dignity Health</w:t>
      </w:r>
      <w:r w:rsidRPr="00BD3179">
        <w:t xml:space="preserve">, 9 F.4th 1114, 1116 (9th Cir. 2021). </w:t>
      </w:r>
    </w:p>
    <w:p w14:paraId="2B85B747" w14:textId="77777777" w:rsidR="00911982" w:rsidRPr="00BD3179" w:rsidRDefault="00911982" w:rsidP="00911982">
      <w:pPr>
        <w:pStyle w:val="Default"/>
        <w:ind w:firstLine="720"/>
      </w:pPr>
    </w:p>
    <w:p w14:paraId="4DA84359" w14:textId="29011837" w:rsidR="00911982" w:rsidRDefault="00911982" w:rsidP="00DF08DC">
      <w:pPr>
        <w:autoSpaceDE w:val="0"/>
        <w:autoSpaceDN w:val="0"/>
        <w:adjustRightInd w:val="0"/>
        <w:ind w:firstLine="720"/>
        <w:rPr>
          <w:rFonts w:cs="Times New Roman"/>
          <w:szCs w:val="24"/>
        </w:rPr>
      </w:pPr>
      <w:r w:rsidRPr="00BD3179">
        <w:rPr>
          <w:rFonts w:cs="Times New Roman"/>
          <w:szCs w:val="24"/>
        </w:rPr>
        <w:t xml:space="preserve">Finally, even in the absence of a “same decision” (or “same action”) affirmative defense, a plaintiff might prefer to use an instruction that provides, as the second element, that the plaintiff’s protected characteristic was “a motivating factor” in the defendant’s employment decision. </w:t>
      </w:r>
      <w:r>
        <w:rPr>
          <w:rFonts w:cs="Times New Roman"/>
          <w:szCs w:val="24"/>
        </w:rPr>
        <w:t xml:space="preserve"> </w:t>
      </w:r>
      <w:r w:rsidRPr="00454465">
        <w:rPr>
          <w:rFonts w:cs="Times New Roman"/>
          <w:i/>
          <w:iCs/>
          <w:szCs w:val="24"/>
        </w:rPr>
        <w:t>See</w:t>
      </w:r>
      <w:r>
        <w:rPr>
          <w:rFonts w:cs="Times New Roman"/>
          <w:szCs w:val="24"/>
        </w:rPr>
        <w:t xml:space="preserve"> 42 U.S.C. § 2000e-5(g)(2)(B).  </w:t>
      </w:r>
      <w:r w:rsidRPr="00BD3179">
        <w:rPr>
          <w:rFonts w:cs="Times New Roman"/>
          <w:szCs w:val="24"/>
        </w:rPr>
        <w:t>Based on 42 U.S.C. § 2000e-2(m), there does not appear to be any reason to deny a plaintiff that option.</w:t>
      </w:r>
      <w:r w:rsidR="00DF08DC">
        <w:rPr>
          <w:rFonts w:cs="Times New Roman"/>
          <w:szCs w:val="24"/>
        </w:rPr>
        <w:t xml:space="preserve"> </w:t>
      </w:r>
      <w:r w:rsidRPr="00BD3179">
        <w:rPr>
          <w:rFonts w:cs="Times New Roman"/>
          <w:szCs w:val="24"/>
        </w:rPr>
        <w:t>If a plaintiff so elects, a model instruction on that point is found in 10.2.</w:t>
      </w:r>
    </w:p>
    <w:p w14:paraId="34E7C6BA" w14:textId="795FFD4E" w:rsidR="00DF08DC" w:rsidRPr="00DF08DC" w:rsidRDefault="00DF08DC" w:rsidP="00DF08DC">
      <w:pPr>
        <w:autoSpaceDE w:val="0"/>
        <w:autoSpaceDN w:val="0"/>
        <w:adjustRightInd w:val="0"/>
        <w:jc w:val="right"/>
        <w:rPr>
          <w:rFonts w:cs="Times New Roman"/>
          <w:i/>
          <w:iCs/>
          <w:szCs w:val="24"/>
        </w:rPr>
      </w:pPr>
      <w:r>
        <w:rPr>
          <w:rFonts w:cs="Times New Roman"/>
          <w:i/>
          <w:iCs/>
          <w:szCs w:val="24"/>
        </w:rPr>
        <w:lastRenderedPageBreak/>
        <w:t>Revised Sept. 2022</w:t>
      </w:r>
    </w:p>
    <w:p w14:paraId="2C34F240" w14:textId="063E5493" w:rsidR="00911982" w:rsidRDefault="00911982" w:rsidP="00911982">
      <w:pPr>
        <w:autoSpaceDE w:val="0"/>
        <w:autoSpaceDN w:val="0"/>
        <w:adjustRightInd w:val="0"/>
        <w:rPr>
          <w:rFonts w:cs="Times New Roman"/>
          <w:szCs w:val="24"/>
        </w:rPr>
      </w:pPr>
    </w:p>
    <w:p w14:paraId="203F3E48" w14:textId="35451072" w:rsidR="00911982" w:rsidRDefault="00911982" w:rsidP="00911982">
      <w:pPr>
        <w:autoSpaceDE w:val="0"/>
        <w:autoSpaceDN w:val="0"/>
        <w:adjustRightInd w:val="0"/>
        <w:rPr>
          <w:rFonts w:cs="Times New Roman"/>
          <w:szCs w:val="24"/>
        </w:rPr>
      </w:pPr>
    </w:p>
    <w:p w14:paraId="3594B969" w14:textId="2599BC60" w:rsidR="00911982" w:rsidRDefault="00911982" w:rsidP="00911982">
      <w:pPr>
        <w:autoSpaceDE w:val="0"/>
        <w:autoSpaceDN w:val="0"/>
        <w:adjustRightInd w:val="0"/>
        <w:rPr>
          <w:rFonts w:cs="Times New Roman"/>
          <w:szCs w:val="24"/>
        </w:rPr>
      </w:pPr>
    </w:p>
    <w:p w14:paraId="15DC7071" w14:textId="44D2500E" w:rsidR="00911982" w:rsidRDefault="00911982" w:rsidP="00911982">
      <w:pPr>
        <w:autoSpaceDE w:val="0"/>
        <w:autoSpaceDN w:val="0"/>
        <w:adjustRightInd w:val="0"/>
        <w:rPr>
          <w:rFonts w:cs="Times New Roman"/>
          <w:szCs w:val="24"/>
        </w:rPr>
      </w:pPr>
    </w:p>
    <w:p w14:paraId="5355FAFB" w14:textId="248A5D7B" w:rsidR="00911982" w:rsidRDefault="00911982" w:rsidP="00911982">
      <w:pPr>
        <w:autoSpaceDE w:val="0"/>
        <w:autoSpaceDN w:val="0"/>
        <w:adjustRightInd w:val="0"/>
        <w:rPr>
          <w:rFonts w:cs="Times New Roman"/>
          <w:szCs w:val="24"/>
        </w:rPr>
      </w:pPr>
    </w:p>
    <w:p w14:paraId="6B30F98B" w14:textId="50E23CBC" w:rsidR="00911982" w:rsidRDefault="00911982" w:rsidP="00911982">
      <w:pPr>
        <w:autoSpaceDE w:val="0"/>
        <w:autoSpaceDN w:val="0"/>
        <w:adjustRightInd w:val="0"/>
        <w:rPr>
          <w:rFonts w:cs="Times New Roman"/>
          <w:szCs w:val="24"/>
        </w:rPr>
      </w:pPr>
    </w:p>
    <w:p w14:paraId="1240E03A" w14:textId="5DE6C212" w:rsidR="00911982" w:rsidRDefault="00911982" w:rsidP="00911982">
      <w:pPr>
        <w:autoSpaceDE w:val="0"/>
        <w:autoSpaceDN w:val="0"/>
        <w:adjustRightInd w:val="0"/>
        <w:rPr>
          <w:rFonts w:cs="Times New Roman"/>
          <w:szCs w:val="24"/>
        </w:rPr>
      </w:pPr>
    </w:p>
    <w:p w14:paraId="78B024CC" w14:textId="18809468" w:rsidR="00911982" w:rsidRDefault="00911982" w:rsidP="00911982">
      <w:pPr>
        <w:autoSpaceDE w:val="0"/>
        <w:autoSpaceDN w:val="0"/>
        <w:adjustRightInd w:val="0"/>
        <w:rPr>
          <w:rFonts w:cs="Times New Roman"/>
          <w:szCs w:val="24"/>
        </w:rPr>
      </w:pPr>
    </w:p>
    <w:p w14:paraId="17CA1BA5" w14:textId="3F9355D1" w:rsidR="00911982" w:rsidRDefault="00911982" w:rsidP="00911982">
      <w:pPr>
        <w:autoSpaceDE w:val="0"/>
        <w:autoSpaceDN w:val="0"/>
        <w:adjustRightInd w:val="0"/>
        <w:rPr>
          <w:rFonts w:cs="Times New Roman"/>
          <w:szCs w:val="24"/>
        </w:rPr>
      </w:pPr>
    </w:p>
    <w:p w14:paraId="12501AB4" w14:textId="261D34D2" w:rsidR="00911982" w:rsidRDefault="00911982" w:rsidP="00911982">
      <w:pPr>
        <w:autoSpaceDE w:val="0"/>
        <w:autoSpaceDN w:val="0"/>
        <w:adjustRightInd w:val="0"/>
        <w:rPr>
          <w:rFonts w:cs="Times New Roman"/>
          <w:szCs w:val="24"/>
        </w:rPr>
      </w:pPr>
    </w:p>
    <w:p w14:paraId="4980366D" w14:textId="56B4E124" w:rsidR="00911982" w:rsidRDefault="00911982" w:rsidP="00911982">
      <w:pPr>
        <w:autoSpaceDE w:val="0"/>
        <w:autoSpaceDN w:val="0"/>
        <w:adjustRightInd w:val="0"/>
        <w:rPr>
          <w:rFonts w:cs="Times New Roman"/>
          <w:szCs w:val="24"/>
        </w:rPr>
      </w:pPr>
    </w:p>
    <w:p w14:paraId="742E1158" w14:textId="265C530F" w:rsidR="00911982" w:rsidRDefault="00911982" w:rsidP="00911982">
      <w:pPr>
        <w:autoSpaceDE w:val="0"/>
        <w:autoSpaceDN w:val="0"/>
        <w:adjustRightInd w:val="0"/>
        <w:rPr>
          <w:rFonts w:cs="Times New Roman"/>
          <w:szCs w:val="24"/>
        </w:rPr>
      </w:pPr>
    </w:p>
    <w:p w14:paraId="3EEB241E" w14:textId="5DD5592E" w:rsidR="00911982" w:rsidRDefault="00911982" w:rsidP="00911982">
      <w:pPr>
        <w:autoSpaceDE w:val="0"/>
        <w:autoSpaceDN w:val="0"/>
        <w:adjustRightInd w:val="0"/>
        <w:rPr>
          <w:rFonts w:cs="Times New Roman"/>
          <w:szCs w:val="24"/>
        </w:rPr>
      </w:pPr>
    </w:p>
    <w:p w14:paraId="5CCB2216" w14:textId="77E780CD" w:rsidR="00911982" w:rsidRDefault="00911982" w:rsidP="00911982">
      <w:pPr>
        <w:autoSpaceDE w:val="0"/>
        <w:autoSpaceDN w:val="0"/>
        <w:adjustRightInd w:val="0"/>
        <w:rPr>
          <w:rFonts w:cs="Times New Roman"/>
          <w:szCs w:val="24"/>
        </w:rPr>
      </w:pPr>
    </w:p>
    <w:p w14:paraId="07453E60" w14:textId="06768CC5" w:rsidR="00911982" w:rsidRDefault="00911982" w:rsidP="00911982">
      <w:pPr>
        <w:autoSpaceDE w:val="0"/>
        <w:autoSpaceDN w:val="0"/>
        <w:adjustRightInd w:val="0"/>
        <w:rPr>
          <w:rFonts w:cs="Times New Roman"/>
          <w:szCs w:val="24"/>
        </w:rPr>
      </w:pPr>
    </w:p>
    <w:p w14:paraId="0D031545" w14:textId="4A53B848" w:rsidR="00911982" w:rsidRDefault="00911982" w:rsidP="00911982">
      <w:pPr>
        <w:autoSpaceDE w:val="0"/>
        <w:autoSpaceDN w:val="0"/>
        <w:adjustRightInd w:val="0"/>
        <w:rPr>
          <w:rFonts w:cs="Times New Roman"/>
          <w:szCs w:val="24"/>
        </w:rPr>
      </w:pPr>
    </w:p>
    <w:p w14:paraId="08D16F30" w14:textId="65A32D6C" w:rsidR="00911982" w:rsidRDefault="00911982" w:rsidP="00911982">
      <w:pPr>
        <w:autoSpaceDE w:val="0"/>
        <w:autoSpaceDN w:val="0"/>
        <w:adjustRightInd w:val="0"/>
        <w:rPr>
          <w:rFonts w:cs="Times New Roman"/>
          <w:szCs w:val="24"/>
        </w:rPr>
      </w:pPr>
    </w:p>
    <w:p w14:paraId="40126FC9" w14:textId="1E574CE9" w:rsidR="00911982" w:rsidRDefault="00911982" w:rsidP="00911982">
      <w:pPr>
        <w:autoSpaceDE w:val="0"/>
        <w:autoSpaceDN w:val="0"/>
        <w:adjustRightInd w:val="0"/>
        <w:rPr>
          <w:rFonts w:cs="Times New Roman"/>
          <w:szCs w:val="24"/>
        </w:rPr>
      </w:pPr>
    </w:p>
    <w:p w14:paraId="162E46C9" w14:textId="085E5315" w:rsidR="00911982" w:rsidRDefault="00911982" w:rsidP="00911982">
      <w:pPr>
        <w:autoSpaceDE w:val="0"/>
        <w:autoSpaceDN w:val="0"/>
        <w:adjustRightInd w:val="0"/>
        <w:rPr>
          <w:rFonts w:cs="Times New Roman"/>
          <w:szCs w:val="24"/>
        </w:rPr>
      </w:pPr>
    </w:p>
    <w:p w14:paraId="25A5F9BD" w14:textId="6B6A8879" w:rsidR="00911982" w:rsidRDefault="00911982" w:rsidP="00911982">
      <w:pPr>
        <w:autoSpaceDE w:val="0"/>
        <w:autoSpaceDN w:val="0"/>
        <w:adjustRightInd w:val="0"/>
        <w:rPr>
          <w:rFonts w:cs="Times New Roman"/>
          <w:szCs w:val="24"/>
        </w:rPr>
      </w:pPr>
    </w:p>
    <w:p w14:paraId="7102685D" w14:textId="046AB2E5" w:rsidR="00911982" w:rsidRDefault="00911982" w:rsidP="00911982">
      <w:pPr>
        <w:autoSpaceDE w:val="0"/>
        <w:autoSpaceDN w:val="0"/>
        <w:adjustRightInd w:val="0"/>
        <w:rPr>
          <w:rFonts w:cs="Times New Roman"/>
          <w:szCs w:val="24"/>
        </w:rPr>
      </w:pPr>
    </w:p>
    <w:p w14:paraId="0C5DBF74" w14:textId="03868AD4" w:rsidR="00911982" w:rsidRDefault="00911982" w:rsidP="00911982">
      <w:pPr>
        <w:autoSpaceDE w:val="0"/>
        <w:autoSpaceDN w:val="0"/>
        <w:adjustRightInd w:val="0"/>
        <w:rPr>
          <w:rFonts w:cs="Times New Roman"/>
          <w:szCs w:val="24"/>
        </w:rPr>
      </w:pPr>
    </w:p>
    <w:p w14:paraId="5B8897A5" w14:textId="222E6A5D" w:rsidR="00911982" w:rsidRDefault="00911982" w:rsidP="00911982">
      <w:pPr>
        <w:autoSpaceDE w:val="0"/>
        <w:autoSpaceDN w:val="0"/>
        <w:adjustRightInd w:val="0"/>
        <w:rPr>
          <w:rFonts w:cs="Times New Roman"/>
          <w:szCs w:val="24"/>
        </w:rPr>
      </w:pPr>
    </w:p>
    <w:p w14:paraId="69B327F5" w14:textId="1910C85C" w:rsidR="00911982" w:rsidRDefault="00911982" w:rsidP="00911982">
      <w:pPr>
        <w:autoSpaceDE w:val="0"/>
        <w:autoSpaceDN w:val="0"/>
        <w:adjustRightInd w:val="0"/>
        <w:rPr>
          <w:rFonts w:cs="Times New Roman"/>
          <w:szCs w:val="24"/>
        </w:rPr>
      </w:pPr>
    </w:p>
    <w:p w14:paraId="33E3298B" w14:textId="2CBD9536" w:rsidR="00911982" w:rsidRDefault="00911982" w:rsidP="00911982">
      <w:pPr>
        <w:autoSpaceDE w:val="0"/>
        <w:autoSpaceDN w:val="0"/>
        <w:adjustRightInd w:val="0"/>
        <w:rPr>
          <w:rFonts w:cs="Times New Roman"/>
          <w:szCs w:val="24"/>
        </w:rPr>
      </w:pPr>
    </w:p>
    <w:p w14:paraId="0011F8AF" w14:textId="4C7E10AA" w:rsidR="00911982" w:rsidRDefault="00911982" w:rsidP="00911982">
      <w:pPr>
        <w:autoSpaceDE w:val="0"/>
        <w:autoSpaceDN w:val="0"/>
        <w:adjustRightInd w:val="0"/>
        <w:rPr>
          <w:rFonts w:cs="Times New Roman"/>
          <w:szCs w:val="24"/>
        </w:rPr>
      </w:pPr>
    </w:p>
    <w:p w14:paraId="1B52215A" w14:textId="38D647C5" w:rsidR="00911982" w:rsidRDefault="00911982" w:rsidP="00911982">
      <w:pPr>
        <w:autoSpaceDE w:val="0"/>
        <w:autoSpaceDN w:val="0"/>
        <w:adjustRightInd w:val="0"/>
        <w:rPr>
          <w:rFonts w:cs="Times New Roman"/>
          <w:szCs w:val="24"/>
        </w:rPr>
      </w:pPr>
    </w:p>
    <w:p w14:paraId="0F8C34C0" w14:textId="10D0579C" w:rsidR="00911982" w:rsidRDefault="00911982" w:rsidP="00911982">
      <w:pPr>
        <w:autoSpaceDE w:val="0"/>
        <w:autoSpaceDN w:val="0"/>
        <w:adjustRightInd w:val="0"/>
        <w:rPr>
          <w:rFonts w:cs="Times New Roman"/>
          <w:szCs w:val="24"/>
        </w:rPr>
      </w:pPr>
    </w:p>
    <w:p w14:paraId="23BDB572" w14:textId="3FE68B9D" w:rsidR="00911982" w:rsidRDefault="00911982" w:rsidP="00911982">
      <w:pPr>
        <w:autoSpaceDE w:val="0"/>
        <w:autoSpaceDN w:val="0"/>
        <w:adjustRightInd w:val="0"/>
        <w:rPr>
          <w:rFonts w:cs="Times New Roman"/>
          <w:szCs w:val="24"/>
        </w:rPr>
      </w:pPr>
    </w:p>
    <w:p w14:paraId="0A86DE87" w14:textId="7313A85F" w:rsidR="00911982" w:rsidRDefault="00911982" w:rsidP="00911982">
      <w:pPr>
        <w:autoSpaceDE w:val="0"/>
        <w:autoSpaceDN w:val="0"/>
        <w:adjustRightInd w:val="0"/>
        <w:rPr>
          <w:rFonts w:cs="Times New Roman"/>
          <w:szCs w:val="24"/>
        </w:rPr>
      </w:pPr>
    </w:p>
    <w:p w14:paraId="542F41B7" w14:textId="33F8F767" w:rsidR="00911982" w:rsidRDefault="00911982" w:rsidP="00911982">
      <w:pPr>
        <w:autoSpaceDE w:val="0"/>
        <w:autoSpaceDN w:val="0"/>
        <w:adjustRightInd w:val="0"/>
        <w:rPr>
          <w:rFonts w:cs="Times New Roman"/>
          <w:szCs w:val="24"/>
        </w:rPr>
      </w:pPr>
    </w:p>
    <w:p w14:paraId="7137EFCD" w14:textId="09F76CF5" w:rsidR="00911982" w:rsidRDefault="00911982" w:rsidP="00911982">
      <w:pPr>
        <w:autoSpaceDE w:val="0"/>
        <w:autoSpaceDN w:val="0"/>
        <w:adjustRightInd w:val="0"/>
        <w:rPr>
          <w:rFonts w:cs="Times New Roman"/>
          <w:szCs w:val="24"/>
        </w:rPr>
      </w:pPr>
    </w:p>
    <w:p w14:paraId="741BB29D" w14:textId="65A03967" w:rsidR="00911982" w:rsidRDefault="00911982" w:rsidP="00911982">
      <w:pPr>
        <w:autoSpaceDE w:val="0"/>
        <w:autoSpaceDN w:val="0"/>
        <w:adjustRightInd w:val="0"/>
        <w:rPr>
          <w:rFonts w:cs="Times New Roman"/>
          <w:szCs w:val="24"/>
        </w:rPr>
      </w:pPr>
    </w:p>
    <w:p w14:paraId="4EC714BC" w14:textId="467354DA" w:rsidR="00911982" w:rsidRDefault="00911982" w:rsidP="00911982">
      <w:pPr>
        <w:autoSpaceDE w:val="0"/>
        <w:autoSpaceDN w:val="0"/>
        <w:adjustRightInd w:val="0"/>
        <w:rPr>
          <w:rFonts w:cs="Times New Roman"/>
          <w:szCs w:val="24"/>
        </w:rPr>
      </w:pPr>
    </w:p>
    <w:p w14:paraId="518AFFE4" w14:textId="5C87BFB8" w:rsidR="00911982" w:rsidRDefault="00911982" w:rsidP="00911982">
      <w:pPr>
        <w:autoSpaceDE w:val="0"/>
        <w:autoSpaceDN w:val="0"/>
        <w:adjustRightInd w:val="0"/>
        <w:rPr>
          <w:rFonts w:cs="Times New Roman"/>
          <w:szCs w:val="24"/>
        </w:rPr>
      </w:pPr>
    </w:p>
    <w:p w14:paraId="5ED2D347" w14:textId="5900380A" w:rsidR="00911982" w:rsidRDefault="00911982" w:rsidP="00911982">
      <w:pPr>
        <w:autoSpaceDE w:val="0"/>
        <w:autoSpaceDN w:val="0"/>
        <w:adjustRightInd w:val="0"/>
        <w:rPr>
          <w:rFonts w:cs="Times New Roman"/>
          <w:szCs w:val="24"/>
        </w:rPr>
      </w:pPr>
    </w:p>
    <w:p w14:paraId="7872AB06" w14:textId="62180BC0" w:rsidR="00911982" w:rsidRDefault="00911982" w:rsidP="00911982">
      <w:pPr>
        <w:autoSpaceDE w:val="0"/>
        <w:autoSpaceDN w:val="0"/>
        <w:adjustRightInd w:val="0"/>
        <w:rPr>
          <w:rFonts w:cs="Times New Roman"/>
          <w:szCs w:val="24"/>
        </w:rPr>
      </w:pPr>
    </w:p>
    <w:p w14:paraId="09A34147" w14:textId="12C1EAE1" w:rsidR="00911982" w:rsidRDefault="00911982" w:rsidP="00911982">
      <w:pPr>
        <w:autoSpaceDE w:val="0"/>
        <w:autoSpaceDN w:val="0"/>
        <w:adjustRightInd w:val="0"/>
        <w:rPr>
          <w:rFonts w:cs="Times New Roman"/>
          <w:szCs w:val="24"/>
        </w:rPr>
      </w:pPr>
    </w:p>
    <w:p w14:paraId="345C6679" w14:textId="77777777" w:rsidR="00911982" w:rsidRDefault="00911982" w:rsidP="00911982">
      <w:pPr>
        <w:autoSpaceDE w:val="0"/>
        <w:autoSpaceDN w:val="0"/>
        <w:adjustRightInd w:val="0"/>
        <w:rPr>
          <w:rFonts w:cs="Times New Roman"/>
          <w:szCs w:val="24"/>
        </w:rPr>
      </w:pPr>
    </w:p>
    <w:p w14:paraId="03B1C9B2" w14:textId="728584EE" w:rsidR="00911982" w:rsidRDefault="00911982" w:rsidP="00911982">
      <w:pPr>
        <w:autoSpaceDE w:val="0"/>
        <w:autoSpaceDN w:val="0"/>
        <w:adjustRightInd w:val="0"/>
        <w:rPr>
          <w:rFonts w:cs="Times New Roman"/>
          <w:szCs w:val="24"/>
        </w:rPr>
      </w:pPr>
    </w:p>
    <w:p w14:paraId="07499860" w14:textId="77777777" w:rsidR="00DF08DC" w:rsidRDefault="00DF08DC" w:rsidP="00911982">
      <w:pPr>
        <w:autoSpaceDE w:val="0"/>
        <w:autoSpaceDN w:val="0"/>
        <w:adjustRightInd w:val="0"/>
        <w:rPr>
          <w:rFonts w:cs="Times New Roman"/>
          <w:szCs w:val="24"/>
        </w:rPr>
      </w:pPr>
    </w:p>
    <w:p w14:paraId="6EE6CFE5" w14:textId="27C27B08" w:rsidR="00911982" w:rsidRDefault="00911982" w:rsidP="00911982">
      <w:pPr>
        <w:autoSpaceDE w:val="0"/>
        <w:autoSpaceDN w:val="0"/>
        <w:adjustRightInd w:val="0"/>
        <w:rPr>
          <w:rFonts w:cs="Times New Roman"/>
          <w:szCs w:val="24"/>
        </w:rPr>
      </w:pPr>
    </w:p>
    <w:p w14:paraId="6AF698AD" w14:textId="114C1C96" w:rsidR="00911982" w:rsidRDefault="00911982" w:rsidP="00911982">
      <w:pPr>
        <w:autoSpaceDE w:val="0"/>
        <w:autoSpaceDN w:val="0"/>
        <w:adjustRightInd w:val="0"/>
        <w:rPr>
          <w:rFonts w:cs="Times New Roman"/>
          <w:szCs w:val="24"/>
        </w:rPr>
      </w:pPr>
    </w:p>
    <w:p w14:paraId="2FF16429" w14:textId="5A9C3F2D" w:rsidR="00911982" w:rsidRDefault="00911982" w:rsidP="00911982">
      <w:pPr>
        <w:autoSpaceDE w:val="0"/>
        <w:autoSpaceDN w:val="0"/>
        <w:adjustRightInd w:val="0"/>
        <w:rPr>
          <w:rFonts w:cs="Times New Roman"/>
          <w:szCs w:val="24"/>
        </w:rPr>
      </w:pPr>
    </w:p>
    <w:p w14:paraId="373089B9" w14:textId="5C205905" w:rsidR="00911982" w:rsidRDefault="00911982" w:rsidP="00911982">
      <w:pPr>
        <w:autoSpaceDE w:val="0"/>
        <w:autoSpaceDN w:val="0"/>
        <w:adjustRightInd w:val="0"/>
        <w:rPr>
          <w:rFonts w:cs="Times New Roman"/>
          <w:szCs w:val="24"/>
        </w:rPr>
      </w:pPr>
    </w:p>
    <w:p w14:paraId="6003F459" w14:textId="77777777" w:rsidR="00911982" w:rsidRPr="006A4CD7" w:rsidRDefault="00911982" w:rsidP="00911982">
      <w:pPr>
        <w:autoSpaceDE w:val="0"/>
        <w:autoSpaceDN w:val="0"/>
        <w:adjustRightInd w:val="0"/>
      </w:pPr>
    </w:p>
    <w:p w14:paraId="2987244E" w14:textId="552BFF2F" w:rsidR="00671B7F" w:rsidRDefault="006A4CD7" w:rsidP="00911982">
      <w:pPr>
        <w:pStyle w:val="Heading2"/>
      </w:pPr>
      <w:bookmarkStart w:id="183" w:name="_Toc117512470"/>
      <w:r w:rsidRPr="006A4CD7">
        <w:lastRenderedPageBreak/>
        <w:t>10.2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w:t>
      </w:r>
      <w:r w:rsidR="00911982">
        <w:t>With</w:t>
      </w:r>
      <w:bookmarkEnd w:id="183"/>
      <w:r w:rsidR="00911982">
        <w:t xml:space="preserve"> </w:t>
      </w:r>
    </w:p>
    <w:p w14:paraId="748F2A3D" w14:textId="3A474430" w:rsidR="006A4CD7" w:rsidRPr="006A4CD7" w:rsidRDefault="00911982" w:rsidP="00911982">
      <w:pPr>
        <w:pStyle w:val="Heading2"/>
      </w:pPr>
      <w:bookmarkStart w:id="184" w:name="_Toc117512471"/>
      <w:r>
        <w:t>Affirmative Defense of “Same Decision”</w:t>
      </w:r>
      <w:bookmarkEnd w:id="184"/>
    </w:p>
    <w:p w14:paraId="33E6E4E0" w14:textId="721F5882" w:rsidR="007A5BA1" w:rsidRDefault="006A4CD7" w:rsidP="00911982">
      <w:pPr>
        <w:rPr>
          <w:rFonts w:cs="Times New Roman"/>
          <w:szCs w:val="24"/>
        </w:rPr>
      </w:pPr>
      <w:r w:rsidRPr="006A4CD7">
        <w:rPr>
          <w:rFonts w:cs="Times New Roman"/>
          <w:szCs w:val="24"/>
        </w:rPr>
        <w:tab/>
      </w:r>
      <w:bookmarkStart w:id="185" w:name="_Hlk86420724"/>
    </w:p>
    <w:bookmarkEnd w:id="185"/>
    <w:p w14:paraId="79C7F834" w14:textId="163CEDC2" w:rsidR="00671B7F" w:rsidRPr="00671B7F" w:rsidRDefault="006A4CD7" w:rsidP="00671B7F">
      <w:pPr>
        <w:ind w:firstLine="720"/>
        <w:rPr>
          <w:rFonts w:cs="Times New Roman"/>
          <w:szCs w:val="24"/>
        </w:rPr>
      </w:pPr>
      <w:r w:rsidRPr="006A4CD7">
        <w:rPr>
          <w:rFonts w:cs="Times New Roman"/>
          <w:szCs w:val="24"/>
        </w:rPr>
        <w:t>.</w:t>
      </w:r>
      <w:r w:rsidR="00671B7F" w:rsidRPr="00671B7F">
        <w:rPr>
          <w:rFonts w:cs="Times New Roman"/>
          <w:szCs w:val="24"/>
        </w:rPr>
        <w:t xml:space="preserve"> For the plaintiff’s claim that [he] [she] [other pronoun] was [discharged] [not hired] [not promoted] [demoted] [</w:t>
      </w:r>
      <w:r w:rsidR="00671B7F" w:rsidRPr="007D27AF">
        <w:rPr>
          <w:rFonts w:cs="Times New Roman"/>
          <w:i/>
          <w:iCs/>
          <w:szCs w:val="24"/>
          <w:u w:val="single"/>
        </w:rPr>
        <w:t>state other adverse action</w:t>
      </w:r>
      <w:r w:rsidR="00671B7F" w:rsidRPr="00671B7F">
        <w:rPr>
          <w:rFonts w:cs="Times New Roman"/>
          <w:szCs w:val="24"/>
        </w:rPr>
        <w:t xml:space="preserve">] by the defendant because of the plaintiff’s [[race] [color] [religion] [sex] [national origin]], the plaintiff has the burden of proving the following elements by a preponderance of the evidence: </w:t>
      </w:r>
    </w:p>
    <w:p w14:paraId="0789D7EF" w14:textId="77777777" w:rsidR="00671B7F" w:rsidRPr="00671B7F" w:rsidRDefault="00671B7F" w:rsidP="00671B7F">
      <w:pPr>
        <w:ind w:firstLine="720"/>
        <w:rPr>
          <w:rFonts w:cs="Times New Roman"/>
          <w:szCs w:val="24"/>
        </w:rPr>
      </w:pPr>
    </w:p>
    <w:p w14:paraId="4E2D94CF" w14:textId="77777777" w:rsidR="00671B7F" w:rsidRPr="00671B7F" w:rsidRDefault="00671B7F" w:rsidP="00671B7F">
      <w:pPr>
        <w:ind w:firstLine="720"/>
        <w:rPr>
          <w:rFonts w:cs="Times New Roman"/>
          <w:szCs w:val="24"/>
        </w:rPr>
      </w:pPr>
      <w:r w:rsidRPr="00671B7F">
        <w:rPr>
          <w:rFonts w:cs="Times New Roman"/>
          <w:szCs w:val="24"/>
        </w:rPr>
        <w:t>1. the plaintiff was [discharged] [not hired] [not promoted] [demoted] [</w:t>
      </w:r>
      <w:r w:rsidRPr="007D27AF">
        <w:rPr>
          <w:rFonts w:cs="Times New Roman"/>
          <w:i/>
          <w:iCs/>
          <w:szCs w:val="24"/>
          <w:u w:val="single"/>
        </w:rPr>
        <w:t>state other adverse action</w:t>
      </w:r>
      <w:r w:rsidRPr="00671B7F">
        <w:rPr>
          <w:rFonts w:cs="Times New Roman"/>
          <w:szCs w:val="24"/>
        </w:rPr>
        <w:t xml:space="preserve">] by the defendant; [and] </w:t>
      </w:r>
    </w:p>
    <w:p w14:paraId="45B2B0C0" w14:textId="77777777" w:rsidR="00671B7F" w:rsidRPr="00671B7F" w:rsidRDefault="00671B7F" w:rsidP="00671B7F">
      <w:pPr>
        <w:ind w:firstLine="720"/>
        <w:rPr>
          <w:rFonts w:cs="Times New Roman"/>
          <w:szCs w:val="24"/>
        </w:rPr>
      </w:pPr>
    </w:p>
    <w:p w14:paraId="733390A3" w14:textId="77777777" w:rsidR="00671B7F" w:rsidRPr="00671B7F" w:rsidRDefault="00671B7F" w:rsidP="00671B7F">
      <w:pPr>
        <w:ind w:firstLine="720"/>
        <w:rPr>
          <w:rFonts w:cs="Times New Roman"/>
          <w:szCs w:val="24"/>
        </w:rPr>
      </w:pPr>
      <w:r w:rsidRPr="00671B7F">
        <w:rPr>
          <w:rFonts w:cs="Times New Roman"/>
          <w:szCs w:val="24"/>
        </w:rPr>
        <w:t>[2. the defendant [discharged] [failed to hire] [failed to promote] [demoted] [</w:t>
      </w:r>
      <w:r w:rsidRPr="007D27AF">
        <w:rPr>
          <w:rFonts w:cs="Times New Roman"/>
          <w:i/>
          <w:iCs/>
          <w:szCs w:val="24"/>
          <w:u w:val="single"/>
        </w:rPr>
        <w:t>state other adverse action</w:t>
      </w:r>
      <w:r w:rsidRPr="00671B7F">
        <w:rPr>
          <w:rFonts w:cs="Times New Roman"/>
          <w:szCs w:val="24"/>
        </w:rPr>
        <w:t xml:space="preserve">] the plaintiff because of the plaintiff’s [race] [color] [religion] [sex] [national origin] [.] [;]] </w:t>
      </w:r>
    </w:p>
    <w:p w14:paraId="1C40A3B8" w14:textId="77777777" w:rsidR="00671B7F" w:rsidRPr="00671B7F" w:rsidRDefault="00671B7F" w:rsidP="00671B7F">
      <w:pPr>
        <w:ind w:firstLine="720"/>
        <w:rPr>
          <w:rFonts w:cs="Times New Roman"/>
          <w:szCs w:val="24"/>
        </w:rPr>
      </w:pPr>
    </w:p>
    <w:p w14:paraId="76D58FE6" w14:textId="77777777" w:rsidR="00671B7F" w:rsidRPr="00671B7F" w:rsidRDefault="00671B7F" w:rsidP="00671B7F">
      <w:pPr>
        <w:ind w:firstLine="720"/>
        <w:rPr>
          <w:rFonts w:cs="Times New Roman"/>
          <w:szCs w:val="24"/>
        </w:rPr>
      </w:pPr>
      <w:r w:rsidRPr="00671B7F">
        <w:rPr>
          <w:rFonts w:cs="Times New Roman"/>
          <w:szCs w:val="24"/>
        </w:rPr>
        <w:t xml:space="preserve">[or] </w:t>
      </w:r>
    </w:p>
    <w:p w14:paraId="79FE6463" w14:textId="77777777" w:rsidR="00671B7F" w:rsidRPr="00671B7F" w:rsidRDefault="00671B7F" w:rsidP="00671B7F">
      <w:pPr>
        <w:ind w:firstLine="720"/>
        <w:rPr>
          <w:rFonts w:cs="Times New Roman"/>
          <w:szCs w:val="24"/>
        </w:rPr>
      </w:pPr>
    </w:p>
    <w:p w14:paraId="2F5E114B" w14:textId="77777777" w:rsidR="00671B7F" w:rsidRPr="00671B7F" w:rsidRDefault="00671B7F" w:rsidP="00671B7F">
      <w:pPr>
        <w:ind w:firstLine="720"/>
        <w:rPr>
          <w:rFonts w:cs="Times New Roman"/>
          <w:szCs w:val="24"/>
        </w:rPr>
      </w:pPr>
      <w:r w:rsidRPr="00671B7F">
        <w:rPr>
          <w:rFonts w:cs="Times New Roman"/>
          <w:szCs w:val="24"/>
        </w:rPr>
        <w:t>[2. the plaintiff’s [race] [color] [religion] [sex] [national origin] was a motivating factor in the defendant’s decision to [discharge] [not hire] [not promote] [demote] [</w:t>
      </w:r>
      <w:r w:rsidRPr="007D27AF">
        <w:rPr>
          <w:rFonts w:cs="Times New Roman"/>
          <w:i/>
          <w:iCs/>
          <w:szCs w:val="24"/>
          <w:u w:val="single"/>
        </w:rPr>
        <w:t>state other adverse action</w:t>
      </w:r>
      <w:r w:rsidRPr="00671B7F">
        <w:rPr>
          <w:rFonts w:cs="Times New Roman"/>
          <w:szCs w:val="24"/>
        </w:rPr>
        <w:t xml:space="preserve">] the plaintiff] [.] [;] </w:t>
      </w:r>
    </w:p>
    <w:p w14:paraId="46CA304E" w14:textId="77777777" w:rsidR="00671B7F" w:rsidRPr="00671B7F" w:rsidRDefault="00671B7F" w:rsidP="00671B7F">
      <w:pPr>
        <w:ind w:firstLine="720"/>
        <w:rPr>
          <w:rFonts w:cs="Times New Roman"/>
          <w:szCs w:val="24"/>
        </w:rPr>
      </w:pPr>
    </w:p>
    <w:p w14:paraId="55ABF3CE" w14:textId="77777777" w:rsidR="00671B7F" w:rsidRPr="00671B7F" w:rsidRDefault="00671B7F" w:rsidP="00671B7F">
      <w:pPr>
        <w:ind w:firstLine="720"/>
        <w:rPr>
          <w:rFonts w:cs="Times New Roman"/>
          <w:szCs w:val="24"/>
        </w:rPr>
      </w:pPr>
      <w:r w:rsidRPr="00671B7F">
        <w:rPr>
          <w:rFonts w:cs="Times New Roman"/>
          <w:szCs w:val="24"/>
        </w:rPr>
        <w:t xml:space="preserve">[3. the plaintiff was qualified for [his] [her] [other pronoun] position [.] [;] [and] </w:t>
      </w:r>
    </w:p>
    <w:p w14:paraId="40B50D03" w14:textId="77777777" w:rsidR="00671B7F" w:rsidRPr="00671B7F" w:rsidRDefault="00671B7F" w:rsidP="00671B7F">
      <w:pPr>
        <w:ind w:firstLine="720"/>
        <w:rPr>
          <w:rFonts w:cs="Times New Roman"/>
          <w:szCs w:val="24"/>
        </w:rPr>
      </w:pPr>
    </w:p>
    <w:p w14:paraId="7CC10A7F" w14:textId="77777777" w:rsidR="00671B7F" w:rsidRPr="00671B7F" w:rsidRDefault="00671B7F" w:rsidP="00671B7F">
      <w:pPr>
        <w:ind w:firstLine="720"/>
        <w:rPr>
          <w:rFonts w:cs="Times New Roman"/>
          <w:szCs w:val="24"/>
        </w:rPr>
      </w:pPr>
      <w:r w:rsidRPr="00671B7F">
        <w:rPr>
          <w:rFonts w:cs="Times New Roman"/>
          <w:szCs w:val="24"/>
        </w:rPr>
        <w:t xml:space="preserve">[4. similarly situated individuals outside the plaintiff’s [race] [color] [religion] [sex] [national origin] were treated more favorably.] </w:t>
      </w:r>
    </w:p>
    <w:p w14:paraId="14BCA53F" w14:textId="77777777" w:rsidR="00671B7F" w:rsidRPr="00671B7F" w:rsidRDefault="00671B7F" w:rsidP="00671B7F">
      <w:pPr>
        <w:ind w:firstLine="720"/>
        <w:rPr>
          <w:rFonts w:cs="Times New Roman"/>
          <w:szCs w:val="24"/>
        </w:rPr>
      </w:pPr>
    </w:p>
    <w:p w14:paraId="241C2626" w14:textId="77777777" w:rsidR="00671B7F" w:rsidRPr="00671B7F" w:rsidRDefault="00671B7F" w:rsidP="00671B7F">
      <w:pPr>
        <w:ind w:firstLine="720"/>
        <w:rPr>
          <w:rFonts w:cs="Times New Roman"/>
          <w:szCs w:val="24"/>
        </w:rPr>
      </w:pPr>
      <w:r w:rsidRPr="00671B7F">
        <w:rPr>
          <w:rFonts w:cs="Times New Roman"/>
          <w:szCs w:val="24"/>
        </w:rPr>
        <w:t>The defendant has the burden of proving by a preponderance of the evidence both that the defendant’s decision to [</w:t>
      </w:r>
      <w:r w:rsidRPr="007D27AF">
        <w:rPr>
          <w:rFonts w:cs="Times New Roman"/>
          <w:i/>
          <w:iCs/>
          <w:szCs w:val="24"/>
          <w:u w:val="single"/>
        </w:rPr>
        <w:t>state adverse action</w:t>
      </w:r>
      <w:r w:rsidRPr="00671B7F">
        <w:rPr>
          <w:rFonts w:cs="Times New Roman"/>
          <w:szCs w:val="24"/>
        </w:rPr>
        <w:t>] also was motivated by a lawful reason and that the defendant would have made the same decision to [</w:t>
      </w:r>
      <w:r w:rsidRPr="007D27AF">
        <w:rPr>
          <w:rFonts w:cs="Times New Roman"/>
          <w:i/>
          <w:iCs/>
          <w:szCs w:val="24"/>
          <w:u w:val="single"/>
        </w:rPr>
        <w:t>state adverse action</w:t>
      </w:r>
      <w:r w:rsidRPr="00671B7F">
        <w:rPr>
          <w:rFonts w:cs="Times New Roman"/>
          <w:szCs w:val="24"/>
        </w:rPr>
        <w:t>] even if the plaintiff’s [race] [color] [religion] [sex] [national origin] had played no role in the defendant’s decision to [</w:t>
      </w:r>
      <w:r w:rsidRPr="007D27AF">
        <w:rPr>
          <w:rFonts w:cs="Times New Roman"/>
          <w:i/>
          <w:iCs/>
          <w:szCs w:val="24"/>
          <w:u w:val="single"/>
        </w:rPr>
        <w:t>state adverse action</w:t>
      </w:r>
      <w:r w:rsidRPr="00671B7F">
        <w:rPr>
          <w:rFonts w:cs="Times New Roman"/>
          <w:szCs w:val="24"/>
        </w:rPr>
        <w:t>].</w:t>
      </w:r>
    </w:p>
    <w:p w14:paraId="66F0457C" w14:textId="77777777" w:rsidR="00671B7F" w:rsidRPr="00671B7F" w:rsidRDefault="00671B7F" w:rsidP="00671B7F">
      <w:pPr>
        <w:ind w:firstLine="720"/>
        <w:rPr>
          <w:rFonts w:cs="Times New Roman"/>
          <w:szCs w:val="24"/>
        </w:rPr>
      </w:pPr>
    </w:p>
    <w:p w14:paraId="2AA6A367" w14:textId="77777777" w:rsidR="00671B7F" w:rsidRPr="00671B7F" w:rsidRDefault="00671B7F" w:rsidP="00671B7F">
      <w:pPr>
        <w:jc w:val="center"/>
        <w:rPr>
          <w:rFonts w:cs="Times New Roman"/>
          <w:b/>
          <w:bCs/>
          <w:szCs w:val="24"/>
        </w:rPr>
      </w:pPr>
      <w:r w:rsidRPr="00671B7F">
        <w:rPr>
          <w:rFonts w:cs="Times New Roman"/>
          <w:b/>
          <w:bCs/>
          <w:szCs w:val="24"/>
        </w:rPr>
        <w:t>Comment</w:t>
      </w:r>
    </w:p>
    <w:p w14:paraId="55D77BD6" w14:textId="77777777" w:rsidR="00671B7F" w:rsidRPr="00671B7F" w:rsidRDefault="00671B7F" w:rsidP="00671B7F">
      <w:pPr>
        <w:jc w:val="center"/>
        <w:rPr>
          <w:rFonts w:cs="Times New Roman"/>
          <w:szCs w:val="24"/>
        </w:rPr>
      </w:pPr>
    </w:p>
    <w:p w14:paraId="46B69D47" w14:textId="77777777" w:rsidR="00671B7F" w:rsidRPr="00671B7F" w:rsidRDefault="00671B7F" w:rsidP="00671B7F">
      <w:pPr>
        <w:ind w:firstLine="720"/>
        <w:rPr>
          <w:rFonts w:cs="Times New Roman"/>
          <w:szCs w:val="24"/>
        </w:rPr>
      </w:pPr>
      <w:r w:rsidRPr="00671B7F">
        <w:rPr>
          <w:rFonts w:cs="Times New Roman"/>
          <w:szCs w:val="24"/>
        </w:rPr>
        <w:t xml:space="preserve">When the defendant is asserting a “same decision” (or “same action”) affirmative defense in a “mixed motive” case, it may be appropriate to allow the plaintiff to choose between the two versions of the second element shown above.  As explained by the Supreme Court, Congress supplemented Title VII in 1991 to allow a plaintiff to prevail merely by showing that a protected trait or characteristic was a “motivating factor” in a defendant’s challenged employment practice.  Civil Rights Act of 1991, § 107, 105 Stat. 1075, codified at 42 U.S.C. § 2000e-2(m); </w:t>
      </w:r>
      <w:r w:rsidRPr="00671B7F">
        <w:rPr>
          <w:rFonts w:cs="Times New Roman"/>
          <w:i/>
          <w:iCs/>
          <w:szCs w:val="24"/>
        </w:rPr>
        <w:t xml:space="preserve">see Bostock v. Clayton </w:t>
      </w:r>
      <w:proofErr w:type="spellStart"/>
      <w:r w:rsidRPr="00671B7F">
        <w:rPr>
          <w:rFonts w:cs="Times New Roman"/>
          <w:i/>
          <w:iCs/>
          <w:szCs w:val="24"/>
        </w:rPr>
        <w:t>Cnty</w:t>
      </w:r>
      <w:proofErr w:type="spellEnd"/>
      <w:r w:rsidRPr="00671B7F">
        <w:rPr>
          <w:rFonts w:cs="Times New Roman"/>
          <w:i/>
          <w:iCs/>
          <w:szCs w:val="24"/>
        </w:rPr>
        <w:t>.</w:t>
      </w:r>
      <w:r w:rsidRPr="00671B7F">
        <w:rPr>
          <w:rFonts w:cs="Times New Roman"/>
          <w:szCs w:val="24"/>
        </w:rPr>
        <w:t xml:space="preserve">, 140 S. Ct. 1731, 1739-40 (2020).  In </w:t>
      </w:r>
      <w:r w:rsidRPr="00671B7F">
        <w:rPr>
          <w:rFonts w:cs="Times New Roman"/>
          <w:i/>
          <w:iCs/>
          <w:szCs w:val="24"/>
        </w:rPr>
        <w:t>Bostock</w:t>
      </w:r>
      <w:r w:rsidRPr="00671B7F">
        <w:rPr>
          <w:rFonts w:cs="Times New Roman"/>
          <w:szCs w:val="24"/>
        </w:rPr>
        <w:t xml:space="preserve">, the Supreme Court described the “motivating factor” test as a “more forgiving standard.”  </w:t>
      </w:r>
      <w:r w:rsidRPr="00671B7F">
        <w:rPr>
          <w:rFonts w:cs="Times New Roman"/>
          <w:i/>
          <w:iCs/>
          <w:szCs w:val="24"/>
        </w:rPr>
        <w:t>Id</w:t>
      </w:r>
      <w:r w:rsidRPr="00671B7F">
        <w:rPr>
          <w:rFonts w:cs="Times New Roman"/>
          <w:szCs w:val="24"/>
        </w:rPr>
        <w:t xml:space="preserve">. at 1740. Because it is a more forgiving standard, a plaintiff asserting a claim under Title VII should be allowed to choose whether to use that standard rather than “but-for causation.”  When a plaintiff proves a violation under 42 U.S.C. § 2000e-2(m), using the more forgiving standard of “motivating factor,” however, a defendant may assert a “same decision” (or “same action”) affirmative defense under § 2000e-5(g)(2)(B) in an effort to foreclose compensatory and punitive damages. </w:t>
      </w:r>
    </w:p>
    <w:p w14:paraId="6B65D0EC" w14:textId="2BE345CD" w:rsidR="00671B7F" w:rsidRPr="00671B7F" w:rsidRDefault="00930EA8" w:rsidP="00671B7F">
      <w:pPr>
        <w:ind w:firstLine="720"/>
        <w:rPr>
          <w:rFonts w:cs="Times New Roman"/>
          <w:szCs w:val="24"/>
        </w:rPr>
      </w:pPr>
      <w:r w:rsidRPr="00E01DA9">
        <w:rPr>
          <w:rFonts w:cs="Times New Roman"/>
          <w:szCs w:val="24"/>
        </w:rPr>
        <w:lastRenderedPageBreak/>
        <w:t>To establish a prima facie case of disparate treatment under Title VII, a</w:t>
      </w:r>
      <w:r>
        <w:rPr>
          <w:rFonts w:cs="Times New Roman"/>
          <w:szCs w:val="24"/>
        </w:rPr>
        <w:t xml:space="preserve"> </w:t>
      </w:r>
      <w:r w:rsidRPr="00E01DA9">
        <w:rPr>
          <w:rFonts w:cs="Times New Roman"/>
          <w:szCs w:val="24"/>
        </w:rPr>
        <w:t>plaintiff must show “(1)</w:t>
      </w:r>
      <w:r>
        <w:rPr>
          <w:rFonts w:cs="Times New Roman"/>
          <w:szCs w:val="24"/>
        </w:rPr>
        <w:t xml:space="preserve"> </w:t>
      </w:r>
      <w:r w:rsidRPr="00E01DA9">
        <w:rPr>
          <w:rFonts w:cs="Times New Roman"/>
          <w:szCs w:val="24"/>
        </w:rPr>
        <w:t>he is a member of a protected class; (2) he was qualified</w:t>
      </w:r>
      <w:r>
        <w:rPr>
          <w:rFonts w:cs="Times New Roman"/>
          <w:szCs w:val="24"/>
        </w:rPr>
        <w:t xml:space="preserve"> </w:t>
      </w:r>
      <w:r w:rsidRPr="00E01DA9">
        <w:rPr>
          <w:rFonts w:cs="Times New Roman"/>
          <w:szCs w:val="24"/>
        </w:rPr>
        <w:t>for his position; (3) he experienced an adverse employment action; and (4)</w:t>
      </w:r>
      <w:r>
        <w:rPr>
          <w:rFonts w:cs="Times New Roman"/>
          <w:szCs w:val="24"/>
        </w:rPr>
        <w:t xml:space="preserve"> </w:t>
      </w:r>
      <w:r w:rsidRPr="00E01DA9">
        <w:rPr>
          <w:rFonts w:cs="Times New Roman"/>
          <w:szCs w:val="24"/>
        </w:rPr>
        <w:t>similarly situated individuals outside his protected class were treated more</w:t>
      </w:r>
      <w:r>
        <w:rPr>
          <w:rFonts w:cs="Times New Roman"/>
          <w:szCs w:val="24"/>
        </w:rPr>
        <w:t xml:space="preserve"> </w:t>
      </w:r>
      <w:r w:rsidRPr="00E01DA9">
        <w:rPr>
          <w:rFonts w:cs="Times New Roman"/>
          <w:szCs w:val="24"/>
        </w:rPr>
        <w:t xml:space="preserve">favorably.” </w:t>
      </w:r>
      <w:r>
        <w:rPr>
          <w:rFonts w:cs="Times New Roman"/>
          <w:szCs w:val="24"/>
        </w:rPr>
        <w:t xml:space="preserve"> </w:t>
      </w:r>
      <w:r w:rsidRPr="00E01DA9">
        <w:rPr>
          <w:rFonts w:cs="Times New Roman"/>
          <w:i/>
          <w:iCs/>
          <w:szCs w:val="24"/>
        </w:rPr>
        <w:t xml:space="preserve">Berry v. </w:t>
      </w:r>
      <w:proofErr w:type="spellStart"/>
      <w:r w:rsidRPr="00E01DA9">
        <w:rPr>
          <w:rFonts w:cs="Times New Roman"/>
          <w:i/>
          <w:iCs/>
          <w:szCs w:val="24"/>
        </w:rPr>
        <w:t>Dep't</w:t>
      </w:r>
      <w:proofErr w:type="spellEnd"/>
      <w:r w:rsidRPr="00E01DA9">
        <w:rPr>
          <w:rFonts w:cs="Times New Roman"/>
          <w:i/>
          <w:iCs/>
          <w:szCs w:val="24"/>
        </w:rPr>
        <w:t xml:space="preserve"> of Soc. Servs</w:t>
      </w:r>
      <w:r w:rsidRPr="00E01DA9">
        <w:rPr>
          <w:rFonts w:cs="Times New Roman"/>
          <w:szCs w:val="24"/>
        </w:rPr>
        <w:t>., 447 F.3d 642, 656 (9th Cir. 2006).</w:t>
      </w:r>
      <w:r w:rsidR="00671B7F" w:rsidRPr="00671B7F">
        <w:rPr>
          <w:rFonts w:cs="Times New Roman"/>
          <w:szCs w:val="24"/>
        </w:rPr>
        <w:t xml:space="preserve">  If it is disputed that the plaintiff is qualified for the position and that similarly situated individuals outside of the plaintiff’s protected class were treated more favorably, add the bracketed elements.  “Other employees are similarly situated to the plaintiff when they have similar jobs and display similar conduct.”  </w:t>
      </w:r>
      <w:r w:rsidR="00671B7F" w:rsidRPr="00671B7F">
        <w:rPr>
          <w:rFonts w:cs="Times New Roman"/>
          <w:i/>
          <w:iCs/>
          <w:szCs w:val="24"/>
        </w:rPr>
        <w:t>Id</w:t>
      </w:r>
      <w:r w:rsidR="00671B7F" w:rsidRPr="00671B7F">
        <w:rPr>
          <w:rFonts w:cs="Times New Roman"/>
          <w:szCs w:val="24"/>
        </w:rPr>
        <w:t xml:space="preserve">. (quoting </w:t>
      </w:r>
      <w:r w:rsidR="00671B7F" w:rsidRPr="00671B7F">
        <w:rPr>
          <w:rFonts w:cs="Times New Roman"/>
          <w:i/>
          <w:iCs/>
          <w:szCs w:val="24"/>
        </w:rPr>
        <w:t xml:space="preserve">Earl v. Nielsen Media </w:t>
      </w:r>
      <w:proofErr w:type="spellStart"/>
      <w:r w:rsidR="00671B7F" w:rsidRPr="00671B7F">
        <w:rPr>
          <w:rFonts w:cs="Times New Roman"/>
          <w:i/>
          <w:iCs/>
          <w:szCs w:val="24"/>
        </w:rPr>
        <w:t>Rsch</w:t>
      </w:r>
      <w:proofErr w:type="spellEnd"/>
      <w:r w:rsidR="00671B7F" w:rsidRPr="00671B7F">
        <w:rPr>
          <w:rFonts w:cs="Times New Roman"/>
          <w:i/>
          <w:iCs/>
          <w:szCs w:val="24"/>
        </w:rPr>
        <w:t>., Inc</w:t>
      </w:r>
      <w:r w:rsidR="00671B7F" w:rsidRPr="00671B7F">
        <w:rPr>
          <w:rFonts w:cs="Times New Roman"/>
          <w:szCs w:val="24"/>
        </w:rPr>
        <w:t xml:space="preserve">., 658 F.3d 1108, 1114 (9th Cir. 2011) (internal quotation marks omitted)). </w:t>
      </w:r>
    </w:p>
    <w:p w14:paraId="3C0CEFCF" w14:textId="77777777" w:rsidR="00671B7F" w:rsidRPr="00671B7F" w:rsidRDefault="00671B7F" w:rsidP="00671B7F">
      <w:pPr>
        <w:ind w:firstLine="720"/>
        <w:rPr>
          <w:rFonts w:cs="Times New Roman"/>
          <w:szCs w:val="24"/>
        </w:rPr>
      </w:pPr>
    </w:p>
    <w:p w14:paraId="5758BEA0" w14:textId="77777777" w:rsidR="00671B7F" w:rsidRPr="00671B7F" w:rsidRDefault="00671B7F" w:rsidP="00671B7F">
      <w:pPr>
        <w:ind w:firstLine="720"/>
        <w:rPr>
          <w:rFonts w:cs="Times New Roman"/>
          <w:szCs w:val="24"/>
        </w:rPr>
      </w:pPr>
      <w:r w:rsidRPr="00671B7F">
        <w:rPr>
          <w:rFonts w:cs="Times New Roman"/>
          <w:szCs w:val="24"/>
        </w:rPr>
        <w:t xml:space="preserve">When the alleged discrimination is based on sexual orientation, gender identity, transgender status, or the like, the word “sex” in the instruction should be modified or explained consistent with </w:t>
      </w:r>
      <w:r w:rsidRPr="00671B7F">
        <w:rPr>
          <w:rFonts w:cs="Times New Roman"/>
          <w:i/>
          <w:iCs/>
          <w:szCs w:val="24"/>
        </w:rPr>
        <w:t>Bostock</w:t>
      </w:r>
      <w:r w:rsidRPr="00671B7F">
        <w:rPr>
          <w:rFonts w:cs="Times New Roman"/>
          <w:szCs w:val="24"/>
        </w:rPr>
        <w:t xml:space="preserve">, 140 S. Ct. at 1741, 1754 (holding employer violates Title VII by firing individual based on sexual orientation or gender identity).  “Paramour preference,” however, does not constitute discrimination on the basis of sex. </w:t>
      </w:r>
      <w:proofErr w:type="spellStart"/>
      <w:r w:rsidRPr="00671B7F">
        <w:rPr>
          <w:rFonts w:cs="Times New Roman"/>
          <w:i/>
          <w:iCs/>
          <w:szCs w:val="24"/>
        </w:rPr>
        <w:t>Maner</w:t>
      </w:r>
      <w:proofErr w:type="spellEnd"/>
      <w:r w:rsidRPr="00671B7F">
        <w:rPr>
          <w:rFonts w:cs="Times New Roman"/>
          <w:i/>
          <w:iCs/>
          <w:szCs w:val="24"/>
        </w:rPr>
        <w:t xml:space="preserve"> v. Dignity Health</w:t>
      </w:r>
      <w:r w:rsidRPr="00671B7F">
        <w:rPr>
          <w:rFonts w:cs="Times New Roman"/>
          <w:szCs w:val="24"/>
        </w:rPr>
        <w:t xml:space="preserve">, 9 F.4th 1114, 1116 (9th Cir. 2021). </w:t>
      </w:r>
    </w:p>
    <w:p w14:paraId="0295E595" w14:textId="77777777" w:rsidR="00671B7F" w:rsidRPr="00671B7F" w:rsidRDefault="00671B7F" w:rsidP="00671B7F">
      <w:pPr>
        <w:ind w:firstLine="720"/>
        <w:rPr>
          <w:rFonts w:cs="Times New Roman"/>
          <w:szCs w:val="24"/>
        </w:rPr>
      </w:pPr>
    </w:p>
    <w:p w14:paraId="4B95365B" w14:textId="77777777" w:rsidR="00671B7F" w:rsidRPr="00671B7F" w:rsidRDefault="00671B7F" w:rsidP="00671B7F">
      <w:pPr>
        <w:jc w:val="center"/>
        <w:rPr>
          <w:rFonts w:cs="Times New Roman"/>
          <w:b/>
          <w:bCs/>
          <w:szCs w:val="24"/>
        </w:rPr>
      </w:pPr>
      <w:r w:rsidRPr="00671B7F">
        <w:rPr>
          <w:rFonts w:cs="Times New Roman"/>
          <w:b/>
          <w:bCs/>
          <w:szCs w:val="24"/>
        </w:rPr>
        <w:t>Sample Special Verdict for Use with Same Decision Affirmative Defense</w:t>
      </w:r>
    </w:p>
    <w:p w14:paraId="365327DD" w14:textId="77777777" w:rsidR="00671B7F" w:rsidRPr="00671B7F" w:rsidRDefault="00671B7F" w:rsidP="00671B7F">
      <w:pPr>
        <w:jc w:val="center"/>
        <w:rPr>
          <w:rFonts w:cs="Times New Roman"/>
          <w:szCs w:val="24"/>
        </w:rPr>
      </w:pPr>
    </w:p>
    <w:p w14:paraId="2F2D1BDC"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defendant [discharged] [failed to hire] [failed to promote] [demoted] [</w:t>
      </w:r>
      <w:r w:rsidRPr="00CC2F62">
        <w:rPr>
          <w:rFonts w:cs="Times New Roman"/>
          <w:i/>
          <w:iCs/>
          <w:szCs w:val="24"/>
          <w:u w:val="single"/>
        </w:rPr>
        <w:t>state other adverse action</w:t>
      </w:r>
      <w:r w:rsidRPr="00671B7F">
        <w:rPr>
          <w:rFonts w:cs="Times New Roman"/>
          <w:szCs w:val="24"/>
        </w:rPr>
        <w:t xml:space="preserve">] the plaintiff because of the plaintiff’s [race] [color] [religion] [sex] [national origin]? </w:t>
      </w:r>
    </w:p>
    <w:p w14:paraId="709280D7" w14:textId="77777777" w:rsidR="00671B7F" w:rsidRPr="00671B7F" w:rsidRDefault="00671B7F" w:rsidP="00671B7F">
      <w:pPr>
        <w:rPr>
          <w:rFonts w:cs="Times New Roman"/>
          <w:szCs w:val="24"/>
        </w:rPr>
      </w:pPr>
    </w:p>
    <w:p w14:paraId="3F65A19B" w14:textId="77777777" w:rsidR="00671B7F" w:rsidRPr="00671B7F" w:rsidRDefault="00671B7F" w:rsidP="00671B7F">
      <w:pPr>
        <w:ind w:left="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8F5878F" w14:textId="77777777" w:rsidR="00671B7F" w:rsidRPr="00671B7F" w:rsidRDefault="00671B7F" w:rsidP="00671B7F">
      <w:pPr>
        <w:ind w:left="720"/>
        <w:rPr>
          <w:rFonts w:cs="Times New Roman"/>
          <w:szCs w:val="24"/>
        </w:rPr>
      </w:pPr>
    </w:p>
    <w:p w14:paraId="3E5E4108" w14:textId="77777777" w:rsidR="00671B7F" w:rsidRPr="00671B7F" w:rsidRDefault="00671B7F" w:rsidP="00671B7F">
      <w:pPr>
        <w:ind w:left="720"/>
        <w:rPr>
          <w:rFonts w:cs="Times New Roman"/>
          <w:szCs w:val="24"/>
        </w:rPr>
      </w:pPr>
      <w:r w:rsidRPr="00671B7F">
        <w:rPr>
          <w:rFonts w:cs="Times New Roman"/>
          <w:szCs w:val="24"/>
        </w:rPr>
        <w:t xml:space="preserve">[or] </w:t>
      </w:r>
    </w:p>
    <w:p w14:paraId="40F19FB5" w14:textId="77777777" w:rsidR="00671B7F" w:rsidRPr="00671B7F" w:rsidRDefault="00671B7F" w:rsidP="00671B7F">
      <w:pPr>
        <w:ind w:left="720"/>
        <w:rPr>
          <w:rFonts w:cs="Times New Roman"/>
          <w:szCs w:val="24"/>
        </w:rPr>
      </w:pPr>
    </w:p>
    <w:p w14:paraId="1088A764" w14:textId="77777777" w:rsidR="00671B7F" w:rsidRPr="00671B7F" w:rsidRDefault="00671B7F" w:rsidP="00671B7F">
      <w:pPr>
        <w:rPr>
          <w:rFonts w:cs="Times New Roman"/>
          <w:szCs w:val="24"/>
        </w:rPr>
      </w:pPr>
      <w:r w:rsidRPr="00671B7F">
        <w:rPr>
          <w:rFonts w:cs="Times New Roman"/>
          <w:szCs w:val="24"/>
        </w:rPr>
        <w:t>[1. Has the plaintiff proven by a preponderance of the evidence that the plaintiff’s [race] [color] [religion] [sex] [national origin] was a motivating factor in the defendant’s decision to [discharge] [not hire] [not promote] [demote] [</w:t>
      </w:r>
      <w:r w:rsidRPr="00CC2F62">
        <w:rPr>
          <w:rFonts w:cs="Times New Roman"/>
          <w:i/>
          <w:iCs/>
          <w:szCs w:val="24"/>
          <w:u w:val="single"/>
        </w:rPr>
        <w:t>state other adverse action</w:t>
      </w:r>
      <w:r w:rsidRPr="00671B7F">
        <w:rPr>
          <w:rFonts w:cs="Times New Roman"/>
          <w:szCs w:val="24"/>
        </w:rPr>
        <w:t xml:space="preserve">] the plaintiff]? </w:t>
      </w:r>
    </w:p>
    <w:p w14:paraId="658A697D" w14:textId="77777777" w:rsidR="00671B7F" w:rsidRPr="00671B7F" w:rsidRDefault="00671B7F" w:rsidP="00671B7F">
      <w:pPr>
        <w:rPr>
          <w:rFonts w:cs="Times New Roman"/>
          <w:szCs w:val="24"/>
        </w:rPr>
      </w:pPr>
    </w:p>
    <w:p w14:paraId="09FDC92A"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681B012F" w14:textId="77777777" w:rsidR="00671B7F" w:rsidRPr="00671B7F" w:rsidRDefault="00671B7F" w:rsidP="00671B7F">
      <w:pPr>
        <w:ind w:firstLine="720"/>
        <w:rPr>
          <w:rFonts w:cs="Times New Roman"/>
          <w:szCs w:val="24"/>
        </w:rPr>
      </w:pPr>
    </w:p>
    <w:p w14:paraId="6F09595D" w14:textId="77777777" w:rsidR="00671B7F" w:rsidRPr="00671B7F" w:rsidRDefault="00671B7F" w:rsidP="00671B7F">
      <w:pPr>
        <w:rPr>
          <w:rFonts w:cs="Times New Roman"/>
          <w:i/>
          <w:iCs/>
          <w:szCs w:val="24"/>
        </w:rPr>
      </w:pPr>
      <w:r w:rsidRPr="00671B7F">
        <w:rPr>
          <w:rFonts w:cs="Times New Roman"/>
          <w:i/>
          <w:iCs/>
          <w:szCs w:val="24"/>
        </w:rPr>
        <w:t xml:space="preserve">If the answer to Question No. 1 is “yes,” proceed to Question No. 2.  If the answer to Question No. 1 is "no," do not answer any further questions [on the plaintiff’s claim of disparate treatment]. </w:t>
      </w:r>
    </w:p>
    <w:p w14:paraId="54B63733" w14:textId="77777777" w:rsidR="00671B7F" w:rsidRPr="00671B7F" w:rsidRDefault="00671B7F" w:rsidP="00671B7F">
      <w:pPr>
        <w:rPr>
          <w:rFonts w:cs="Times New Roman"/>
          <w:szCs w:val="24"/>
        </w:rPr>
      </w:pPr>
    </w:p>
    <w:p w14:paraId="6D708773" w14:textId="77777777" w:rsidR="00671B7F" w:rsidRPr="00671B7F" w:rsidRDefault="00671B7F" w:rsidP="00671B7F">
      <w:pPr>
        <w:rPr>
          <w:rFonts w:cs="Times New Roman"/>
          <w:szCs w:val="24"/>
        </w:rPr>
      </w:pPr>
      <w:r w:rsidRPr="00671B7F">
        <w:rPr>
          <w:rFonts w:cs="Times New Roman"/>
          <w:szCs w:val="24"/>
        </w:rPr>
        <w:t>2. Has the defendant proven by a preponderance of the evidence that the defendant’s decision to [</w:t>
      </w:r>
      <w:r w:rsidRPr="00767E3F">
        <w:rPr>
          <w:rFonts w:cs="Times New Roman"/>
          <w:i/>
          <w:iCs/>
          <w:szCs w:val="24"/>
          <w:u w:val="single"/>
        </w:rPr>
        <w:t>state adverse action</w:t>
      </w:r>
      <w:r w:rsidRPr="00671B7F">
        <w:rPr>
          <w:rFonts w:cs="Times New Roman"/>
          <w:szCs w:val="24"/>
        </w:rPr>
        <w:t xml:space="preserve">] also was motivated by a lawful reason? </w:t>
      </w:r>
    </w:p>
    <w:p w14:paraId="11094483" w14:textId="77777777" w:rsidR="00671B7F" w:rsidRPr="00671B7F" w:rsidRDefault="00671B7F" w:rsidP="00671B7F">
      <w:pPr>
        <w:rPr>
          <w:rFonts w:cs="Times New Roman"/>
          <w:szCs w:val="24"/>
        </w:rPr>
      </w:pPr>
    </w:p>
    <w:p w14:paraId="2B960146"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34BBB04C" w14:textId="77777777" w:rsidR="00671B7F" w:rsidRPr="00671B7F" w:rsidRDefault="00671B7F" w:rsidP="00671B7F">
      <w:pPr>
        <w:ind w:firstLine="720"/>
        <w:rPr>
          <w:rFonts w:cs="Times New Roman"/>
          <w:szCs w:val="24"/>
        </w:rPr>
      </w:pPr>
    </w:p>
    <w:p w14:paraId="1F673398"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2 is “yes,” proceed to Question No. 3.  If your answer to Question No. 2 is “no,” proceed to Question No. 4. </w:t>
      </w:r>
    </w:p>
    <w:p w14:paraId="55331BD8" w14:textId="77777777" w:rsidR="00671B7F" w:rsidRPr="00671B7F" w:rsidRDefault="00671B7F" w:rsidP="00671B7F">
      <w:pPr>
        <w:rPr>
          <w:rFonts w:cs="Times New Roman"/>
          <w:szCs w:val="24"/>
        </w:rPr>
      </w:pPr>
    </w:p>
    <w:p w14:paraId="24C00E34" w14:textId="77777777" w:rsidR="00671B7F" w:rsidRPr="00671B7F" w:rsidRDefault="00671B7F" w:rsidP="00671B7F">
      <w:pPr>
        <w:rPr>
          <w:rFonts w:cs="Times New Roman"/>
          <w:szCs w:val="24"/>
        </w:rPr>
      </w:pPr>
      <w:r w:rsidRPr="00671B7F">
        <w:rPr>
          <w:rFonts w:cs="Times New Roman"/>
          <w:szCs w:val="24"/>
        </w:rPr>
        <w:t>3. Has the defendant proven by a preponderance of the evidence that the defendant would have made the same decision to [</w:t>
      </w:r>
      <w:r w:rsidRPr="00CC2F62">
        <w:rPr>
          <w:rFonts w:cs="Times New Roman"/>
          <w:i/>
          <w:iCs/>
          <w:szCs w:val="24"/>
          <w:u w:val="single"/>
        </w:rPr>
        <w:t>state adverse employment action</w:t>
      </w:r>
      <w:r w:rsidRPr="00671B7F">
        <w:rPr>
          <w:rFonts w:cs="Times New Roman"/>
          <w:szCs w:val="24"/>
        </w:rPr>
        <w:t xml:space="preserve">] even if the plaintiff’s [race] [color] </w:t>
      </w:r>
      <w:r w:rsidRPr="00671B7F">
        <w:rPr>
          <w:rFonts w:cs="Times New Roman"/>
          <w:szCs w:val="24"/>
        </w:rPr>
        <w:lastRenderedPageBreak/>
        <w:t>[religion] [sex] [national origin] had played no role in the defendant’s decision to [</w:t>
      </w:r>
      <w:r w:rsidRPr="00767E3F">
        <w:rPr>
          <w:rFonts w:cs="Times New Roman"/>
          <w:i/>
          <w:iCs/>
          <w:szCs w:val="24"/>
          <w:u w:val="single"/>
        </w:rPr>
        <w:t>state adverse employment action</w:t>
      </w:r>
      <w:r w:rsidRPr="00671B7F">
        <w:rPr>
          <w:rFonts w:cs="Times New Roman"/>
          <w:szCs w:val="24"/>
        </w:rPr>
        <w:t xml:space="preserve">]? </w:t>
      </w:r>
    </w:p>
    <w:p w14:paraId="76EDA778" w14:textId="77777777" w:rsidR="00671B7F" w:rsidRPr="00671B7F" w:rsidRDefault="00671B7F" w:rsidP="00671B7F">
      <w:pPr>
        <w:rPr>
          <w:rFonts w:cs="Times New Roman"/>
          <w:szCs w:val="24"/>
        </w:rPr>
      </w:pPr>
    </w:p>
    <w:p w14:paraId="163EAAD8" w14:textId="77777777" w:rsidR="00671B7F" w:rsidRPr="00671B7F" w:rsidRDefault="00671B7F" w:rsidP="00671B7F">
      <w:pPr>
        <w:ind w:firstLine="720"/>
        <w:rPr>
          <w:rFonts w:cs="Times New Roman"/>
          <w:szCs w:val="24"/>
        </w:rPr>
      </w:pPr>
      <w:r w:rsidRPr="00671B7F">
        <w:rPr>
          <w:rFonts w:cs="Times New Roman"/>
          <w:szCs w:val="24"/>
        </w:rPr>
        <w:t xml:space="preserve">Yes _____ </w:t>
      </w:r>
      <w:r w:rsidRPr="00671B7F">
        <w:rPr>
          <w:rFonts w:cs="Times New Roman"/>
          <w:szCs w:val="24"/>
        </w:rPr>
        <w:tab/>
        <w:t xml:space="preserve">No _____] </w:t>
      </w:r>
    </w:p>
    <w:p w14:paraId="7D2CEADE" w14:textId="77777777" w:rsidR="00671B7F" w:rsidRPr="00671B7F" w:rsidRDefault="00671B7F" w:rsidP="00671B7F">
      <w:pPr>
        <w:ind w:firstLine="720"/>
        <w:rPr>
          <w:rFonts w:cs="Times New Roman"/>
          <w:szCs w:val="24"/>
        </w:rPr>
      </w:pPr>
    </w:p>
    <w:p w14:paraId="3F3B5503" w14:textId="77777777" w:rsidR="00671B7F" w:rsidRPr="00671B7F" w:rsidRDefault="00671B7F" w:rsidP="00671B7F">
      <w:pPr>
        <w:rPr>
          <w:rFonts w:cs="Times New Roman"/>
          <w:i/>
          <w:iCs/>
          <w:szCs w:val="24"/>
        </w:rPr>
      </w:pPr>
      <w:r w:rsidRPr="00671B7F">
        <w:rPr>
          <w:rFonts w:cs="Times New Roman"/>
          <w:i/>
          <w:iCs/>
          <w:szCs w:val="24"/>
        </w:rPr>
        <w:t xml:space="preserve">If your answer to Question No. 3 is “yes,” do not answer any further questions on damages related to the plaintiff’s claim of disparate treatment.  If your answer to Question No. 3 is “no,” proceed to Question No. 4. </w:t>
      </w:r>
    </w:p>
    <w:p w14:paraId="6239326C" w14:textId="77777777" w:rsidR="00671B7F" w:rsidRPr="00671B7F" w:rsidRDefault="00671B7F" w:rsidP="00671B7F">
      <w:pPr>
        <w:rPr>
          <w:rFonts w:cs="Times New Roman"/>
          <w:szCs w:val="24"/>
        </w:rPr>
      </w:pPr>
    </w:p>
    <w:p w14:paraId="47504D60" w14:textId="77777777" w:rsidR="00671B7F" w:rsidRPr="00671B7F" w:rsidRDefault="00671B7F" w:rsidP="00671B7F">
      <w:pPr>
        <w:rPr>
          <w:rFonts w:cs="Times New Roman"/>
          <w:szCs w:val="24"/>
        </w:rPr>
      </w:pPr>
      <w:r w:rsidRPr="00671B7F">
        <w:rPr>
          <w:rFonts w:cs="Times New Roman"/>
          <w:szCs w:val="24"/>
        </w:rPr>
        <w:t>4. [The judge should draft further special verdict questions to cover damages, including punitive damages if appropriate.]</w:t>
      </w:r>
    </w:p>
    <w:p w14:paraId="6EB5242E" w14:textId="77777777" w:rsidR="00671B7F" w:rsidRPr="00671B7F" w:rsidRDefault="00671B7F" w:rsidP="00671B7F">
      <w:pPr>
        <w:autoSpaceDE w:val="0"/>
        <w:autoSpaceDN w:val="0"/>
        <w:adjustRightInd w:val="0"/>
        <w:rPr>
          <w:rFonts w:cs="Times New Roman"/>
          <w:szCs w:val="24"/>
        </w:rPr>
      </w:pPr>
    </w:p>
    <w:p w14:paraId="3639DD6A" w14:textId="77777777" w:rsidR="00671B7F" w:rsidRPr="00671B7F" w:rsidRDefault="00671B7F" w:rsidP="00671B7F">
      <w:pPr>
        <w:autoSpaceDE w:val="0"/>
        <w:autoSpaceDN w:val="0"/>
        <w:adjustRightInd w:val="0"/>
        <w:rPr>
          <w:rFonts w:cs="Times New Roman"/>
          <w:szCs w:val="24"/>
        </w:rPr>
      </w:pPr>
    </w:p>
    <w:p w14:paraId="64F00A24" w14:textId="0F6E79F4" w:rsidR="00671B7F" w:rsidRPr="00671B7F" w:rsidRDefault="00671B7F" w:rsidP="00671B7F">
      <w:pPr>
        <w:autoSpaceDE w:val="0"/>
        <w:autoSpaceDN w:val="0"/>
        <w:adjustRightInd w:val="0"/>
        <w:ind w:left="5760" w:firstLine="720"/>
        <w:jc w:val="right"/>
        <w:rPr>
          <w:rFonts w:cs="Times New Roman"/>
          <w:i/>
          <w:iCs/>
          <w:szCs w:val="24"/>
        </w:rPr>
      </w:pPr>
      <w:r w:rsidRPr="00671B7F">
        <w:rPr>
          <w:rFonts w:cs="Times New Roman"/>
          <w:i/>
          <w:iCs/>
          <w:szCs w:val="24"/>
        </w:rPr>
        <w:t xml:space="preserve">Revised </w:t>
      </w:r>
      <w:r w:rsidR="00930EA8">
        <w:rPr>
          <w:rFonts w:cs="Times New Roman"/>
          <w:i/>
          <w:iCs/>
          <w:szCs w:val="24"/>
        </w:rPr>
        <w:t>Sept.</w:t>
      </w:r>
      <w:r w:rsidRPr="00671B7F">
        <w:rPr>
          <w:rFonts w:cs="Times New Roman"/>
          <w:i/>
          <w:iCs/>
          <w:szCs w:val="24"/>
        </w:rPr>
        <w:t xml:space="preserve"> 2022</w:t>
      </w:r>
    </w:p>
    <w:p w14:paraId="34D9FEF8" w14:textId="67C1F0BA" w:rsidR="006A4CD7" w:rsidRPr="006A4CD7" w:rsidRDefault="006A4CD7" w:rsidP="007A5BA1">
      <w:pPr>
        <w:autoSpaceDE w:val="0"/>
        <w:autoSpaceDN w:val="0"/>
        <w:adjustRightInd w:val="0"/>
        <w:rPr>
          <w:rFonts w:cs="Times New Roman"/>
          <w:szCs w:val="24"/>
        </w:rPr>
      </w:pPr>
    </w:p>
    <w:p w14:paraId="58264265" w14:textId="264C39DB" w:rsidR="006A4CD7" w:rsidRDefault="006A4CD7" w:rsidP="00305894">
      <w:pPr>
        <w:pStyle w:val="Heading2"/>
      </w:pPr>
      <w:r w:rsidRPr="006A4CD7">
        <w:br w:type="page"/>
      </w:r>
      <w:bookmarkStart w:id="186" w:name="_Toc117512472"/>
      <w:r w:rsidRPr="006A4CD7">
        <w:lastRenderedPageBreak/>
        <w:t>10.3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w:t>
      </w:r>
      <w:r w:rsidR="00305894" w:rsidRPr="00073CBA">
        <w:t>“</w:t>
      </w:r>
      <w:r w:rsidR="00305894">
        <w:t>Because of” Defined</w:t>
      </w:r>
      <w:bookmarkEnd w:id="186"/>
    </w:p>
    <w:p w14:paraId="551F9F9B" w14:textId="77777777" w:rsidR="007B75B7" w:rsidRPr="007B75B7" w:rsidRDefault="007B75B7" w:rsidP="007B75B7"/>
    <w:p w14:paraId="28E6B017" w14:textId="61EFA24B" w:rsidR="001255DB" w:rsidRPr="005B2A44" w:rsidRDefault="006A4CD7" w:rsidP="001255DB">
      <w:pPr>
        <w:rPr>
          <w:rFonts w:cs="Times New Roman"/>
          <w:szCs w:val="24"/>
        </w:rPr>
      </w:pPr>
      <w:r w:rsidRPr="006A4CD7">
        <w:rPr>
          <w:rFonts w:cs="Times New Roman"/>
          <w:szCs w:val="24"/>
        </w:rPr>
        <w:tab/>
      </w:r>
      <w:r w:rsidR="001255DB" w:rsidRPr="007A5BA1">
        <w:rPr>
          <w:rFonts w:cs="Times New Roman"/>
          <w:szCs w:val="24"/>
        </w:rPr>
        <w:t>As</w:t>
      </w:r>
      <w:r w:rsidR="001255DB" w:rsidRPr="005B2A44">
        <w:rPr>
          <w:rFonts w:cs="Times New Roman"/>
          <w:szCs w:val="24"/>
          <w:lang w:val="en-CA"/>
        </w:rPr>
        <w:t xml:space="preserve"> </w:t>
      </w:r>
      <w:r w:rsidR="001255DB" w:rsidRPr="005B2A44">
        <w:rPr>
          <w:rFonts w:cs="Times New Roman"/>
          <w:szCs w:val="24"/>
          <w:lang w:val="en-CA"/>
        </w:rPr>
        <w:fldChar w:fldCharType="begin"/>
      </w:r>
      <w:r w:rsidR="001255DB" w:rsidRPr="005B2A44">
        <w:rPr>
          <w:rFonts w:cs="Times New Roman"/>
          <w:szCs w:val="24"/>
          <w:lang w:val="en-CA"/>
        </w:rPr>
        <w:instrText xml:space="preserve"> SEQ CHAPTER \h \r 1</w:instrText>
      </w:r>
      <w:r w:rsidR="001255DB" w:rsidRPr="005B2A44">
        <w:rPr>
          <w:rFonts w:cs="Times New Roman"/>
          <w:szCs w:val="24"/>
          <w:lang w:val="en-CA"/>
        </w:rPr>
        <w:fldChar w:fldCharType="end"/>
      </w:r>
      <w:r w:rsidR="001255DB" w:rsidRPr="005B2A44">
        <w:rPr>
          <w:rFonts w:cs="Times New Roman"/>
          <w:szCs w:val="24"/>
        </w:rPr>
        <w:t>to the plaintiff’s claim that [his] [her] [[race] [color] [religion] [sex] [national origin]] was a motivating factor for the defendant’s decision to [[discharge] [not hire] [not promote] [demote] [</w:t>
      </w:r>
      <w:r w:rsidR="001255DB" w:rsidRPr="005B2A44">
        <w:rPr>
          <w:rFonts w:cs="Times New Roman"/>
          <w:i/>
          <w:iCs/>
          <w:szCs w:val="24"/>
          <w:u w:val="single"/>
        </w:rPr>
        <w:t>state other adverse action</w:t>
      </w:r>
      <w:r w:rsidR="001255DB" w:rsidRPr="005B2A44">
        <w:rPr>
          <w:rFonts w:cs="Times New Roman"/>
          <w:szCs w:val="24"/>
        </w:rPr>
        <w:t xml:space="preserve">]] [him] [her], the plaintiff has the burden of proving the following elements by a preponderance of the evidence:  </w:t>
      </w:r>
    </w:p>
    <w:p w14:paraId="34FE189B" w14:textId="77777777" w:rsidR="001255DB" w:rsidRPr="005B2A44" w:rsidRDefault="001255DB" w:rsidP="001255DB">
      <w:pPr>
        <w:autoSpaceDE w:val="0"/>
        <w:autoSpaceDN w:val="0"/>
        <w:adjustRightInd w:val="0"/>
        <w:rPr>
          <w:rFonts w:cs="Times New Roman"/>
          <w:szCs w:val="24"/>
        </w:rPr>
      </w:pPr>
    </w:p>
    <w:p w14:paraId="1302B945" w14:textId="44136984"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1.</w:t>
      </w:r>
      <w:r w:rsidRPr="005B2A44">
        <w:rPr>
          <w:rFonts w:cs="Times New Roman"/>
          <w:szCs w:val="24"/>
        </w:rPr>
        <w:tab/>
        <w:t>the plaintiff was [discharged] [not hired] [not promoted] [demoted] [</w:t>
      </w:r>
      <w:r w:rsidRPr="005B2A44">
        <w:rPr>
          <w:rFonts w:cs="Times New Roman"/>
          <w:i/>
          <w:iCs/>
          <w:szCs w:val="24"/>
          <w:u w:val="single"/>
        </w:rPr>
        <w:t>state other adverse action</w:t>
      </w:r>
      <w:r w:rsidRPr="005B2A44">
        <w:rPr>
          <w:rFonts w:cs="Times New Roman"/>
          <w:szCs w:val="24"/>
        </w:rPr>
        <w:t>] by the defendant;</w:t>
      </w:r>
      <w:r w:rsidR="007E4510">
        <w:rPr>
          <w:rFonts w:cs="Times New Roman"/>
          <w:szCs w:val="24"/>
        </w:rPr>
        <w:t xml:space="preserve"> [and]</w:t>
      </w:r>
    </w:p>
    <w:p w14:paraId="6A8A4010" w14:textId="77777777" w:rsidR="001255DB" w:rsidRPr="005B2A44" w:rsidRDefault="001255DB" w:rsidP="001255DB">
      <w:pPr>
        <w:autoSpaceDE w:val="0"/>
        <w:autoSpaceDN w:val="0"/>
        <w:adjustRightInd w:val="0"/>
        <w:rPr>
          <w:rFonts w:cs="Times New Roman"/>
          <w:szCs w:val="24"/>
        </w:rPr>
      </w:pPr>
    </w:p>
    <w:p w14:paraId="54C8A843"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2.</w:t>
      </w:r>
      <w:r w:rsidRPr="005B2A44">
        <w:rPr>
          <w:rFonts w:cs="Times New Roman"/>
          <w:szCs w:val="24"/>
        </w:rPr>
        <w:tab/>
        <w:t>the plaintiff’s [race] [color] [religion] [sex] [national origin] was a motivating factor in the defendant’s decision to [discharge] [not hire] [not promote] [demote] [</w:t>
      </w:r>
      <w:r w:rsidRPr="005B2A44">
        <w:rPr>
          <w:rFonts w:cs="Times New Roman"/>
          <w:i/>
          <w:iCs/>
          <w:szCs w:val="24"/>
          <w:u w:val="single"/>
        </w:rPr>
        <w:t>state other adverse action</w:t>
      </w:r>
      <w:r w:rsidRPr="005B2A44">
        <w:rPr>
          <w:rFonts w:cs="Times New Roman"/>
          <w:szCs w:val="24"/>
        </w:rPr>
        <w:t xml:space="preserve">] the plaintiff.  </w:t>
      </w:r>
    </w:p>
    <w:p w14:paraId="30EBF53F"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672C42BB"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the plaintiff was qualified for his or her position;] [and]</w:t>
      </w:r>
    </w:p>
    <w:p w14:paraId="2808FFC3"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7C48B108" w14:textId="37C3BE0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[4.</w:t>
      </w:r>
      <w:r>
        <w:rPr>
          <w:rFonts w:cs="Times New Roman"/>
          <w:szCs w:val="24"/>
        </w:rPr>
        <w:tab/>
      </w:r>
      <w:proofErr w:type="spellStart"/>
      <w:r>
        <w:rPr>
          <w:rFonts w:cs="Times New Roman"/>
          <w:szCs w:val="24"/>
        </w:rPr>
        <w:t>similary</w:t>
      </w:r>
      <w:proofErr w:type="spellEnd"/>
      <w:r>
        <w:rPr>
          <w:rFonts w:cs="Times New Roman"/>
          <w:szCs w:val="24"/>
        </w:rPr>
        <w:t xml:space="preserve"> situated individuals outside the plaintiff’s [race] [color] [religion] [sex] [national origin] were treated more favorably.</w:t>
      </w:r>
      <w:r w:rsidR="007E4510">
        <w:rPr>
          <w:rFonts w:cs="Times New Roman"/>
          <w:szCs w:val="24"/>
        </w:rPr>
        <w:t>]</w:t>
      </w:r>
    </w:p>
    <w:p w14:paraId="0BBC6DE8" w14:textId="77777777" w:rsidR="001255DB" w:rsidRPr="005B2A44" w:rsidRDefault="001255DB" w:rsidP="001255DB">
      <w:pPr>
        <w:autoSpaceDE w:val="0"/>
        <w:autoSpaceDN w:val="0"/>
        <w:adjustRightInd w:val="0"/>
        <w:rPr>
          <w:rFonts w:cs="Times New Roman"/>
          <w:szCs w:val="24"/>
        </w:rPr>
      </w:pPr>
    </w:p>
    <w:p w14:paraId="56D10345"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proved </w:t>
      </w:r>
      <w:r>
        <w:rPr>
          <w:rFonts w:cs="Times New Roman"/>
          <w:szCs w:val="24"/>
        </w:rPr>
        <w:t>each</w:t>
      </w:r>
      <w:r w:rsidRPr="005B2A44">
        <w:rPr>
          <w:rFonts w:cs="Times New Roman"/>
          <w:szCs w:val="24"/>
        </w:rPr>
        <w:t xml:space="preserve"> of these elements, your verdict should be for the plaintiff.  If, on the other hand, the plaintiff has failed to prove </w:t>
      </w:r>
      <w:r>
        <w:rPr>
          <w:rFonts w:cs="Times New Roman"/>
          <w:szCs w:val="24"/>
        </w:rPr>
        <w:t xml:space="preserve">any one </w:t>
      </w:r>
      <w:r w:rsidRPr="005B2A44">
        <w:rPr>
          <w:rFonts w:cs="Times New Roman"/>
          <w:szCs w:val="24"/>
        </w:rPr>
        <w:t xml:space="preserve">of these elements, your verdict should be for the defendant.] </w:t>
      </w:r>
    </w:p>
    <w:p w14:paraId="2B774B6E" w14:textId="77777777" w:rsidR="001255DB" w:rsidRPr="005B2A44" w:rsidRDefault="001255DB" w:rsidP="001255DB">
      <w:pPr>
        <w:autoSpaceDE w:val="0"/>
        <w:autoSpaceDN w:val="0"/>
        <w:adjustRightInd w:val="0"/>
        <w:rPr>
          <w:rFonts w:cs="Times New Roman"/>
          <w:szCs w:val="24"/>
        </w:rPr>
      </w:pPr>
    </w:p>
    <w:p w14:paraId="1A957AE1" w14:textId="55D57EE2" w:rsidR="001255DB" w:rsidRPr="005B2A44" w:rsidRDefault="001255DB" w:rsidP="001255DB">
      <w:pPr>
        <w:autoSpaceDE w:val="0"/>
        <w:autoSpaceDN w:val="0"/>
        <w:adjustRightInd w:val="0"/>
        <w:rPr>
          <w:rFonts w:cs="Times New Roman"/>
          <w:szCs w:val="24"/>
        </w:rPr>
      </w:pPr>
      <w:r w:rsidRPr="005B2A44">
        <w:rPr>
          <w:rFonts w:cs="Times New Roman"/>
          <w:szCs w:val="24"/>
        </w:rPr>
        <w:tab/>
        <w:t>[</w:t>
      </w:r>
      <w:r w:rsidRPr="007E4510">
        <w:rPr>
          <w:rFonts w:cs="Times New Roman"/>
          <w:szCs w:val="24"/>
          <w:u w:val="single"/>
        </w:rPr>
        <w:t xml:space="preserve">Or, if “same decision” affirmative defense applies, add the following, and omit the </w:t>
      </w:r>
      <w:r w:rsidR="007E4510">
        <w:rPr>
          <w:rFonts w:cs="Times New Roman"/>
          <w:szCs w:val="24"/>
          <w:u w:val="single"/>
        </w:rPr>
        <w:t xml:space="preserve">last </w:t>
      </w:r>
      <w:r w:rsidRPr="007E4510">
        <w:rPr>
          <w:rFonts w:cs="Times New Roman"/>
          <w:szCs w:val="24"/>
          <w:u w:val="single"/>
        </w:rPr>
        <w:t>bracketed paragraph above</w:t>
      </w:r>
      <w:r w:rsidRPr="007E4510">
        <w:rPr>
          <w:rFonts w:cs="Times New Roman"/>
          <w:szCs w:val="24"/>
        </w:rPr>
        <w:t>:</w:t>
      </w:r>
      <w:r w:rsidRPr="005B2A44">
        <w:rPr>
          <w:rFonts w:cs="Times New Roman"/>
          <w:szCs w:val="24"/>
        </w:rPr>
        <w:t>]</w:t>
      </w:r>
    </w:p>
    <w:p w14:paraId="7397BAE3" w14:textId="77777777" w:rsidR="001255DB" w:rsidRPr="005B2A44" w:rsidRDefault="001255DB" w:rsidP="001255DB">
      <w:pPr>
        <w:autoSpaceDE w:val="0"/>
        <w:autoSpaceDN w:val="0"/>
        <w:adjustRightInd w:val="0"/>
        <w:rPr>
          <w:rFonts w:cs="Times New Roman"/>
          <w:szCs w:val="24"/>
        </w:rPr>
      </w:pPr>
    </w:p>
    <w:p w14:paraId="1EE99CAA" w14:textId="77777777" w:rsidR="001255DB"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failed to prove </w:t>
      </w:r>
      <w:r>
        <w:rPr>
          <w:rFonts w:cs="Times New Roman"/>
          <w:szCs w:val="24"/>
        </w:rPr>
        <w:t>any one</w:t>
      </w:r>
      <w:r w:rsidRPr="005B2A44">
        <w:rPr>
          <w:rFonts w:cs="Times New Roman"/>
          <w:szCs w:val="24"/>
        </w:rPr>
        <w:t xml:space="preserve"> of these elements, your verdict should be for the defendant.  If the plaintiff has proved </w:t>
      </w:r>
      <w:r>
        <w:rPr>
          <w:rFonts w:cs="Times New Roman"/>
          <w:szCs w:val="24"/>
        </w:rPr>
        <w:t xml:space="preserve">each </w:t>
      </w:r>
      <w:r w:rsidRPr="005B2A44">
        <w:rPr>
          <w:rFonts w:cs="Times New Roman"/>
          <w:szCs w:val="24"/>
        </w:rPr>
        <w:t xml:space="preserve">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032BE587" w14:textId="77777777" w:rsidR="001255DB" w:rsidRDefault="001255DB" w:rsidP="001255DB">
      <w:pPr>
        <w:autoSpaceDE w:val="0"/>
        <w:autoSpaceDN w:val="0"/>
        <w:adjustRightInd w:val="0"/>
        <w:rPr>
          <w:rFonts w:cs="Times New Roman"/>
          <w:szCs w:val="24"/>
        </w:rPr>
      </w:pPr>
    </w:p>
    <w:p w14:paraId="46110F42" w14:textId="19465A1F"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[Or if it is disputed that plaintiff is qualified for </w:t>
      </w:r>
      <w:r w:rsidR="007E4510">
        <w:rPr>
          <w:rFonts w:cs="Times New Roman"/>
          <w:color w:val="000000"/>
        </w:rPr>
        <w:t xml:space="preserve">the </w:t>
      </w:r>
      <w:r w:rsidRPr="009C2B64">
        <w:rPr>
          <w:rFonts w:cs="Times New Roman"/>
          <w:color w:val="000000"/>
        </w:rPr>
        <w:t>position and that similarly situated individuals outside of plaintiff’s protected class were treated more favorably, add the bracketed elements, and add the following, and omit the first bracketed paragraph above:]</w:t>
      </w:r>
    </w:p>
    <w:p w14:paraId="17833F0F" w14:textId="77777777" w:rsidR="001255DB" w:rsidRPr="009C2B64" w:rsidRDefault="001255DB" w:rsidP="001255DB">
      <w:pPr>
        <w:autoSpaceDE w:val="0"/>
        <w:autoSpaceDN w:val="0"/>
        <w:adjustRightInd w:val="0"/>
        <w:ind w:left="720"/>
        <w:rPr>
          <w:rFonts w:cs="Times New Roman"/>
          <w:color w:val="000000"/>
        </w:rPr>
      </w:pPr>
    </w:p>
    <w:p w14:paraId="2116D208" w14:textId="21329402"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 xml:space="preserve">[If you find that the plaintiff has proved these elements, your verdict should be for the plaintiff.  If, on the other hand, the plaintiff has failed to prove </w:t>
      </w:r>
      <w:r w:rsidR="007E4510">
        <w:rPr>
          <w:rFonts w:cs="Times New Roman"/>
          <w:color w:val="000000"/>
        </w:rPr>
        <w:t xml:space="preserve">any one of </w:t>
      </w:r>
      <w:r w:rsidRPr="009C2B64">
        <w:rPr>
          <w:rFonts w:cs="Times New Roman"/>
          <w:color w:val="000000"/>
        </w:rPr>
        <w:t>these elements, your verdict should be for the defendant.]</w:t>
      </w:r>
    </w:p>
    <w:p w14:paraId="03843D80" w14:textId="77777777" w:rsidR="001255DB" w:rsidRPr="005B2A44" w:rsidRDefault="001255DB" w:rsidP="001255DB">
      <w:pPr>
        <w:autoSpaceDE w:val="0"/>
        <w:autoSpaceDN w:val="0"/>
        <w:adjustRightInd w:val="0"/>
        <w:rPr>
          <w:rFonts w:cs="Times New Roman"/>
          <w:szCs w:val="24"/>
        </w:rPr>
      </w:pPr>
    </w:p>
    <w:p w14:paraId="0337FAA5" w14:textId="77777777" w:rsidR="001255DB" w:rsidRPr="005B2A44" w:rsidRDefault="001255DB" w:rsidP="001255DB">
      <w:pPr>
        <w:autoSpaceDE w:val="0"/>
        <w:autoSpaceDN w:val="0"/>
        <w:adjustRightInd w:val="0"/>
        <w:rPr>
          <w:rFonts w:cs="Times New Roman"/>
          <w:szCs w:val="24"/>
        </w:rPr>
      </w:pPr>
    </w:p>
    <w:p w14:paraId="159746B0" w14:textId="77777777" w:rsidR="001255DB" w:rsidRPr="005B2A44" w:rsidRDefault="001255DB" w:rsidP="001255DB">
      <w:pPr>
        <w:autoSpaceDE w:val="0"/>
        <w:autoSpaceDN w:val="0"/>
        <w:adjustRightInd w:val="0"/>
        <w:jc w:val="center"/>
        <w:rPr>
          <w:rFonts w:cs="Times New Roman"/>
          <w:szCs w:val="24"/>
        </w:rPr>
      </w:pPr>
      <w:r w:rsidRPr="005B2A44">
        <w:rPr>
          <w:rFonts w:cs="Times New Roman"/>
          <w:b/>
          <w:bCs/>
          <w:szCs w:val="24"/>
        </w:rPr>
        <w:t>Comment</w:t>
      </w:r>
    </w:p>
    <w:p w14:paraId="677F9100" w14:textId="77777777" w:rsidR="001255DB" w:rsidRPr="005B2A44" w:rsidRDefault="001255DB" w:rsidP="001255DB">
      <w:pPr>
        <w:autoSpaceDE w:val="0"/>
        <w:autoSpaceDN w:val="0"/>
        <w:adjustRightInd w:val="0"/>
        <w:rPr>
          <w:rFonts w:cs="Times New Roman"/>
          <w:szCs w:val="24"/>
        </w:rPr>
      </w:pPr>
    </w:p>
    <w:p w14:paraId="23EA8D49"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r>
      <w:r w:rsidRPr="005B2A44">
        <w:rPr>
          <w:rFonts w:cs="Times New Roman"/>
          <w:i/>
          <w:iCs/>
          <w:szCs w:val="24"/>
        </w:rPr>
        <w:t>See</w:t>
      </w:r>
      <w:r w:rsidRPr="005B2A44">
        <w:rPr>
          <w:rFonts w:cs="Times New Roman"/>
          <w:szCs w:val="24"/>
        </w:rPr>
        <w:t xml:space="preserve"> Comment to Instruction 10.1 (Civil Rights—Title VII—Disparate Treatment</w:t>
      </w:r>
      <w:r w:rsidRPr="005B2A44">
        <w:rPr>
          <w:rFonts w:cs="Times New Roman"/>
          <w:b/>
          <w:bCs/>
          <w:szCs w:val="24"/>
        </w:rPr>
        <w:t>—</w:t>
      </w:r>
      <w:r w:rsidRPr="005B2A44">
        <w:rPr>
          <w:rFonts w:cs="Times New Roman"/>
          <w:szCs w:val="24"/>
        </w:rPr>
        <w:t>When Evidence Supports “Sole Reason” or “Motivating Factor”).</w:t>
      </w:r>
    </w:p>
    <w:p w14:paraId="783AECA7" w14:textId="77777777" w:rsidR="001255DB" w:rsidRPr="005B2A44" w:rsidRDefault="001255DB" w:rsidP="001255DB">
      <w:pPr>
        <w:autoSpaceDE w:val="0"/>
        <w:autoSpaceDN w:val="0"/>
        <w:adjustRightInd w:val="0"/>
        <w:rPr>
          <w:rFonts w:cs="Times New Roman"/>
          <w:szCs w:val="24"/>
        </w:rPr>
      </w:pPr>
    </w:p>
    <w:p w14:paraId="0795B949" w14:textId="77777777" w:rsidR="001255DB" w:rsidRDefault="001255DB" w:rsidP="001255DB">
      <w:pPr>
        <w:autoSpaceDE w:val="0"/>
        <w:autoSpaceDN w:val="0"/>
        <w:adjustRightInd w:val="0"/>
      </w:pPr>
      <w:r w:rsidRPr="005B2A44">
        <w:rPr>
          <w:rFonts w:cs="Times New Roman"/>
          <w:szCs w:val="24"/>
        </w:rPr>
        <w:tab/>
        <w:t>When an affirmative defense is asserted, this instruction should be accompanied by the appropriate affirmative defense instruction.</w:t>
      </w:r>
    </w:p>
    <w:p w14:paraId="15F1C751" w14:textId="77777777" w:rsidR="001255DB" w:rsidRDefault="001255DB" w:rsidP="001255DB">
      <w:pPr>
        <w:pStyle w:val="Heading2"/>
        <w:jc w:val="left"/>
      </w:pPr>
    </w:p>
    <w:p w14:paraId="4EA1CC8C" w14:textId="77777777" w:rsidR="00305894" w:rsidRDefault="00305894" w:rsidP="00305894">
      <w:pPr>
        <w:ind w:firstLine="720"/>
        <w:rPr>
          <w:rFonts w:cs="Times New Roman"/>
          <w:szCs w:val="24"/>
        </w:rPr>
      </w:pPr>
      <w:r w:rsidRPr="00BF720F">
        <w:rPr>
          <w:rFonts w:cs="Times New Roman"/>
          <w:szCs w:val="24"/>
        </w:rPr>
        <w:t xml:space="preserve">“Because of” means “by reason of” or “on account of.” </w:t>
      </w:r>
      <w:r>
        <w:rPr>
          <w:rFonts w:cs="Times New Roman"/>
          <w:szCs w:val="24"/>
        </w:rPr>
        <w:t xml:space="preserve"> </w:t>
      </w:r>
      <w:r w:rsidRPr="00BF720F">
        <w:rPr>
          <w:rFonts w:cs="Times New Roman"/>
          <w:szCs w:val="24"/>
        </w:rPr>
        <w:t xml:space="preserve">This is sometimes referred to as “but-for causation.” </w:t>
      </w:r>
      <w:r>
        <w:rPr>
          <w:rFonts w:cs="Times New Roman"/>
          <w:szCs w:val="24"/>
        </w:rPr>
        <w:t xml:space="preserve"> </w:t>
      </w:r>
      <w:r w:rsidRPr="00BF720F">
        <w:rPr>
          <w:rFonts w:cs="Times New Roman"/>
          <w:szCs w:val="24"/>
        </w:rPr>
        <w:t>This form of causation is shown whenever a particular outcome would not have happened “but for” the purported cause.</w:t>
      </w:r>
      <w:r>
        <w:rPr>
          <w:rFonts w:cs="Times New Roman"/>
          <w:szCs w:val="24"/>
        </w:rPr>
        <w:t xml:space="preserve"> </w:t>
      </w:r>
      <w:r w:rsidRPr="00BF720F">
        <w:rPr>
          <w:rFonts w:cs="Times New Roman"/>
          <w:szCs w:val="24"/>
        </w:rPr>
        <w:t xml:space="preserve"> It is a reason without which the [</w:t>
      </w:r>
      <w:r w:rsidRPr="00BF720F">
        <w:rPr>
          <w:rFonts w:cs="Times New Roman"/>
          <w:i/>
          <w:iCs/>
          <w:szCs w:val="24"/>
        </w:rPr>
        <w:t>state adverse employment action</w:t>
      </w:r>
      <w:r w:rsidRPr="00BF720F">
        <w:rPr>
          <w:rFonts w:cs="Times New Roman"/>
          <w:szCs w:val="24"/>
        </w:rPr>
        <w:t xml:space="preserve">] would not have occurred. </w:t>
      </w:r>
    </w:p>
    <w:p w14:paraId="3030ED7A" w14:textId="77777777" w:rsidR="00305894" w:rsidRPr="00BF720F" w:rsidRDefault="00305894" w:rsidP="00305894">
      <w:pPr>
        <w:ind w:firstLine="720"/>
        <w:rPr>
          <w:rFonts w:cs="Times New Roman"/>
          <w:szCs w:val="24"/>
        </w:rPr>
      </w:pPr>
    </w:p>
    <w:p w14:paraId="60133A42" w14:textId="77777777" w:rsidR="00305894" w:rsidRDefault="00305894" w:rsidP="00305894">
      <w:pPr>
        <w:ind w:firstLine="720"/>
        <w:rPr>
          <w:rFonts w:cs="Times New Roman"/>
          <w:szCs w:val="24"/>
        </w:rPr>
      </w:pPr>
      <w:r w:rsidRPr="00BF720F">
        <w:rPr>
          <w:rFonts w:cs="Times New Roman"/>
          <w:szCs w:val="24"/>
        </w:rPr>
        <w:t>A but-for test directs us to change one thing at a time and see if the outcome changes.</w:t>
      </w:r>
      <w:r>
        <w:rPr>
          <w:rFonts w:cs="Times New Roman"/>
          <w:szCs w:val="24"/>
        </w:rPr>
        <w:t xml:space="preserve"> </w:t>
      </w:r>
      <w:r w:rsidRPr="00BF720F">
        <w:rPr>
          <w:rFonts w:cs="Times New Roman"/>
          <w:szCs w:val="24"/>
        </w:rPr>
        <w:t xml:space="preserve"> If it does, we have found a “but-for cause.” </w:t>
      </w:r>
      <w:r>
        <w:rPr>
          <w:rFonts w:cs="Times New Roman"/>
          <w:szCs w:val="24"/>
        </w:rPr>
        <w:t xml:space="preserve"> </w:t>
      </w:r>
      <w:r w:rsidRPr="00BF720F">
        <w:rPr>
          <w:rFonts w:cs="Times New Roman"/>
          <w:szCs w:val="24"/>
        </w:rPr>
        <w:t>Often, events have multiple but-for causes.</w:t>
      </w:r>
      <w:r>
        <w:rPr>
          <w:rFonts w:cs="Times New Roman"/>
          <w:szCs w:val="24"/>
        </w:rPr>
        <w:t xml:space="preserve"> </w:t>
      </w:r>
      <w:r w:rsidRPr="00BF720F">
        <w:rPr>
          <w:rFonts w:cs="Times New Roman"/>
          <w:szCs w:val="24"/>
        </w:rPr>
        <w:t xml:space="preserve"> For example, if a car accident occurred both because the defendant ran a red light and because the plaintiff failed to signal his turn at the intersection, we might call each a “but-for cause” of the collision. </w:t>
      </w:r>
    </w:p>
    <w:p w14:paraId="5CAEE71E" w14:textId="77777777" w:rsidR="00305894" w:rsidRPr="00BF720F" w:rsidRDefault="00305894" w:rsidP="00305894">
      <w:pPr>
        <w:ind w:firstLine="720"/>
        <w:rPr>
          <w:rFonts w:cs="Times New Roman"/>
          <w:szCs w:val="24"/>
        </w:rPr>
      </w:pPr>
    </w:p>
    <w:p w14:paraId="3CE54E61" w14:textId="77777777" w:rsidR="00305894" w:rsidRDefault="00305894" w:rsidP="00305894">
      <w:pPr>
        <w:ind w:firstLine="720"/>
        <w:rPr>
          <w:rFonts w:cs="Times New Roman"/>
          <w:szCs w:val="24"/>
        </w:rPr>
      </w:pPr>
      <w:r w:rsidRPr="00BF720F">
        <w:rPr>
          <w:rFonts w:cs="Times New Roman"/>
          <w:szCs w:val="24"/>
        </w:rPr>
        <w:t>In the context of this claim, a defendant cannot avoid liability just by citing some other factor that contributed to the challenged employment decision.</w:t>
      </w:r>
      <w:r>
        <w:rPr>
          <w:rFonts w:cs="Times New Roman"/>
          <w:szCs w:val="24"/>
        </w:rPr>
        <w:t xml:space="preserve"> </w:t>
      </w:r>
      <w:r w:rsidRPr="00BF720F">
        <w:rPr>
          <w:rFonts w:cs="Times New Roman"/>
          <w:szCs w:val="24"/>
        </w:rPr>
        <w:t xml:space="preserve"> So long as the plaintiff’s [race] [color] [religion] [sex] [national origin] was one but-for cause of that decision, that is enough to trigger the law. </w:t>
      </w:r>
      <w:r>
        <w:rPr>
          <w:rFonts w:cs="Times New Roman"/>
          <w:szCs w:val="24"/>
        </w:rPr>
        <w:t xml:space="preserve"> </w:t>
      </w:r>
      <w:r w:rsidRPr="00BF720F">
        <w:rPr>
          <w:rFonts w:cs="Times New Roman"/>
          <w:szCs w:val="24"/>
        </w:rPr>
        <w:t xml:space="preserve">A “but-for cause” does not mean the sole cause or even a primary cause. </w:t>
      </w:r>
    </w:p>
    <w:p w14:paraId="43FCA8F8" w14:textId="77777777" w:rsidR="00305894" w:rsidRPr="00BF720F" w:rsidRDefault="00305894" w:rsidP="00305894">
      <w:pPr>
        <w:ind w:firstLine="720"/>
        <w:rPr>
          <w:rFonts w:cs="Times New Roman"/>
          <w:szCs w:val="24"/>
        </w:rPr>
      </w:pPr>
    </w:p>
    <w:p w14:paraId="4EEB01BE" w14:textId="77777777" w:rsidR="00305894" w:rsidRDefault="00305894" w:rsidP="00305894">
      <w:pPr>
        <w:jc w:val="center"/>
        <w:rPr>
          <w:rFonts w:cs="Times New Roman"/>
          <w:b/>
          <w:bCs/>
          <w:szCs w:val="24"/>
        </w:rPr>
      </w:pPr>
      <w:r w:rsidRPr="00BF720F">
        <w:rPr>
          <w:rFonts w:cs="Times New Roman"/>
          <w:b/>
          <w:bCs/>
          <w:szCs w:val="24"/>
        </w:rPr>
        <w:t>Comment</w:t>
      </w:r>
    </w:p>
    <w:p w14:paraId="28AEB316" w14:textId="77777777" w:rsidR="00305894" w:rsidRPr="00BF720F" w:rsidRDefault="00305894" w:rsidP="00305894">
      <w:pPr>
        <w:jc w:val="center"/>
        <w:rPr>
          <w:rFonts w:cs="Times New Roman"/>
          <w:szCs w:val="24"/>
        </w:rPr>
      </w:pPr>
    </w:p>
    <w:p w14:paraId="51191D65" w14:textId="77777777" w:rsidR="00305894" w:rsidRPr="00BD3179" w:rsidRDefault="00305894" w:rsidP="00305894">
      <w:pPr>
        <w:ind w:firstLine="720"/>
        <w:rPr>
          <w:rFonts w:cs="Times New Roman"/>
          <w:szCs w:val="24"/>
        </w:rPr>
      </w:pPr>
      <w:r w:rsidRPr="00BF720F">
        <w:rPr>
          <w:rFonts w:cs="Times New Roman"/>
          <w:i/>
          <w:iCs/>
          <w:szCs w:val="24"/>
        </w:rPr>
        <w:t xml:space="preserve">See Bostock v. Clayton </w:t>
      </w:r>
      <w:proofErr w:type="spellStart"/>
      <w:r w:rsidRPr="00BF720F">
        <w:rPr>
          <w:rFonts w:cs="Times New Roman"/>
          <w:i/>
          <w:iCs/>
          <w:szCs w:val="24"/>
        </w:rPr>
        <w:t>Cnty</w:t>
      </w:r>
      <w:proofErr w:type="spellEnd"/>
      <w:r w:rsidRPr="00BF720F">
        <w:rPr>
          <w:rFonts w:cs="Times New Roman"/>
          <w:i/>
          <w:iCs/>
          <w:szCs w:val="24"/>
        </w:rPr>
        <w:t>.</w:t>
      </w:r>
      <w:r w:rsidRPr="00BF720F">
        <w:rPr>
          <w:rFonts w:cs="Times New Roman"/>
          <w:szCs w:val="24"/>
        </w:rPr>
        <w:t>, 140 S. Ct. 1731, 1739 (2020) (explaining “because of” and but-for causation in context of claim under Title VII).</w:t>
      </w:r>
    </w:p>
    <w:p w14:paraId="4B8993B1" w14:textId="77777777" w:rsidR="00305894" w:rsidRPr="00073CBA" w:rsidRDefault="00305894" w:rsidP="00305894">
      <w:pPr>
        <w:jc w:val="right"/>
        <w:rPr>
          <w:i/>
          <w:iCs/>
        </w:rPr>
      </w:pPr>
      <w:r w:rsidRPr="00073CBA">
        <w:rPr>
          <w:rFonts w:cs="Times New Roman"/>
          <w:i/>
          <w:iCs/>
          <w:color w:val="000000"/>
        </w:rPr>
        <w:t xml:space="preserve">Revised </w:t>
      </w:r>
      <w:r>
        <w:rPr>
          <w:rFonts w:cs="Times New Roman"/>
          <w:i/>
          <w:iCs/>
          <w:color w:val="000000"/>
        </w:rPr>
        <w:t>Mar. 2022</w:t>
      </w:r>
    </w:p>
    <w:p w14:paraId="77F3CBA2" w14:textId="77777777" w:rsidR="00305894" w:rsidRPr="00073CBA" w:rsidRDefault="00305894" w:rsidP="00305894"/>
    <w:p w14:paraId="5ED7F9FD" w14:textId="77777777" w:rsidR="00305894" w:rsidRPr="00073CBA" w:rsidRDefault="00305894" w:rsidP="00305894"/>
    <w:p w14:paraId="4D6694E6" w14:textId="77777777" w:rsidR="001255DB" w:rsidRDefault="001255DB" w:rsidP="001255DB"/>
    <w:p w14:paraId="757C8BF0" w14:textId="736B18D6" w:rsidR="007A5BA1" w:rsidRDefault="007A5BA1" w:rsidP="001255DB"/>
    <w:p w14:paraId="6374640C" w14:textId="0739AB92" w:rsidR="006A4CD7" w:rsidRPr="006A4CD7" w:rsidRDefault="006A4CD7" w:rsidP="007B75B7">
      <w:pPr>
        <w:pStyle w:val="Heading2"/>
      </w:pPr>
      <w:r w:rsidRPr="006A4CD7">
        <w:br w:type="page"/>
      </w:r>
      <w:bookmarkStart w:id="187" w:name="_Toc117512473"/>
      <w:r w:rsidRPr="006A4CD7">
        <w:lastRenderedPageBreak/>
        <w:t>10.4 C</w:t>
      </w:r>
      <w:r w:rsidR="00893907">
        <w:t>ivil</w:t>
      </w:r>
      <w:r w:rsidRPr="006A4CD7">
        <w:t xml:space="preserve"> R</w:t>
      </w:r>
      <w:r w:rsidR="00893907">
        <w:t>ights</w:t>
      </w:r>
      <w:r w:rsidRPr="006A4CD7">
        <w:t>—T</w:t>
      </w:r>
      <w:r w:rsidR="00893907">
        <w:t>itle</w:t>
      </w:r>
      <w:r w:rsidRPr="006A4CD7">
        <w:t xml:space="preserve"> VII—</w:t>
      </w:r>
      <w:r w:rsidR="00305894" w:rsidRPr="00305894">
        <w:t xml:space="preserve"> </w:t>
      </w:r>
      <w:r w:rsidR="00305894" w:rsidRPr="00073CBA">
        <w:t>Retaliation—Elements and Burden of Proof</w:t>
      </w:r>
      <w:bookmarkEnd w:id="187"/>
    </w:p>
    <w:p w14:paraId="66731251" w14:textId="3F75381E" w:rsidR="00706613" w:rsidRPr="00706613" w:rsidRDefault="00706613" w:rsidP="00706613">
      <w:pPr>
        <w:autoSpaceDE w:val="0"/>
        <w:autoSpaceDN w:val="0"/>
        <w:adjustRightInd w:val="0"/>
        <w:jc w:val="right"/>
        <w:rPr>
          <w:rFonts w:cs="Times New Roman"/>
          <w:i/>
          <w:iCs/>
          <w:szCs w:val="24"/>
        </w:rPr>
      </w:pPr>
      <w:r w:rsidRPr="00706613">
        <w:rPr>
          <w:i/>
          <w:iCs/>
        </w:rPr>
        <w:t xml:space="preserve"> </w:t>
      </w:r>
    </w:p>
    <w:p w14:paraId="109EDEE7" w14:textId="77777777" w:rsidR="00305894" w:rsidRPr="00305894" w:rsidRDefault="00305894" w:rsidP="00305894">
      <w:pPr>
        <w:autoSpaceDE w:val="0"/>
        <w:autoSpaceDN w:val="0"/>
        <w:adjustRightInd w:val="0"/>
        <w:ind w:firstLine="720"/>
        <w:rPr>
          <w:rFonts w:cs="Times New Roman"/>
          <w:szCs w:val="24"/>
        </w:rPr>
      </w:pPr>
      <w:r w:rsidRPr="00305894">
        <w:rPr>
          <w:rFonts w:cs="Times New Roman"/>
          <w:szCs w:val="24"/>
        </w:rPr>
        <w:t>The plaintiff seeks damages against the defendant for retaliation.  The plaintiff has the burden of proving each of the following elements by a preponderance of the evidence:</w:t>
      </w:r>
    </w:p>
    <w:p w14:paraId="39D9EC61" w14:textId="77777777" w:rsidR="00305894" w:rsidRPr="00305894" w:rsidRDefault="00305894" w:rsidP="00305894">
      <w:pPr>
        <w:autoSpaceDE w:val="0"/>
        <w:autoSpaceDN w:val="0"/>
        <w:adjustRightInd w:val="0"/>
        <w:rPr>
          <w:rFonts w:cs="Times New Roman"/>
          <w:szCs w:val="24"/>
        </w:rPr>
      </w:pPr>
    </w:p>
    <w:p w14:paraId="784E225F"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1.</w:t>
      </w:r>
      <w:r w:rsidRPr="00305894">
        <w:rPr>
          <w:rFonts w:cs="Times New Roman"/>
          <w:szCs w:val="24"/>
        </w:rPr>
        <w:tab/>
        <w:t>the plaintiff:</w:t>
      </w:r>
    </w:p>
    <w:p w14:paraId="68898E3F" w14:textId="77777777" w:rsidR="00305894" w:rsidRPr="00305894" w:rsidRDefault="00305894" w:rsidP="00305894">
      <w:pPr>
        <w:autoSpaceDE w:val="0"/>
        <w:autoSpaceDN w:val="0"/>
        <w:adjustRightInd w:val="0"/>
        <w:rPr>
          <w:rFonts w:cs="Times New Roman"/>
          <w:szCs w:val="24"/>
        </w:rPr>
      </w:pPr>
    </w:p>
    <w:p w14:paraId="0022EA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r>
      <w:r w:rsidRPr="00305894">
        <w:rPr>
          <w:rFonts w:cs="Times New Roman"/>
          <w:szCs w:val="24"/>
        </w:rPr>
        <w:tab/>
        <w:t>[participated in an activity protected under federal law, that is [</w:t>
      </w:r>
      <w:r w:rsidRPr="00305894">
        <w:rPr>
          <w:rFonts w:cs="Times New Roman"/>
          <w:i/>
          <w:iCs/>
          <w:szCs w:val="24"/>
          <w:u w:val="single"/>
        </w:rPr>
        <w:t xml:space="preserve">specify protected </w:t>
      </w:r>
      <w:r w:rsidRPr="00305894">
        <w:rPr>
          <w:rFonts w:cs="Times New Roman"/>
          <w:i/>
          <w:iCs/>
          <w:szCs w:val="24"/>
        </w:rPr>
        <w:tab/>
      </w:r>
      <w:r w:rsidRPr="00305894">
        <w:rPr>
          <w:rFonts w:cs="Times New Roman"/>
          <w:i/>
          <w:iCs/>
          <w:szCs w:val="24"/>
        </w:rPr>
        <w:tab/>
      </w:r>
      <w:r w:rsidRPr="00305894">
        <w:rPr>
          <w:rFonts w:cs="Times New Roman"/>
          <w:i/>
          <w:iCs/>
          <w:szCs w:val="24"/>
          <w:u w:val="single"/>
        </w:rPr>
        <w:t>activity, e.g., filing a discrimination complaint</w:t>
      </w:r>
      <w:r w:rsidRPr="00305894">
        <w:rPr>
          <w:rFonts w:cs="Times New Roman"/>
          <w:szCs w:val="24"/>
        </w:rPr>
        <w:t>]]</w:t>
      </w:r>
    </w:p>
    <w:p w14:paraId="569AFFA7" w14:textId="77777777" w:rsidR="00305894" w:rsidRPr="00305894" w:rsidRDefault="00305894" w:rsidP="00305894">
      <w:pPr>
        <w:autoSpaceDE w:val="0"/>
        <w:autoSpaceDN w:val="0"/>
        <w:adjustRightInd w:val="0"/>
        <w:rPr>
          <w:rFonts w:cs="Times New Roman"/>
          <w:szCs w:val="24"/>
        </w:rPr>
      </w:pPr>
    </w:p>
    <w:p w14:paraId="134E920C" w14:textId="77777777" w:rsidR="00305894" w:rsidRPr="00305894" w:rsidRDefault="00305894" w:rsidP="00305894">
      <w:pPr>
        <w:autoSpaceDE w:val="0"/>
        <w:autoSpaceDN w:val="0"/>
        <w:adjustRightInd w:val="0"/>
        <w:jc w:val="center"/>
        <w:rPr>
          <w:rFonts w:cs="Times New Roman"/>
          <w:szCs w:val="24"/>
        </w:rPr>
      </w:pPr>
      <w:r w:rsidRPr="00305894">
        <w:rPr>
          <w:rFonts w:cs="Times New Roman"/>
          <w:i/>
          <w:iCs/>
          <w:szCs w:val="24"/>
        </w:rPr>
        <w:t>or</w:t>
      </w:r>
    </w:p>
    <w:p w14:paraId="48459932" w14:textId="77777777" w:rsidR="00305894" w:rsidRPr="00305894" w:rsidRDefault="00305894" w:rsidP="00305894">
      <w:pPr>
        <w:autoSpaceDE w:val="0"/>
        <w:autoSpaceDN w:val="0"/>
        <w:adjustRightInd w:val="0"/>
        <w:rPr>
          <w:rFonts w:cs="Times New Roman"/>
          <w:szCs w:val="24"/>
        </w:rPr>
      </w:pPr>
    </w:p>
    <w:p w14:paraId="3112EDE7" w14:textId="77777777" w:rsidR="00305894" w:rsidRPr="00305894" w:rsidRDefault="00305894" w:rsidP="00305894">
      <w:pPr>
        <w:autoSpaceDE w:val="0"/>
        <w:autoSpaceDN w:val="0"/>
        <w:adjustRightInd w:val="0"/>
        <w:ind w:left="1440"/>
        <w:rPr>
          <w:rFonts w:cs="Times New Roman"/>
          <w:szCs w:val="24"/>
        </w:rPr>
      </w:pPr>
      <w:r w:rsidRPr="00305894">
        <w:rPr>
          <w:rFonts w:cs="Times New Roman"/>
          <w:szCs w:val="24"/>
        </w:rPr>
        <w:t>[opposed an unlawful employment practice, that is [</w:t>
      </w:r>
      <w:r w:rsidRPr="00305894">
        <w:rPr>
          <w:rFonts w:cs="Times New Roman"/>
          <w:i/>
          <w:iCs/>
          <w:szCs w:val="24"/>
          <w:u w:val="single"/>
        </w:rPr>
        <w:t>specify unlawful employment practice</w:t>
      </w:r>
      <w:r w:rsidRPr="00305894">
        <w:rPr>
          <w:rFonts w:cs="Times New Roman"/>
          <w:szCs w:val="24"/>
        </w:rPr>
        <w:t>]]; and</w:t>
      </w:r>
    </w:p>
    <w:p w14:paraId="3E3D8F7C" w14:textId="77777777" w:rsidR="00305894" w:rsidRPr="00305894" w:rsidRDefault="00305894" w:rsidP="00305894">
      <w:pPr>
        <w:autoSpaceDE w:val="0"/>
        <w:autoSpaceDN w:val="0"/>
        <w:adjustRightInd w:val="0"/>
        <w:rPr>
          <w:rFonts w:cs="Times New Roman"/>
          <w:szCs w:val="24"/>
        </w:rPr>
      </w:pPr>
    </w:p>
    <w:p w14:paraId="5AB65658"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2.</w:t>
      </w:r>
      <w:r w:rsidRPr="00305894">
        <w:rPr>
          <w:rFonts w:cs="Times New Roman"/>
          <w:szCs w:val="24"/>
        </w:rPr>
        <w:tab/>
        <w:t>the employer subjected the plaintiff to an adverse employment action, that is [</w:t>
      </w:r>
      <w:r w:rsidRPr="00305894">
        <w:rPr>
          <w:rFonts w:cs="Times New Roman"/>
          <w:i/>
          <w:iCs/>
          <w:szCs w:val="24"/>
        </w:rPr>
        <w:t>specify adverse employment action</w:t>
      </w:r>
      <w:r w:rsidRPr="00305894">
        <w:rPr>
          <w:rFonts w:cs="Times New Roman"/>
          <w:szCs w:val="24"/>
        </w:rPr>
        <w:t>]; and</w:t>
      </w:r>
    </w:p>
    <w:p w14:paraId="201B670E" w14:textId="77777777" w:rsidR="00305894" w:rsidRPr="00305894" w:rsidRDefault="00305894" w:rsidP="00305894">
      <w:pPr>
        <w:autoSpaceDE w:val="0"/>
        <w:autoSpaceDN w:val="0"/>
        <w:adjustRightInd w:val="0"/>
        <w:ind w:left="1440" w:hanging="720"/>
        <w:rPr>
          <w:rFonts w:cs="Times New Roman"/>
          <w:szCs w:val="24"/>
        </w:rPr>
      </w:pPr>
    </w:p>
    <w:p w14:paraId="564D4BF1" w14:textId="77777777" w:rsidR="00305894" w:rsidRPr="00305894" w:rsidRDefault="00305894" w:rsidP="00305894">
      <w:pPr>
        <w:autoSpaceDE w:val="0"/>
        <w:autoSpaceDN w:val="0"/>
        <w:adjustRightInd w:val="0"/>
        <w:ind w:left="1440" w:hanging="720"/>
        <w:rPr>
          <w:rFonts w:cs="Times New Roman"/>
          <w:szCs w:val="24"/>
        </w:rPr>
      </w:pPr>
      <w:r w:rsidRPr="00305894">
        <w:rPr>
          <w:rFonts w:cs="Times New Roman"/>
          <w:szCs w:val="24"/>
        </w:rPr>
        <w:t>3.</w:t>
      </w:r>
      <w:r w:rsidRPr="00305894">
        <w:rPr>
          <w:rFonts w:cs="Times New Roman"/>
          <w:szCs w:val="24"/>
        </w:rPr>
        <w:tab/>
        <w:t>the plaintiff was subjected to the adverse employment action because of [[his] [her]] [participation in a protected activity] [opposition to an unlawful employment practice].</w:t>
      </w:r>
    </w:p>
    <w:p w14:paraId="6E673DCE" w14:textId="77777777" w:rsidR="00305894" w:rsidRPr="00305894" w:rsidRDefault="00305894" w:rsidP="00305894">
      <w:pPr>
        <w:autoSpaceDE w:val="0"/>
        <w:autoSpaceDN w:val="0"/>
        <w:adjustRightInd w:val="0"/>
        <w:rPr>
          <w:rFonts w:cs="Times New Roman"/>
          <w:i/>
          <w:iCs/>
          <w:szCs w:val="24"/>
        </w:rPr>
      </w:pPr>
    </w:p>
    <w:p w14:paraId="09BAFF33" w14:textId="77777777" w:rsidR="00305894" w:rsidRPr="00305894" w:rsidRDefault="00305894" w:rsidP="00305894">
      <w:pPr>
        <w:autoSpaceDE w:val="0"/>
        <w:autoSpaceDN w:val="0"/>
        <w:adjustRightInd w:val="0"/>
        <w:rPr>
          <w:rFonts w:cs="Times New Roman"/>
          <w:szCs w:val="24"/>
        </w:rPr>
      </w:pPr>
      <w:r w:rsidRPr="00305894">
        <w:rPr>
          <w:rFonts w:cs="Times New Roman"/>
          <w:i/>
          <w:iCs/>
          <w:szCs w:val="24"/>
        </w:rPr>
        <w:tab/>
      </w:r>
      <w:r w:rsidRPr="00305894">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65DD08A3" w14:textId="77777777" w:rsidR="00305894" w:rsidRPr="00305894" w:rsidRDefault="00305894" w:rsidP="00305894">
      <w:pPr>
        <w:autoSpaceDE w:val="0"/>
        <w:autoSpaceDN w:val="0"/>
        <w:adjustRightInd w:val="0"/>
        <w:rPr>
          <w:rFonts w:cs="Times New Roman"/>
          <w:szCs w:val="24"/>
        </w:rPr>
      </w:pPr>
    </w:p>
    <w:p w14:paraId="6BA14F7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2673A5C3" w14:textId="77777777" w:rsidR="00305894" w:rsidRPr="00305894" w:rsidRDefault="00305894" w:rsidP="00305894"/>
    <w:p w14:paraId="3DAAEF99"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61B69E8A" w14:textId="77777777" w:rsidR="00305894" w:rsidRPr="00305894" w:rsidRDefault="00305894" w:rsidP="00305894">
      <w:pPr>
        <w:autoSpaceDE w:val="0"/>
        <w:autoSpaceDN w:val="0"/>
        <w:adjustRightInd w:val="0"/>
        <w:jc w:val="center"/>
        <w:rPr>
          <w:rFonts w:cs="Times New Roman"/>
          <w:b/>
          <w:bCs/>
          <w:szCs w:val="24"/>
        </w:rPr>
      </w:pPr>
    </w:p>
    <w:p w14:paraId="35ED0BCB" w14:textId="77777777" w:rsidR="00305894" w:rsidRPr="00305894" w:rsidRDefault="00305894" w:rsidP="00305894">
      <w:pPr>
        <w:ind w:firstLine="720"/>
        <w:rPr>
          <w:rFonts w:cs="Times New Roman"/>
          <w:szCs w:val="24"/>
        </w:rPr>
      </w:pPr>
      <w:r w:rsidRPr="00305894">
        <w:rPr>
          <w:rFonts w:cs="Times New Roman"/>
          <w:szCs w:val="24"/>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61EA47A8" w14:textId="77777777" w:rsidR="00305894" w:rsidRPr="00305894" w:rsidRDefault="00305894" w:rsidP="00305894"/>
    <w:p w14:paraId="73CBDAD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305894">
        <w:rPr>
          <w:rFonts w:cs="Times New Roman"/>
          <w:i/>
          <w:iCs/>
          <w:szCs w:val="24"/>
        </w:rPr>
        <w:t xml:space="preserve">See Crawford v. Metro. Gov’t of Nashville &amp; Davidson </w:t>
      </w:r>
      <w:proofErr w:type="spellStart"/>
      <w:r w:rsidRPr="00305894">
        <w:rPr>
          <w:rFonts w:cs="Times New Roman"/>
          <w:i/>
          <w:iCs/>
          <w:szCs w:val="24"/>
        </w:rPr>
        <w:t>Cty</w:t>
      </w:r>
      <w:proofErr w:type="spellEnd"/>
      <w:r w:rsidRPr="00305894">
        <w:rPr>
          <w:rFonts w:cs="Times New Roman"/>
          <w:i/>
          <w:iCs/>
          <w:szCs w:val="24"/>
        </w:rPr>
        <w:t>., Tenn</w:t>
      </w:r>
      <w:r w:rsidRPr="00305894">
        <w:rPr>
          <w:rFonts w:cs="Times New Roman"/>
          <w:szCs w:val="24"/>
        </w:rPr>
        <w:t xml:space="preserve">., 555 U.S. 271, 274 (2009) (noting that the “antiretaliation provision has two clauses . . .. The one is known as the ‘opposition clause,’ the other as the ‘participation clause’”); </w:t>
      </w:r>
      <w:r w:rsidRPr="00305894">
        <w:rPr>
          <w:rFonts w:cs="Times New Roman"/>
          <w:i/>
          <w:iCs/>
          <w:szCs w:val="24"/>
        </w:rPr>
        <w:t>Hashimoto v. Dalton</w:t>
      </w:r>
      <w:r w:rsidRPr="00305894">
        <w:rPr>
          <w:rFonts w:cs="Times New Roman"/>
          <w:szCs w:val="24"/>
        </w:rPr>
        <w:t xml:space="preserve">, 118 F.3d 671, 680 (9th Cir. 1997) (“An employer can violate the anti-retaliation provisions of Title VII in either of two ways: ‘(1) if the [adverse employment action] occurs because of the </w:t>
      </w:r>
      <w:r w:rsidRPr="00305894">
        <w:rPr>
          <w:rFonts w:cs="Times New Roman"/>
          <w:szCs w:val="24"/>
        </w:rPr>
        <w:lastRenderedPageBreak/>
        <w:t xml:space="preserve">employee’s opposition to conduct made an unlawful employment practice by the subchapter, or (2) if it is in retaliation for the employee’s participation in the machinery set up by Title VII to </w:t>
      </w:r>
    </w:p>
    <w:p w14:paraId="6E981A29"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enforce its provisions.’” (alterations in original) (citations omitted)).</w:t>
      </w:r>
    </w:p>
    <w:p w14:paraId="5C309AFE" w14:textId="77777777" w:rsidR="00305894" w:rsidRPr="00305894" w:rsidRDefault="00305894" w:rsidP="00305894">
      <w:pPr>
        <w:autoSpaceDE w:val="0"/>
        <w:autoSpaceDN w:val="0"/>
        <w:adjustRightInd w:val="0"/>
        <w:rPr>
          <w:rFonts w:cs="Times New Roman"/>
          <w:szCs w:val="24"/>
        </w:rPr>
      </w:pPr>
    </w:p>
    <w:p w14:paraId="4FB6E51A"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When an affirmative defense is asserted, this instruction should be accompanied by the appropriate affirmative defense instruction.</w:t>
      </w:r>
    </w:p>
    <w:p w14:paraId="368006B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For a definition of “adverse employment action” in the context of retaliation, </w:t>
      </w:r>
      <w:r w:rsidRPr="00305894">
        <w:rPr>
          <w:rFonts w:cs="Times New Roman"/>
          <w:i/>
          <w:iCs/>
          <w:szCs w:val="24"/>
        </w:rPr>
        <w:t>see</w:t>
      </w:r>
      <w:r w:rsidRPr="00305894">
        <w:rPr>
          <w:rFonts w:cs="Times New Roman"/>
          <w:szCs w:val="24"/>
        </w:rPr>
        <w:t xml:space="preserve"> Instruction 10.10 (Civil Rights—Title VII— “Adverse Employment Action” in Retaliation Cases).</w:t>
      </w:r>
    </w:p>
    <w:p w14:paraId="688D6B85" w14:textId="77777777" w:rsidR="00305894" w:rsidRPr="00305894" w:rsidRDefault="00305894" w:rsidP="00305894">
      <w:pPr>
        <w:autoSpaceDE w:val="0"/>
        <w:autoSpaceDN w:val="0"/>
        <w:adjustRightInd w:val="0"/>
        <w:rPr>
          <w:rFonts w:cs="Times New Roman"/>
          <w:szCs w:val="24"/>
        </w:rPr>
      </w:pPr>
    </w:p>
    <w:p w14:paraId="1462C88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 order to be a protected activity, the plaintiff’s opposition must have been directed toward a discriminatory act by an employer or an agent of an employer.  </w:t>
      </w:r>
      <w:r w:rsidRPr="00305894">
        <w:rPr>
          <w:rFonts w:cs="Times New Roman"/>
          <w:i/>
          <w:iCs/>
          <w:szCs w:val="24"/>
        </w:rPr>
        <w:t>See Silver v. KCA, Inc.</w:t>
      </w:r>
      <w:r w:rsidRPr="00305894">
        <w:rPr>
          <w:rFonts w:cs="Times New Roman"/>
          <w:szCs w:val="24"/>
        </w:rPr>
        <w:t xml:space="preserve">, 586 F.2d 138, 140-42 (9th Cir. 1978) (holding that employee’s opposition to a racially discriminatory act of a co-employee cannot be the basis for a retaliation action); </w:t>
      </w:r>
      <w:r w:rsidRPr="00305894">
        <w:rPr>
          <w:rFonts w:cs="Times New Roman"/>
          <w:i/>
          <w:iCs/>
          <w:szCs w:val="24"/>
        </w:rPr>
        <w:t xml:space="preserve">E.E.O.C. v. Crown </w:t>
      </w:r>
      <w:proofErr w:type="spellStart"/>
      <w:r w:rsidRPr="00305894">
        <w:rPr>
          <w:rFonts w:cs="Times New Roman"/>
          <w:i/>
          <w:iCs/>
          <w:szCs w:val="24"/>
        </w:rPr>
        <w:t>Zellerbach</w:t>
      </w:r>
      <w:proofErr w:type="spellEnd"/>
      <w:r w:rsidRPr="00305894">
        <w:rPr>
          <w:rFonts w:cs="Times New Roman"/>
          <w:i/>
          <w:iCs/>
          <w:szCs w:val="24"/>
        </w:rPr>
        <w:t xml:space="preserve"> Corp.</w:t>
      </w:r>
      <w:r w:rsidRPr="00305894">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2CB2A1A8" w14:textId="77777777" w:rsidR="00305894" w:rsidRPr="00305894" w:rsidRDefault="00305894" w:rsidP="00305894">
      <w:pPr>
        <w:autoSpaceDE w:val="0"/>
        <w:autoSpaceDN w:val="0"/>
        <w:adjustRightInd w:val="0"/>
        <w:rPr>
          <w:rFonts w:cs="Times New Roman"/>
          <w:szCs w:val="24"/>
        </w:rPr>
      </w:pPr>
    </w:p>
    <w:p w14:paraId="5BF064A0"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Informal as well as formal complaints or demands are protected activities under Title VII.  </w:t>
      </w:r>
      <w:r w:rsidRPr="00305894">
        <w:rPr>
          <w:rFonts w:cs="Times New Roman"/>
          <w:i/>
          <w:iCs/>
          <w:szCs w:val="24"/>
        </w:rPr>
        <w:t xml:space="preserve">See </w:t>
      </w:r>
      <w:proofErr w:type="spellStart"/>
      <w:r w:rsidRPr="00305894">
        <w:rPr>
          <w:rFonts w:cs="Times New Roman"/>
          <w:i/>
          <w:iCs/>
          <w:szCs w:val="24"/>
        </w:rPr>
        <w:t>Passantino</w:t>
      </w:r>
      <w:proofErr w:type="spellEnd"/>
      <w:r w:rsidRPr="00305894">
        <w:rPr>
          <w:rFonts w:cs="Times New Roman"/>
          <w:i/>
          <w:iCs/>
          <w:szCs w:val="24"/>
        </w:rPr>
        <w:t xml:space="preserve"> v. Johnson &amp; Johnson Consumer Prods., Inc.</w:t>
      </w:r>
      <w:r w:rsidRPr="00305894">
        <w:rPr>
          <w:rFonts w:cs="Times New Roman"/>
          <w:szCs w:val="24"/>
        </w:rPr>
        <w:t>, 212 F.3d 493, 506 (9th Cir. 2000).</w:t>
      </w:r>
    </w:p>
    <w:p w14:paraId="3051299D" w14:textId="77777777" w:rsidR="00305894" w:rsidRPr="00305894" w:rsidRDefault="00305894" w:rsidP="00305894">
      <w:pPr>
        <w:autoSpaceDE w:val="0"/>
        <w:autoSpaceDN w:val="0"/>
        <w:adjustRightInd w:val="0"/>
        <w:rPr>
          <w:rFonts w:cs="Times New Roman"/>
          <w:szCs w:val="24"/>
        </w:rPr>
      </w:pPr>
    </w:p>
    <w:p w14:paraId="34B63D8F"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Regarding the third element, “a plaintiff making a retaliation claim under § 2000e-3(a) must establish that his or her protected activity was a </w:t>
      </w:r>
      <w:proofErr w:type="spellStart"/>
      <w:r w:rsidRPr="00305894">
        <w:rPr>
          <w:rFonts w:cs="Times New Roman"/>
          <w:szCs w:val="24"/>
        </w:rPr>
        <w:t>but</w:t>
      </w:r>
      <w:proofErr w:type="spellEnd"/>
      <w:r w:rsidRPr="00305894">
        <w:rPr>
          <w:rFonts w:cs="Times New Roman"/>
          <w:szCs w:val="24"/>
        </w:rPr>
        <w:t xml:space="preserve">-for cause of the alleged adverse action by the employer.”  </w:t>
      </w:r>
      <w:r w:rsidRPr="00305894">
        <w:rPr>
          <w:rFonts w:cs="Times New Roman"/>
          <w:i/>
          <w:iCs/>
          <w:szCs w:val="24"/>
        </w:rPr>
        <w:t>Univ. of Tex. Sw. Med. Ctr. v. Nassar</w:t>
      </w:r>
      <w:r w:rsidRPr="00305894">
        <w:rPr>
          <w:rFonts w:cs="Times New Roman"/>
          <w:szCs w:val="24"/>
        </w:rPr>
        <w:t xml:space="preserve">, 133 S. Ct. 2517, 2534 (2013) (rejecting motivating factor test in retaliation claim).  The causation element may be inferred based on the proximity in time between the protected action and the retaliatory act; however, if the proximity in time is the only evidence to support plaintiff’s retaliatory act, it must be “very close” in time. </w:t>
      </w:r>
      <w:r w:rsidRPr="00305894">
        <w:rPr>
          <w:rFonts w:cs="Times New Roman"/>
          <w:i/>
          <w:iCs/>
          <w:szCs w:val="24"/>
        </w:rPr>
        <w:t xml:space="preserve">See </w:t>
      </w:r>
      <w:proofErr w:type="spellStart"/>
      <w:r w:rsidRPr="00305894">
        <w:rPr>
          <w:rFonts w:cs="Times New Roman"/>
          <w:i/>
          <w:iCs/>
          <w:szCs w:val="24"/>
        </w:rPr>
        <w:t>Yartzoff</w:t>
      </w:r>
      <w:proofErr w:type="spellEnd"/>
      <w:r w:rsidRPr="00305894">
        <w:rPr>
          <w:rFonts w:cs="Times New Roman"/>
          <w:i/>
          <w:iCs/>
          <w:szCs w:val="24"/>
        </w:rPr>
        <w:t xml:space="preserve"> v. Thomas</w:t>
      </w:r>
      <w:r w:rsidRPr="00305894">
        <w:rPr>
          <w:rFonts w:cs="Times New Roman"/>
          <w:szCs w:val="24"/>
        </w:rPr>
        <w:t xml:space="preserve">, 809 F.2d 1371, 1376 (9th Cir. 1987) (holding causation may be inferred from proximity in time between acts); </w:t>
      </w:r>
      <w:r w:rsidRPr="00305894">
        <w:rPr>
          <w:rFonts w:cs="Times New Roman"/>
          <w:i/>
          <w:iCs/>
          <w:szCs w:val="24"/>
        </w:rPr>
        <w:t>Clark County Sch. Dist. v. Breeden</w:t>
      </w:r>
      <w:r w:rsidRPr="00305894">
        <w:rPr>
          <w:rFonts w:cs="Times New Roman"/>
          <w:szCs w:val="24"/>
        </w:rPr>
        <w:t xml:space="preserve">, 532 U.S. 268, 273-74 (2001). There is no per se too long or too short period of time that satisfies the causation requirement.  </w:t>
      </w:r>
      <w:r w:rsidRPr="00305894">
        <w:rPr>
          <w:rFonts w:cs="Times New Roman"/>
          <w:i/>
          <w:iCs/>
          <w:szCs w:val="24"/>
        </w:rPr>
        <w:t>Howard v. City of Coos Bay</w:t>
      </w:r>
      <w:r w:rsidRPr="00305894">
        <w:rPr>
          <w:rFonts w:cs="Times New Roman"/>
          <w:szCs w:val="24"/>
        </w:rPr>
        <w:t>, 871 F.3d 1032, 1046 (9th Cir. 2017).</w:t>
      </w:r>
    </w:p>
    <w:p w14:paraId="4E646267" w14:textId="77777777" w:rsidR="00305894" w:rsidRPr="00305894" w:rsidRDefault="00305894" w:rsidP="00305894">
      <w:pPr>
        <w:autoSpaceDE w:val="0"/>
        <w:autoSpaceDN w:val="0"/>
        <w:adjustRightInd w:val="0"/>
        <w:rPr>
          <w:rFonts w:cs="Times New Roman"/>
          <w:szCs w:val="24"/>
        </w:rPr>
      </w:pPr>
    </w:p>
    <w:p w14:paraId="7C1FDFE2"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Individuals who violate 42 U.S.C. § 1981 for retaliatory conduct can be held personally liable for punitive damages “1) if they participated in the deprivation of Plaintiffs’ constitutional rights; 2) for their own culpable action or inaction in the training, supervision, or control of their subordinates; 3) for their acquiescence in the constitutional deprivations; or 4) for conduct that showed a reckless or callous indifference to the rights of others.”  </w:t>
      </w:r>
      <w:r w:rsidRPr="00305894">
        <w:rPr>
          <w:rFonts w:cs="Times New Roman"/>
          <w:i/>
          <w:iCs/>
          <w:szCs w:val="24"/>
        </w:rPr>
        <w:t>Flores v. City of Westminster</w:t>
      </w:r>
      <w:r w:rsidRPr="00305894">
        <w:rPr>
          <w:rFonts w:cs="Times New Roman"/>
          <w:szCs w:val="24"/>
        </w:rPr>
        <w:t>, 873 F.3d 739, 757 (9th Cir. 2017).</w:t>
      </w:r>
    </w:p>
    <w:p w14:paraId="6DDCD277" w14:textId="77777777" w:rsidR="00305894" w:rsidRPr="00305894" w:rsidRDefault="00305894" w:rsidP="00305894">
      <w:pPr>
        <w:autoSpaceDE w:val="0"/>
        <w:autoSpaceDN w:val="0"/>
        <w:adjustRightInd w:val="0"/>
        <w:rPr>
          <w:rFonts w:cs="Times New Roman"/>
          <w:szCs w:val="24"/>
        </w:rPr>
      </w:pPr>
    </w:p>
    <w:p w14:paraId="4B8318B0" w14:textId="77777777" w:rsidR="00305894" w:rsidRPr="00305894" w:rsidRDefault="00305894" w:rsidP="00305894">
      <w:pPr>
        <w:autoSpaceDE w:val="0"/>
        <w:autoSpaceDN w:val="0"/>
        <w:adjustRightInd w:val="0"/>
        <w:rPr>
          <w:rFonts w:cs="Times New Roman"/>
          <w:szCs w:val="24"/>
        </w:rPr>
      </w:pPr>
    </w:p>
    <w:p w14:paraId="7F5702B5" w14:textId="77777777" w:rsidR="00305894" w:rsidRPr="00305894" w:rsidRDefault="00305894" w:rsidP="00305894">
      <w:pPr>
        <w:autoSpaceDE w:val="0"/>
        <w:autoSpaceDN w:val="0"/>
        <w:adjustRightInd w:val="0"/>
        <w:jc w:val="right"/>
        <w:rPr>
          <w:rFonts w:cs="Times New Roman"/>
          <w:i/>
          <w:iCs/>
          <w:szCs w:val="24"/>
        </w:rPr>
      </w:pPr>
      <w:r w:rsidRPr="00305894">
        <w:rPr>
          <w:rFonts w:cs="Times New Roman"/>
          <w:i/>
          <w:iCs/>
          <w:szCs w:val="24"/>
        </w:rPr>
        <w:t>Revised Mar. 2022</w:t>
      </w:r>
    </w:p>
    <w:p w14:paraId="7A52D395" w14:textId="7DFECE8A" w:rsidR="006A4CD7" w:rsidRPr="006A4CD7" w:rsidRDefault="006A4CD7" w:rsidP="007B75B7">
      <w:pPr>
        <w:pStyle w:val="Heading2"/>
      </w:pPr>
      <w:r w:rsidRPr="006A4CD7">
        <w:br w:type="page"/>
      </w:r>
      <w:bookmarkStart w:id="188" w:name="_Toc117512474"/>
      <w:r w:rsidRPr="006A4CD7">
        <w:lastRenderedPageBreak/>
        <w:t xml:space="preserve">10.5 </w:t>
      </w:r>
      <w:r w:rsidR="00893907" w:rsidRPr="00893907">
        <w:t>Civil Rights—Title VII—Hostile Work Environment—Harassment Because of Protected Characteristics—Elements</w:t>
      </w:r>
      <w:bookmarkEnd w:id="188"/>
    </w:p>
    <w:p w14:paraId="568C04FF" w14:textId="77777777" w:rsidR="006A4CD7" w:rsidRPr="006A4CD7" w:rsidRDefault="006A4CD7" w:rsidP="00B0631D"/>
    <w:p w14:paraId="29CCE06E" w14:textId="77777777" w:rsidR="00942D23" w:rsidRPr="006A4CD7" w:rsidRDefault="006A4CD7" w:rsidP="00942D23">
      <w:pPr>
        <w:autoSpaceDE w:val="0"/>
        <w:autoSpaceDN w:val="0"/>
        <w:adjustRightInd w:val="0"/>
        <w:rPr>
          <w:rFonts w:cs="Times New Roman"/>
          <w:szCs w:val="24"/>
        </w:rPr>
      </w:pPr>
      <w:r w:rsidRPr="006A4CD7">
        <w:rPr>
          <w:rFonts w:cs="Times New Roman"/>
          <w:szCs w:val="24"/>
        </w:rPr>
        <w:tab/>
      </w:r>
      <w:r w:rsidR="00942D23" w:rsidRPr="006A4CD7">
        <w:rPr>
          <w:rFonts w:cs="Times New Roman"/>
          <w:szCs w:val="24"/>
        </w:rPr>
        <w:t>The plaintiff seeks damages against the defendant for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while employed by the defendant.  In order to establish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the plaintiff must prove each of the following elements by a preponderance of the evidence:</w:t>
      </w:r>
    </w:p>
    <w:p w14:paraId="33CAA1A5" w14:textId="77777777" w:rsidR="00942D23" w:rsidRPr="006A4CD7" w:rsidRDefault="00942D23" w:rsidP="00942D23">
      <w:pPr>
        <w:autoSpaceDE w:val="0"/>
        <w:autoSpaceDN w:val="0"/>
        <w:adjustRightInd w:val="0"/>
        <w:rPr>
          <w:rFonts w:cs="Times New Roman"/>
          <w:szCs w:val="24"/>
        </w:rPr>
      </w:pPr>
    </w:p>
    <w:p w14:paraId="7FA80DEE"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r w:rsidRPr="006A4CD7">
        <w:rPr>
          <w:rFonts w:cs="Times New Roman"/>
          <w:szCs w:val="24"/>
        </w:rPr>
        <w:t xml:space="preserve">]; </w:t>
      </w:r>
    </w:p>
    <w:p w14:paraId="6D2B5F3D" w14:textId="77777777" w:rsidR="00942D23" w:rsidRPr="006A4CD7" w:rsidRDefault="00942D23" w:rsidP="00942D23">
      <w:pPr>
        <w:autoSpaceDE w:val="0"/>
        <w:autoSpaceDN w:val="0"/>
        <w:adjustRightInd w:val="0"/>
        <w:ind w:left="1440" w:hanging="720"/>
        <w:rPr>
          <w:rFonts w:cs="Times New Roman"/>
          <w:szCs w:val="24"/>
        </w:rPr>
      </w:pPr>
    </w:p>
    <w:p w14:paraId="33F1AA10"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conduct was unwelcome;</w:t>
      </w:r>
    </w:p>
    <w:p w14:paraId="5915E7E0" w14:textId="77777777" w:rsidR="00942D23" w:rsidRPr="006A4CD7" w:rsidRDefault="00942D23" w:rsidP="00942D23">
      <w:pPr>
        <w:autoSpaceDE w:val="0"/>
        <w:autoSpaceDN w:val="0"/>
        <w:adjustRightInd w:val="0"/>
        <w:ind w:left="1440" w:hanging="720"/>
        <w:rPr>
          <w:rFonts w:cs="Times New Roman"/>
          <w:szCs w:val="24"/>
        </w:rPr>
      </w:pPr>
    </w:p>
    <w:p w14:paraId="386D61D4"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abusive or hostile work environment;</w:t>
      </w:r>
    </w:p>
    <w:p w14:paraId="574ED99B" w14:textId="77777777" w:rsidR="00942D23" w:rsidRPr="006A4CD7" w:rsidRDefault="00942D23" w:rsidP="00942D23">
      <w:pPr>
        <w:autoSpaceDE w:val="0"/>
        <w:autoSpaceDN w:val="0"/>
        <w:adjustRightInd w:val="0"/>
        <w:ind w:left="1440" w:hanging="720"/>
        <w:rPr>
          <w:rFonts w:cs="Times New Roman"/>
          <w:szCs w:val="24"/>
        </w:rPr>
      </w:pPr>
    </w:p>
    <w:p w14:paraId="06FEF61D"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7E34721A" w14:textId="77777777" w:rsidR="00942D23" w:rsidRPr="006A4CD7" w:rsidRDefault="00942D23" w:rsidP="00942D23">
      <w:pPr>
        <w:autoSpaceDE w:val="0"/>
        <w:autoSpaceDN w:val="0"/>
        <w:adjustRightInd w:val="0"/>
        <w:ind w:left="1440" w:hanging="720"/>
        <w:rPr>
          <w:rFonts w:cs="Times New Roman"/>
          <w:szCs w:val="24"/>
        </w:rPr>
      </w:pPr>
    </w:p>
    <w:p w14:paraId="3D0A38CC"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4C31AC92" w14:textId="77777777" w:rsidR="00942D23" w:rsidRPr="006A4CD7" w:rsidRDefault="00942D23" w:rsidP="00942D23">
      <w:pPr>
        <w:autoSpaceDE w:val="0"/>
        <w:autoSpaceDN w:val="0"/>
        <w:adjustRightInd w:val="0"/>
        <w:rPr>
          <w:rFonts w:cs="Times New Roman"/>
          <w:szCs w:val="24"/>
        </w:rPr>
      </w:pPr>
    </w:p>
    <w:p w14:paraId="28B63B4D"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720DBFC7" w14:textId="77777777" w:rsidR="00942D23" w:rsidRPr="006A4CD7" w:rsidRDefault="00942D23" w:rsidP="00942D23"/>
    <w:p w14:paraId="14832816" w14:textId="77777777" w:rsidR="00942D23" w:rsidRPr="006A4CD7" w:rsidRDefault="00942D23" w:rsidP="00942D23">
      <w:pPr>
        <w:autoSpaceDE w:val="0"/>
        <w:autoSpaceDN w:val="0"/>
        <w:adjustRightInd w:val="0"/>
        <w:jc w:val="center"/>
        <w:rPr>
          <w:rFonts w:cs="Times New Roman"/>
          <w:szCs w:val="24"/>
        </w:rPr>
      </w:pPr>
      <w:r w:rsidRPr="006A4CD7">
        <w:rPr>
          <w:rFonts w:cs="Times New Roman"/>
          <w:b/>
          <w:bCs/>
          <w:szCs w:val="24"/>
        </w:rPr>
        <w:t>Comment</w:t>
      </w:r>
    </w:p>
    <w:p w14:paraId="06A591F6" w14:textId="77777777" w:rsidR="00942D23" w:rsidRPr="006A4CD7" w:rsidRDefault="00942D23" w:rsidP="00942D23"/>
    <w:p w14:paraId="18DD462A"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7BD96AC8" w14:textId="77777777" w:rsidR="00942D23" w:rsidRPr="006A4CD7" w:rsidRDefault="00942D23" w:rsidP="00942D23">
      <w:pPr>
        <w:autoSpaceDE w:val="0"/>
        <w:autoSpaceDN w:val="0"/>
        <w:adjustRightInd w:val="0"/>
        <w:rPr>
          <w:rFonts w:cs="Times New Roman"/>
          <w:szCs w:val="24"/>
        </w:rPr>
      </w:pPr>
    </w:p>
    <w:p w14:paraId="5EE27D54" w14:textId="03CD6BFC" w:rsidR="00942D23" w:rsidRDefault="00942D23" w:rsidP="00942D23">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7AB443BD" w14:textId="77777777" w:rsidR="00C31ADD" w:rsidRPr="006A4CD7" w:rsidRDefault="00C31ADD" w:rsidP="00942D23">
      <w:pPr>
        <w:autoSpaceDE w:val="0"/>
        <w:autoSpaceDN w:val="0"/>
        <w:adjustRightInd w:val="0"/>
        <w:rPr>
          <w:rFonts w:cs="Times New Roman"/>
          <w:szCs w:val="24"/>
        </w:rPr>
      </w:pPr>
    </w:p>
    <w:p w14:paraId="16B7E03E" w14:textId="77777777" w:rsidR="009412F2" w:rsidRDefault="00942D23" w:rsidP="00942D23">
      <w:pPr>
        <w:autoSpaceDE w:val="0"/>
        <w:autoSpaceDN w:val="0"/>
        <w:adjustRightInd w:val="0"/>
        <w:rPr>
          <w:rFonts w:cs="Times New Roman"/>
          <w:szCs w:val="24"/>
        </w:rPr>
      </w:pPr>
      <w:r w:rsidRPr="006A4CD7">
        <w:rPr>
          <w:rFonts w:cs="Times New Roman"/>
          <w:szCs w:val="24"/>
        </w:rPr>
        <w:tab/>
        <w:t xml:space="preserve">When an affirmative defense is asserted, this instruction should be accompanied by the </w:t>
      </w:r>
    </w:p>
    <w:p w14:paraId="6BA28180" w14:textId="77777777" w:rsidR="009412F2" w:rsidRDefault="009412F2" w:rsidP="00942D23">
      <w:pPr>
        <w:autoSpaceDE w:val="0"/>
        <w:autoSpaceDN w:val="0"/>
        <w:adjustRightInd w:val="0"/>
        <w:rPr>
          <w:rFonts w:cs="Times New Roman"/>
          <w:szCs w:val="24"/>
        </w:rPr>
      </w:pPr>
    </w:p>
    <w:p w14:paraId="37931600" w14:textId="544EEB2F" w:rsidR="00942D23" w:rsidRDefault="00942D23" w:rsidP="00942D23">
      <w:pPr>
        <w:autoSpaceDE w:val="0"/>
        <w:autoSpaceDN w:val="0"/>
        <w:adjustRightInd w:val="0"/>
        <w:rPr>
          <w:rFonts w:cs="Times New Roman"/>
          <w:szCs w:val="24"/>
        </w:rPr>
      </w:pPr>
      <w:r w:rsidRPr="006A4CD7">
        <w:rPr>
          <w:rFonts w:cs="Times New Roman"/>
          <w:szCs w:val="24"/>
        </w:rPr>
        <w:lastRenderedPageBreak/>
        <w:t>appropriate affirmative defense instruction.</w:t>
      </w:r>
    </w:p>
    <w:p w14:paraId="72A14243" w14:textId="77777777" w:rsidR="009412F2" w:rsidRPr="006A4CD7" w:rsidRDefault="009412F2" w:rsidP="00942D23">
      <w:pPr>
        <w:autoSpaceDE w:val="0"/>
        <w:autoSpaceDN w:val="0"/>
        <w:adjustRightInd w:val="0"/>
        <w:rPr>
          <w:rFonts w:cs="Times New Roman"/>
          <w:szCs w:val="24"/>
        </w:rPr>
      </w:pPr>
    </w:p>
    <w:p w14:paraId="20BFD897" w14:textId="77777777" w:rsidR="00942D23" w:rsidRDefault="00942D23" w:rsidP="00942D23">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proofErr w:type="spellStart"/>
      <w:r w:rsidRPr="006A4CD7">
        <w:rPr>
          <w:rFonts w:cs="Times New Roman"/>
          <w:i/>
          <w:iCs/>
          <w:szCs w:val="24"/>
        </w:rPr>
        <w:t>McGinest</w:t>
      </w:r>
      <w:proofErr w:type="spellEnd"/>
      <w:r w:rsidRPr="006A4CD7">
        <w:rPr>
          <w:rFonts w:cs="Times New Roman"/>
          <w:i/>
          <w:iCs/>
          <w:szCs w:val="24"/>
        </w:rPr>
        <w:t xml:space="preserve">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7AE4E37B" w14:textId="77777777" w:rsidR="00942D23" w:rsidRPr="00D36AFA" w:rsidRDefault="00942D23" w:rsidP="00942D23">
      <w:pPr>
        <w:autoSpaceDE w:val="0"/>
        <w:autoSpaceDN w:val="0"/>
        <w:adjustRightInd w:val="0"/>
        <w:rPr>
          <w:rFonts w:cs="Times New Roman"/>
          <w:szCs w:val="24"/>
        </w:rPr>
      </w:pPr>
    </w:p>
    <w:p w14:paraId="39F7E297" w14:textId="77777777" w:rsidR="00942D23" w:rsidRPr="00D36AFA" w:rsidRDefault="00942D23" w:rsidP="00942D23">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proofErr w:type="spellStart"/>
      <w:r w:rsidRPr="00D36AFA">
        <w:rPr>
          <w:i/>
          <w:iCs/>
        </w:rPr>
        <w:t>Nat’l</w:t>
      </w:r>
      <w:proofErr w:type="spellEnd"/>
      <w:r w:rsidRPr="00D36AFA">
        <w:rPr>
          <w:i/>
          <w:iCs/>
        </w:rPr>
        <w:t xml:space="preserve"> R.R. Passenger Corp. v. Morgan</w:t>
      </w:r>
      <w:r w:rsidRPr="00D36AFA">
        <w:t>, 536 U.S. 101, 120–21 (2002)).</w:t>
      </w:r>
    </w:p>
    <w:p w14:paraId="75BC8CE6" w14:textId="77777777" w:rsidR="00942D23" w:rsidRPr="00D36AFA" w:rsidRDefault="00942D23" w:rsidP="00942D23">
      <w:pPr>
        <w:autoSpaceDE w:val="0"/>
        <w:autoSpaceDN w:val="0"/>
        <w:adjustRightInd w:val="0"/>
        <w:rPr>
          <w:rFonts w:cs="Times New Roman"/>
          <w:szCs w:val="24"/>
        </w:rPr>
      </w:pPr>
    </w:p>
    <w:p w14:paraId="5D764FC9" w14:textId="77777777" w:rsidR="00942D23" w:rsidRPr="00D36AFA" w:rsidRDefault="00942D23" w:rsidP="00942D23">
      <w:pPr>
        <w:autoSpaceDE w:val="0"/>
        <w:autoSpaceDN w:val="0"/>
        <w:adjustRightInd w:val="0"/>
        <w:rPr>
          <w:rFonts w:cs="Times New Roman"/>
          <w:szCs w:val="24"/>
        </w:rPr>
      </w:pPr>
    </w:p>
    <w:p w14:paraId="06C25DBC" w14:textId="77777777" w:rsidR="00942D23" w:rsidRPr="00D36AFA" w:rsidRDefault="00942D23" w:rsidP="00942D23">
      <w:pPr>
        <w:autoSpaceDE w:val="0"/>
        <w:autoSpaceDN w:val="0"/>
        <w:adjustRightInd w:val="0"/>
        <w:jc w:val="right"/>
        <w:rPr>
          <w:rFonts w:cs="Times New Roman"/>
          <w:i/>
          <w:iCs/>
          <w:szCs w:val="24"/>
        </w:rPr>
      </w:pPr>
      <w:r w:rsidRPr="00D36AFA">
        <w:rPr>
          <w:rFonts w:cs="Times New Roman"/>
          <w:i/>
          <w:iCs/>
          <w:szCs w:val="24"/>
        </w:rPr>
        <w:t>Revised Mar. 2021</w:t>
      </w:r>
    </w:p>
    <w:p w14:paraId="58110DE9" w14:textId="6992A76C" w:rsidR="006A4CD7" w:rsidRPr="006A4CD7" w:rsidRDefault="006A4CD7" w:rsidP="00942D23">
      <w:pPr>
        <w:autoSpaceDE w:val="0"/>
        <w:autoSpaceDN w:val="0"/>
        <w:adjustRightInd w:val="0"/>
      </w:pPr>
    </w:p>
    <w:p w14:paraId="214F78B1" w14:textId="4A58B0D0" w:rsidR="006A4CD7" w:rsidRPr="006A4CD7" w:rsidRDefault="006A4CD7" w:rsidP="007B75B7">
      <w:pPr>
        <w:pStyle w:val="Heading2"/>
      </w:pPr>
      <w:r w:rsidRPr="006A4CD7">
        <w:br w:type="page"/>
      </w:r>
      <w:bookmarkStart w:id="189" w:name="_Toc117512475"/>
      <w:r w:rsidRPr="006A4CD7">
        <w:lastRenderedPageBreak/>
        <w:t xml:space="preserve">10.6 </w:t>
      </w:r>
      <w:r w:rsidR="00893907" w:rsidRPr="00893907">
        <w:t>Civil Rights—Title VII—Hostile Work Environment Caused by Supervisor—Claim Based on Vicarious Liability—Tangible Employment Action—Affirmative Defense</w:t>
      </w:r>
      <w:bookmarkEnd w:id="189"/>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is someone who is empowered by the employer to take tangible employment actions regarding the employee, such as hiring, firing, failing to promote, reassigning with significantly different responsibilities, or significantly changing benefits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 xml:space="preserve">If </w:t>
      </w:r>
      <w:proofErr w:type="spellStart"/>
      <w:r w:rsidRPr="006A4CD7">
        <w:rPr>
          <w:rFonts w:cs="Times New Roman"/>
          <w:i/>
          <w:iCs/>
          <w:szCs w:val="24"/>
          <w:u w:val="single"/>
        </w:rPr>
        <w:t>Ellerth</w:t>
      </w:r>
      <w:proofErr w:type="spellEnd"/>
      <w:r w:rsidRPr="006A4CD7">
        <w:rPr>
          <w:rFonts w:cs="Times New Roman"/>
          <w:i/>
          <w:iCs/>
          <w:szCs w:val="24"/>
          <w:u w:val="single"/>
        </w:rPr>
        <w:t>/Faragher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denying the plaintiff’s claim, the defendant has asserted an affirmative defense.  Before you consider this affirmative defense, you must first decide whether the plaintiff has proved by a preponderance of the evidence that [he] [she] suffered a tangible employment action as a result of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that [he] [she] suffered a tangible employment action as a result of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44C9ECB2" w14:textId="77777777" w:rsidR="009412F2" w:rsidRDefault="006A4CD7" w:rsidP="009412F2">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00C7194C" w14:textId="77777777" w:rsidR="009412F2" w:rsidRDefault="009412F2" w:rsidP="009412F2">
      <w:pPr>
        <w:autoSpaceDE w:val="0"/>
        <w:autoSpaceDN w:val="0"/>
        <w:adjustRightInd w:val="0"/>
        <w:rPr>
          <w:rFonts w:cs="Times New Roman"/>
          <w:szCs w:val="24"/>
        </w:rPr>
      </w:pPr>
    </w:p>
    <w:p w14:paraId="067B52D7" w14:textId="118A46B4" w:rsidR="006A4CD7" w:rsidRPr="006A4CD7" w:rsidRDefault="006A4CD7" w:rsidP="009412F2">
      <w:pPr>
        <w:autoSpaceDE w:val="0"/>
        <w:autoSpaceDN w:val="0"/>
        <w:adjustRightInd w:val="0"/>
        <w:jc w:val="center"/>
        <w:rPr>
          <w:rFonts w:cs="Times New Roman"/>
          <w:szCs w:val="24"/>
        </w:rPr>
      </w:pPr>
      <w:r w:rsidRPr="006A4CD7">
        <w:rPr>
          <w:rFonts w:cs="Times New Roman"/>
          <w:b/>
          <w:bCs/>
          <w:szCs w:val="24"/>
        </w:rPr>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Environment—Harassment Because of Protected Characteristics—Elements) and, if applicable, Instruction 10.12 (Civil Rights—Title VII—Tangible Employment Action Defined).</w:t>
      </w: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affirmative defense is applicable.  Use the entire instruction if an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to effect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proofErr w:type="spellStart"/>
      <w:r w:rsidRPr="006A4CD7">
        <w:rPr>
          <w:rFonts w:cs="Times New Roman"/>
          <w:i/>
          <w:iCs/>
          <w:szCs w:val="24"/>
        </w:rPr>
        <w:t>Ellerth</w:t>
      </w:r>
      <w:proofErr w:type="spellEnd"/>
      <w:r w:rsidRPr="006A4CD7">
        <w:rPr>
          <w:rFonts w:cs="Times New Roman"/>
          <w:szCs w:val="24"/>
        </w:rPr>
        <w:t xml:space="preserve">, 524 U.S. at 761);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proofErr w:type="spellStart"/>
      <w:r w:rsidRPr="006A4CD7">
        <w:rPr>
          <w:rFonts w:cs="Times New Roman"/>
          <w:i/>
          <w:iCs/>
          <w:szCs w:val="24"/>
        </w:rPr>
        <w:t>Ellerth</w:t>
      </w:r>
      <w:proofErr w:type="spellEnd"/>
      <w:r w:rsidRPr="006A4CD7">
        <w:rPr>
          <w:rFonts w:cs="Times New Roman"/>
          <w:i/>
          <w:iCs/>
          <w:szCs w:val="24"/>
        </w:rPr>
        <w:t>/Faragher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 xml:space="preserve">See Penn. State Police v. </w:t>
      </w:r>
      <w:proofErr w:type="spellStart"/>
      <w:r w:rsidRPr="006A4CD7">
        <w:rPr>
          <w:rFonts w:cs="Times New Roman"/>
          <w:i/>
          <w:iCs/>
          <w:szCs w:val="24"/>
        </w:rPr>
        <w:t>Suders</w:t>
      </w:r>
      <w:proofErr w:type="spellEnd"/>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xml:space="preserve">; </w:t>
      </w:r>
      <w:proofErr w:type="spellStart"/>
      <w:r w:rsidRPr="006A4CD7">
        <w:rPr>
          <w:rFonts w:cs="Times New Roman"/>
          <w:i/>
          <w:iCs/>
          <w:szCs w:val="24"/>
        </w:rPr>
        <w:t>Ellerth</w:t>
      </w:r>
      <w:proofErr w:type="spellEnd"/>
      <w:r w:rsidRPr="006A4CD7">
        <w:rPr>
          <w:rFonts w:cs="Times New Roman"/>
          <w:szCs w:val="24"/>
        </w:rPr>
        <w:t>, 524 U.S. at 765.</w:t>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the harasser is not the plaintiff’s supervisor, an employer’s liability can only be based on negligence.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1FAE829D" w:rsidR="006A4CD7" w:rsidRPr="006A4CD7" w:rsidRDefault="006A4CD7" w:rsidP="00366940">
      <w:pPr>
        <w:pStyle w:val="Heading2"/>
      </w:pPr>
      <w:r w:rsidRPr="006A4CD7">
        <w:br w:type="page"/>
      </w:r>
      <w:bookmarkStart w:id="190" w:name="_Toc117512476"/>
      <w:r w:rsidRPr="006A4CD7">
        <w:lastRenderedPageBreak/>
        <w:t xml:space="preserve">10.7 </w:t>
      </w:r>
      <w:r w:rsidR="00893907" w:rsidRPr="00893907">
        <w:t>Civil Rights—Title VII—Hostile Work Environment Caused by Non-Immediate</w:t>
      </w:r>
      <w:r w:rsidR="007B75B7">
        <w:t xml:space="preserve"> </w:t>
      </w:r>
      <w:r w:rsidR="00893907" w:rsidRPr="00893907">
        <w:t>Supervisor or by Co-Worker—Claim Based on Negligence</w:t>
      </w:r>
      <w:bookmarkEnd w:id="190"/>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 elements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6F72A09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w:t>
      </w:r>
      <w:proofErr w:type="spellStart"/>
      <w:r w:rsidRPr="006A4CD7">
        <w:rPr>
          <w:rFonts w:cs="Times New Roman"/>
          <w:szCs w:val="24"/>
        </w:rPr>
        <w:t>harassee’s</w:t>
      </w:r>
      <w:proofErr w:type="spellEnd"/>
      <w:r w:rsidRPr="006A4CD7">
        <w:rPr>
          <w:rFonts w:cs="Times New Roman"/>
          <w:szCs w:val="24"/>
        </w:rPr>
        <w:t xml:space="preserve">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02FB45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w:t>
      </w:r>
      <w:r w:rsidR="00C31ADD" w:rsidRPr="006A4CD7">
        <w:rPr>
          <w:rFonts w:cs="Times New Roman"/>
          <w:szCs w:val="24"/>
        </w:rPr>
        <w:t>. . ..</w:t>
      </w:r>
      <w:r w:rsidRPr="006A4CD7">
        <w:rPr>
          <w:rFonts w:cs="Times New Roman"/>
          <w:szCs w:val="24"/>
        </w:rPr>
        <w:t xml:space="preserve">” to “duty in fact to communicate to management </w:t>
      </w:r>
      <w:r w:rsidR="00C31ADD" w:rsidRPr="006A4CD7">
        <w:rPr>
          <w:rFonts w:cs="Times New Roman"/>
          <w:szCs w:val="24"/>
        </w:rPr>
        <w:t>. . ..</w:t>
      </w:r>
      <w:r w:rsidRPr="006A4CD7">
        <w:rPr>
          <w:rFonts w:cs="Times New Roman"/>
          <w:szCs w:val="24"/>
        </w:rPr>
        <w:t xml:space="preserve">”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proofErr w:type="spellStart"/>
      <w:r w:rsidRPr="006A4CD7">
        <w:rPr>
          <w:rFonts w:cs="Times New Roman"/>
          <w:i/>
          <w:iCs/>
          <w:szCs w:val="24"/>
        </w:rPr>
        <w:t>Mockler</w:t>
      </w:r>
      <w:proofErr w:type="spellEnd"/>
      <w:r w:rsidRPr="006A4CD7">
        <w:rPr>
          <w:rFonts w:cs="Times New Roman"/>
          <w:i/>
          <w:iCs/>
          <w:szCs w:val="24"/>
        </w:rPr>
        <w:t xml:space="preserve"> v. Multnomah County</w:t>
      </w:r>
      <w:r w:rsidRPr="006A4CD7">
        <w:rPr>
          <w:rFonts w:cs="Times New Roman"/>
          <w:szCs w:val="24"/>
        </w:rPr>
        <w:t xml:space="preserve">, 140 F.3d 808, 812 (9th Cir. 1998).  The text of the instruction addressing remedial action is based on </w:t>
      </w:r>
      <w:proofErr w:type="spellStart"/>
      <w:r w:rsidRPr="006A4CD7">
        <w:rPr>
          <w:rFonts w:cs="Times New Roman"/>
          <w:i/>
          <w:iCs/>
          <w:szCs w:val="24"/>
        </w:rPr>
        <w:t>Mockler</w:t>
      </w:r>
      <w:proofErr w:type="spellEnd"/>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505AE7E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w:t>
      </w:r>
      <w:r w:rsidR="00C31ADD" w:rsidRPr="006A4CD7">
        <w:rPr>
          <w:rFonts w:cs="Times New Roman"/>
          <w:szCs w:val="24"/>
        </w:rPr>
        <w:t>harassment and</w:t>
      </w:r>
      <w:r w:rsidRPr="006A4CD7">
        <w:rPr>
          <w:rFonts w:cs="Times New Roman"/>
          <w:szCs w:val="24"/>
        </w:rPr>
        <w:t xml:space="preserve"> took no effectual action to correct the situation.”  </w:t>
      </w:r>
      <w:proofErr w:type="spellStart"/>
      <w:r w:rsidRPr="006A4CD7">
        <w:rPr>
          <w:rFonts w:cs="Times New Roman"/>
          <w:i/>
          <w:iCs/>
          <w:szCs w:val="24"/>
        </w:rPr>
        <w:t>Mockler</w:t>
      </w:r>
      <w:proofErr w:type="spellEnd"/>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 xml:space="preserve">see also </w:t>
      </w:r>
      <w:proofErr w:type="spellStart"/>
      <w:r w:rsidRPr="006A4CD7">
        <w:rPr>
          <w:rFonts w:cs="Times New Roman"/>
          <w:i/>
          <w:iCs/>
          <w:szCs w:val="24"/>
        </w:rPr>
        <w:t>Reynaga</w:t>
      </w:r>
      <w:proofErr w:type="spellEnd"/>
      <w:r w:rsidRPr="006A4CD7">
        <w:rPr>
          <w:rFonts w:cs="Times New Roman"/>
          <w:i/>
          <w:iCs/>
          <w:szCs w:val="24"/>
        </w:rPr>
        <w:t xml:space="preserve">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w:t>
      </w:r>
      <w:proofErr w:type="spellStart"/>
      <w:r w:rsidRPr="006A4CD7">
        <w:rPr>
          <w:rFonts w:cs="Times New Roman"/>
          <w:szCs w:val="24"/>
        </w:rPr>
        <w:t>rompt</w:t>
      </w:r>
      <w:proofErr w:type="spellEnd"/>
      <w:r w:rsidRPr="006A4CD7">
        <w:rPr>
          <w:rFonts w:cs="Times New Roman"/>
          <w:szCs w:val="24"/>
        </w:rPr>
        <w:t xml:space="preserve">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02B4838C" w:rsidR="006A4CD7" w:rsidRPr="006A4CD7" w:rsidRDefault="006A4CD7" w:rsidP="00366940">
      <w:pPr>
        <w:pStyle w:val="Heading2"/>
      </w:pPr>
      <w:r w:rsidRPr="006A4CD7">
        <w:br w:type="page"/>
      </w:r>
      <w:bookmarkStart w:id="191" w:name="_Toc117512477"/>
      <w:r w:rsidRPr="006A4CD7">
        <w:lastRenderedPageBreak/>
        <w:t xml:space="preserve">10.8 </w:t>
      </w:r>
      <w:r w:rsidR="00893907" w:rsidRPr="00893907">
        <w:t>Civil Rights—Title VII—Retaliation—Elements and Burden of Proof</w:t>
      </w:r>
      <w:bookmarkEnd w:id="191"/>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5C1103">
      <w:pPr>
        <w:autoSpaceDE w:val="0"/>
        <w:autoSpaceDN w:val="0"/>
        <w:adjustRightInd w:val="0"/>
        <w:jc w:val="center"/>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199EA2FC" w:rsid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5DF6E77" w14:textId="179DD207" w:rsidR="001940D2" w:rsidRDefault="001940D2" w:rsidP="0060759C">
      <w:pPr>
        <w:autoSpaceDE w:val="0"/>
        <w:autoSpaceDN w:val="0"/>
        <w:adjustRightInd w:val="0"/>
        <w:jc w:val="center"/>
        <w:rPr>
          <w:rFonts w:cs="Times New Roman"/>
          <w:b/>
          <w:bCs/>
          <w:szCs w:val="24"/>
        </w:rPr>
      </w:pPr>
    </w:p>
    <w:p w14:paraId="1C8F27B1" w14:textId="4188C82E" w:rsidR="001940D2" w:rsidRPr="001940D2" w:rsidRDefault="001940D2" w:rsidP="001940D2">
      <w:pPr>
        <w:autoSpaceDE w:val="0"/>
        <w:autoSpaceDN w:val="0"/>
        <w:adjustRightInd w:val="0"/>
        <w:rPr>
          <w:rFonts w:cs="Times New Roman"/>
          <w:b/>
          <w:bCs/>
          <w:szCs w:val="24"/>
        </w:rPr>
      </w:pPr>
      <w:r>
        <w:rPr>
          <w:rFonts w:cs="Times New Roman"/>
          <w:b/>
          <w:bCs/>
          <w:szCs w:val="24"/>
        </w:rPr>
        <w:tab/>
      </w:r>
      <w:r w:rsidRPr="001940D2">
        <w:rPr>
          <w:rFonts w:cs="Times New Roman"/>
          <w:color w:val="000000"/>
          <w:szCs w:val="24"/>
          <w:shd w:val="clear" w:color="auto" w:fill="FFFFFF"/>
        </w:rPr>
        <w:t>Because the third element is whether the plaintiff was subjected to the adverse employment action “because of” his or her participation in a protected activity or opposition to an unlawful employment practice, consider including the definition of “because of” from Instruction 10.3.</w:t>
      </w:r>
    </w:p>
    <w:p w14:paraId="431C1EB0" w14:textId="77777777" w:rsidR="006A4CD7" w:rsidRPr="006A4CD7" w:rsidRDefault="006A4CD7" w:rsidP="00B0631D"/>
    <w:p w14:paraId="28D21776" w14:textId="456172F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 xml:space="preserve">See Crawford v. Metro. Gov’t of Nashville &amp; Davidson </w:t>
      </w:r>
      <w:proofErr w:type="spellStart"/>
      <w:r w:rsidRPr="006A4CD7">
        <w:rPr>
          <w:rFonts w:cs="Times New Roman"/>
          <w:i/>
          <w:iCs/>
          <w:szCs w:val="24"/>
        </w:rPr>
        <w:t>Cty</w:t>
      </w:r>
      <w:proofErr w:type="spellEnd"/>
      <w:r w:rsidRPr="006A4CD7">
        <w:rPr>
          <w:rFonts w:cs="Times New Roman"/>
          <w:i/>
          <w:iCs/>
          <w:szCs w:val="24"/>
        </w:rPr>
        <w:t>., Tenn</w:t>
      </w:r>
      <w:r w:rsidRPr="006A4CD7">
        <w:rPr>
          <w:rFonts w:cs="Times New Roman"/>
          <w:szCs w:val="24"/>
        </w:rPr>
        <w:t>., 555</w:t>
      </w:r>
      <w:r w:rsidR="00366940">
        <w:rPr>
          <w:rFonts w:cs="Times New Roman"/>
          <w:szCs w:val="24"/>
        </w:rPr>
        <w:t xml:space="preserve"> </w:t>
      </w:r>
      <w:r w:rsidRPr="006A4CD7">
        <w:rPr>
          <w:rFonts w:cs="Times New Roman"/>
          <w:szCs w:val="24"/>
        </w:rPr>
        <w:t xml:space="preserve">U.S. 271, 274 (2009) (noting that the “antiretaliation provision has two clauses </w:t>
      </w:r>
      <w:r w:rsidR="005C1103" w:rsidRPr="006A4CD7">
        <w:rPr>
          <w:rFonts w:cs="Times New Roman"/>
          <w:szCs w:val="24"/>
        </w:rPr>
        <w:t>. . ..</w:t>
      </w:r>
      <w:r w:rsidRPr="006A4CD7">
        <w:rPr>
          <w:rFonts w:cs="Times New Roman"/>
          <w:szCs w:val="24"/>
        </w:rPr>
        <w:t xml:space="preserve">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lastRenderedPageBreak/>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(alterations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234BEF35" w14:textId="3A3C6098"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324819F" w14:textId="1A66458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w:t>
      </w:r>
      <w:r w:rsidR="005C1103" w:rsidRPr="006A4CD7">
        <w:rPr>
          <w:rFonts w:cs="Times New Roman"/>
          <w:szCs w:val="24"/>
        </w:rPr>
        <w:t>— “</w:t>
      </w:r>
      <w:r w:rsidRPr="006A4CD7">
        <w:rPr>
          <w:rFonts w:cs="Times New Roman"/>
          <w:szCs w:val="24"/>
        </w:rPr>
        <w:t>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 xml:space="preserve">E.E.O.C. v. Crown </w:t>
      </w:r>
      <w:proofErr w:type="spellStart"/>
      <w:r w:rsidRPr="006A4CD7">
        <w:rPr>
          <w:rFonts w:cs="Times New Roman"/>
          <w:i/>
          <w:iCs/>
          <w:szCs w:val="24"/>
        </w:rPr>
        <w:t>Zellerbach</w:t>
      </w:r>
      <w:proofErr w:type="spellEnd"/>
      <w:r w:rsidRPr="006A4CD7">
        <w:rPr>
          <w:rFonts w:cs="Times New Roman"/>
          <w:i/>
          <w:iCs/>
          <w:szCs w:val="24"/>
        </w:rPr>
        <w:t xml:space="preserve">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 xml:space="preserve">See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w:t>
      </w:r>
      <w:proofErr w:type="spellStart"/>
      <w:r w:rsidRPr="006A4CD7">
        <w:rPr>
          <w:rFonts w:cs="Times New Roman"/>
          <w:szCs w:val="24"/>
        </w:rPr>
        <w:t>but</w:t>
      </w:r>
      <w:proofErr w:type="spellEnd"/>
      <w:r w:rsidRPr="006A4CD7">
        <w:rPr>
          <w:rFonts w:cs="Times New Roman"/>
          <w:szCs w:val="24"/>
        </w:rPr>
        <w:t xml:space="preserve">-for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 xml:space="preserve">See </w:t>
      </w:r>
      <w:proofErr w:type="spellStart"/>
      <w:r w:rsidRPr="006A4CD7">
        <w:rPr>
          <w:rFonts w:cs="Times New Roman"/>
          <w:i/>
          <w:iCs/>
          <w:szCs w:val="24"/>
        </w:rPr>
        <w:t>Yartzoff</w:t>
      </w:r>
      <w:proofErr w:type="spellEnd"/>
      <w:r w:rsidRPr="006A4CD7">
        <w:rPr>
          <w:rFonts w:cs="Times New Roman"/>
          <w:i/>
          <w:iCs/>
          <w:szCs w:val="24"/>
        </w:rPr>
        <w:t xml:space="preserve">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58ADCAB0" w:rsidR="006A4CD7" w:rsidRPr="006A4CD7" w:rsidRDefault="006A4CD7" w:rsidP="00366940">
      <w:pPr>
        <w:pStyle w:val="Heading2"/>
      </w:pPr>
      <w:r w:rsidRPr="006A4CD7">
        <w:br w:type="page"/>
      </w:r>
      <w:bookmarkStart w:id="192" w:name="_Toc117512478"/>
      <w:r w:rsidRPr="006A4CD7">
        <w:lastRenderedPageBreak/>
        <w:t xml:space="preserve">10.9 </w:t>
      </w:r>
      <w:r w:rsidR="00893907" w:rsidRPr="00893907">
        <w:t>Civil Rights—Title VII</w:t>
      </w:r>
      <w:r w:rsidR="005C1103" w:rsidRPr="00893907">
        <w:t>— “</w:t>
      </w:r>
      <w:r w:rsidR="00893907" w:rsidRPr="00893907">
        <w:t>Adverse Employment Action” Defined</w:t>
      </w:r>
      <w:bookmarkEnd w:id="192"/>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1CCF5CB9" w14:textId="635A146C" w:rsidR="006A4CD7" w:rsidRPr="006A4CD7" w:rsidRDefault="006A4CD7" w:rsidP="007A6519">
      <w:pPr>
        <w:pStyle w:val="Heading2"/>
      </w:pPr>
      <w:r w:rsidRPr="006A4CD7">
        <w:br w:type="page"/>
      </w:r>
      <w:bookmarkStart w:id="193" w:name="_Toc117512479"/>
      <w:r w:rsidRPr="006A4CD7">
        <w:lastRenderedPageBreak/>
        <w:t xml:space="preserve">10.10 </w:t>
      </w:r>
      <w:r w:rsidR="00893907" w:rsidRPr="00893907">
        <w:t>Civil Rights—Title VII</w:t>
      </w:r>
      <w:r w:rsidR="005C1103" w:rsidRPr="00893907">
        <w:t>— “</w:t>
      </w:r>
      <w:r w:rsidR="00893907" w:rsidRPr="00893907">
        <w:t>Adverse Employment Action” in Retaliation Cases</w:t>
      </w:r>
      <w:bookmarkEnd w:id="193"/>
    </w:p>
    <w:p w14:paraId="5A24ED23" w14:textId="77777777" w:rsidR="006A4CD7" w:rsidRPr="006A4CD7" w:rsidRDefault="006A4CD7" w:rsidP="00B0631D"/>
    <w:p w14:paraId="55AA3F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B0631D"/>
    <w:p w14:paraId="32CCB66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B0631D"/>
    <w:p w14:paraId="4B9B4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60759C">
      <w:pPr>
        <w:autoSpaceDE w:val="0"/>
        <w:autoSpaceDN w:val="0"/>
        <w:adjustRightInd w:val="0"/>
        <w:rPr>
          <w:rFonts w:cs="Times New Roman"/>
          <w:szCs w:val="24"/>
        </w:rPr>
      </w:pPr>
    </w:p>
    <w:p w14:paraId="0B57A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Actions such as firing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366940"/>
    <w:p w14:paraId="62545A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Adverse employment actions take many forms.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Dahlia v. Rodriguez</w:t>
      </w:r>
      <w:r w:rsidRPr="006A4CD7">
        <w:rPr>
          <w:rFonts w:cs="Times New Roman"/>
          <w:szCs w:val="24"/>
        </w:rPr>
        <w:t>, 735 F.3d 1060, 1078 (9th Cir. 2013)</w:t>
      </w:r>
      <w:r w:rsidRPr="006A4CD7">
        <w:rPr>
          <w:rFonts w:cs="Times New Roman"/>
          <w:i/>
          <w:iCs/>
          <w:szCs w:val="24"/>
        </w:rPr>
        <w:t xml:space="preserve"> </w:t>
      </w:r>
      <w:r w:rsidRPr="006A4CD7">
        <w:rPr>
          <w:rFonts w:cs="Times New Roman"/>
          <w:szCs w:val="24"/>
        </w:rPr>
        <w:t>(</w:t>
      </w:r>
      <w:proofErr w:type="spellStart"/>
      <w:r w:rsidRPr="006A4CD7">
        <w:rPr>
          <w:rFonts w:cs="Times New Roman"/>
          <w:szCs w:val="24"/>
        </w:rPr>
        <w:t>en</w:t>
      </w:r>
      <w:proofErr w:type="spellEnd"/>
      <w:r w:rsidRPr="006A4CD7">
        <w:rPr>
          <w:rFonts w:cs="Times New Roman"/>
          <w:szCs w:val="24"/>
        </w:rPr>
        <w:t xml:space="preserve"> banc) (involving employee’s placement on administrative leave, deprivation of ability to take promotional exam, and loss of pay and opportunities for investigative or other job experience); </w:t>
      </w:r>
      <w:r w:rsidRPr="006A4CD7">
        <w:rPr>
          <w:rFonts w:cs="Times New Roman"/>
          <w:i/>
          <w:iCs/>
          <w:szCs w:val="24"/>
        </w:rPr>
        <w:t xml:space="preserve">Manatt v. Bank of Am., NA, </w:t>
      </w:r>
      <w:r w:rsidRPr="006A4CD7">
        <w:rPr>
          <w:rFonts w:cs="Times New Roman"/>
          <w:szCs w:val="24"/>
        </w:rPr>
        <w:t xml:space="preserve">339 F.3d 792, 802 (9th Cir. 2003) (involving denial of transfer); </w:t>
      </w:r>
      <w:r w:rsidRPr="006A4CD7">
        <w:rPr>
          <w:rFonts w:cs="Times New Roman"/>
          <w:i/>
          <w:iCs/>
          <w:szCs w:val="24"/>
        </w:rPr>
        <w:t xml:space="preserve">Little v. Windermere Relocation, Inc., </w:t>
      </w:r>
      <w:r w:rsidRPr="006A4CD7">
        <w:rPr>
          <w:rFonts w:cs="Times New Roman"/>
          <w:szCs w:val="24"/>
        </w:rPr>
        <w:t xml:space="preserve">301 F.3d 958, 970 (9th Cir. 2002) (involving cut in monthly base salary); </w:t>
      </w:r>
      <w:proofErr w:type="spellStart"/>
      <w:r w:rsidRPr="006A4CD7">
        <w:rPr>
          <w:rFonts w:cs="Times New Roman"/>
          <w:i/>
          <w:iCs/>
          <w:szCs w:val="24"/>
        </w:rPr>
        <w:t>Passantino</w:t>
      </w:r>
      <w:proofErr w:type="spellEnd"/>
      <w:r w:rsidRPr="006A4CD7">
        <w:rPr>
          <w:rFonts w:cs="Times New Roman"/>
          <w:i/>
          <w:iCs/>
          <w:szCs w:val="24"/>
        </w:rPr>
        <w:t xml:space="preserve"> v. Johnson &amp; Johnson Consumer Prods., Inc.</w:t>
      </w:r>
      <w:r w:rsidRPr="006A4CD7">
        <w:rPr>
          <w:rFonts w:cs="Times New Roman"/>
          <w:szCs w:val="24"/>
        </w:rPr>
        <w:t xml:space="preserve">, 212 F.3d 493, 500-01, 506 (9th Cir. 2000) (involving low rating on job performance review, decreased job responsibilities, and failure to receive promotions); </w:t>
      </w:r>
      <w:r w:rsidRPr="006A4CD7">
        <w:rPr>
          <w:rFonts w:cs="Times New Roman"/>
          <w:i/>
          <w:iCs/>
          <w:szCs w:val="24"/>
        </w:rPr>
        <w:t>Hashimoto v. Dalton</w:t>
      </w:r>
      <w:r w:rsidRPr="006A4CD7">
        <w:rPr>
          <w:rFonts w:cs="Times New Roman"/>
          <w:szCs w:val="24"/>
        </w:rPr>
        <w:t xml:space="preserve">, 118 F.3d 671, 674 (9th Cir. 1997) (involving negative job reference); </w:t>
      </w:r>
      <w:r w:rsidRPr="006A4CD7">
        <w:rPr>
          <w:rFonts w:cs="Times New Roman"/>
          <w:i/>
          <w:iCs/>
          <w:szCs w:val="24"/>
        </w:rPr>
        <w:t>Miller v. Fairchild Indus., Inc.</w:t>
      </w:r>
      <w:r w:rsidRPr="006A4CD7">
        <w:rPr>
          <w:rFonts w:cs="Times New Roman"/>
          <w:szCs w:val="24"/>
        </w:rPr>
        <w:t xml:space="preserve">, 885 F.2d 498, 505 (9th Cir. 1989) (involving layoff); </w:t>
      </w:r>
      <w:proofErr w:type="spellStart"/>
      <w:r w:rsidRPr="006A4CD7">
        <w:rPr>
          <w:rFonts w:cs="Times New Roman"/>
          <w:i/>
          <w:iCs/>
          <w:szCs w:val="24"/>
        </w:rPr>
        <w:t>Yartzoff</w:t>
      </w:r>
      <w:proofErr w:type="spellEnd"/>
      <w:r w:rsidRPr="006A4CD7">
        <w:rPr>
          <w:rFonts w:cs="Times New Roman"/>
          <w:i/>
          <w:iCs/>
          <w:szCs w:val="24"/>
        </w:rPr>
        <w:t xml:space="preserve"> v. Thomas</w:t>
      </w:r>
      <w:r w:rsidRPr="006A4CD7">
        <w:rPr>
          <w:rFonts w:cs="Times New Roman"/>
          <w:szCs w:val="24"/>
        </w:rPr>
        <w:t xml:space="preserve">, 809 F.2d 1371, 1376 (9th Cir. 1987) (involving transfer of job duties and “undeserved” performance ratings); </w:t>
      </w:r>
      <w:r w:rsidRPr="006A4CD7">
        <w:rPr>
          <w:rFonts w:cs="Times New Roman"/>
          <w:i/>
          <w:iCs/>
          <w:szCs w:val="24"/>
        </w:rPr>
        <w:t>Ruggles v. Cal. Poly. State Univ.</w:t>
      </w:r>
      <w:r w:rsidRPr="006A4CD7">
        <w:rPr>
          <w:rFonts w:cs="Times New Roman"/>
          <w:szCs w:val="24"/>
        </w:rPr>
        <w:t xml:space="preserve">, 797 F.2d 782, 785 (9th Cir. 1986) (involving failure to hire); </w:t>
      </w:r>
      <w:r w:rsidRPr="006A4CD7">
        <w:rPr>
          <w:rFonts w:cs="Times New Roman"/>
          <w:i/>
          <w:iCs/>
          <w:szCs w:val="24"/>
        </w:rPr>
        <w:t xml:space="preserve">E.E.O.C. v. Crown </w:t>
      </w:r>
      <w:proofErr w:type="spellStart"/>
      <w:r w:rsidRPr="006A4CD7">
        <w:rPr>
          <w:rFonts w:cs="Times New Roman"/>
          <w:i/>
          <w:iCs/>
          <w:szCs w:val="24"/>
        </w:rPr>
        <w:t>Zellerbach</w:t>
      </w:r>
      <w:proofErr w:type="spellEnd"/>
      <w:r w:rsidRPr="006A4CD7">
        <w:rPr>
          <w:rFonts w:cs="Times New Roman"/>
          <w:i/>
          <w:iCs/>
          <w:szCs w:val="24"/>
        </w:rPr>
        <w:t xml:space="preserve"> Corp.</w:t>
      </w:r>
      <w:r w:rsidRPr="006A4CD7">
        <w:rPr>
          <w:rFonts w:cs="Times New Roman"/>
          <w:szCs w:val="24"/>
        </w:rPr>
        <w:t>, 720 F.2d 1008, 1012 (9th Cir. 1983)</w:t>
      </w:r>
      <w:r w:rsidRPr="006A4CD7">
        <w:rPr>
          <w:rFonts w:cs="Times New Roman"/>
          <w:i/>
          <w:iCs/>
          <w:szCs w:val="24"/>
        </w:rPr>
        <w:t xml:space="preserve"> </w:t>
      </w:r>
      <w:r w:rsidRPr="006A4CD7">
        <w:rPr>
          <w:rFonts w:cs="Times New Roman"/>
          <w:szCs w:val="24"/>
        </w:rPr>
        <w:t>(involving four-month disciplinary suspension).</w:t>
      </w:r>
    </w:p>
    <w:p w14:paraId="592CF272" w14:textId="77777777" w:rsidR="006A4CD7" w:rsidRPr="006A4CD7" w:rsidRDefault="006A4CD7" w:rsidP="0060759C">
      <w:pPr>
        <w:autoSpaceDE w:val="0"/>
        <w:autoSpaceDN w:val="0"/>
        <w:adjustRightInd w:val="0"/>
        <w:rPr>
          <w:rFonts w:cs="Times New Roman"/>
          <w:szCs w:val="24"/>
        </w:rPr>
      </w:pPr>
    </w:p>
    <w:p w14:paraId="2C5DD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 conduct, however, may not constitute an adverse employment action. </w:t>
      </w:r>
      <w:r w:rsidRPr="006A4CD7">
        <w:rPr>
          <w:rFonts w:cs="Times New Roman"/>
          <w:i/>
          <w:iCs/>
          <w:szCs w:val="24"/>
        </w:rPr>
        <w:t xml:space="preserve">See, e.g., Lyons v. England, </w:t>
      </w:r>
      <w:r w:rsidRPr="006A4CD7">
        <w:rPr>
          <w:rFonts w:cs="Times New Roman"/>
          <w:szCs w:val="24"/>
        </w:rPr>
        <w:t xml:space="preserve">307 F.3d 1092, 1118 (9th Cir. 2002) (involving “mediocre” performance evaluation not made available to other potential employers and unaccompanied by any meaningful change in work assignments); </w:t>
      </w:r>
      <w:r w:rsidRPr="006A4CD7">
        <w:rPr>
          <w:rFonts w:cs="Times New Roman"/>
          <w:i/>
          <w:iCs/>
          <w:szCs w:val="24"/>
        </w:rPr>
        <w:t>Brooks v. City of San Mateo</w:t>
      </w:r>
      <w:r w:rsidRPr="006A4CD7">
        <w:rPr>
          <w:rFonts w:cs="Times New Roman"/>
          <w:szCs w:val="24"/>
        </w:rPr>
        <w:t xml:space="preserve">, 229 F.3d 917, 929 (9th Cir. 2000) (involving ostracism by co-workers); </w:t>
      </w:r>
      <w:proofErr w:type="spellStart"/>
      <w:r w:rsidRPr="006A4CD7">
        <w:rPr>
          <w:rFonts w:cs="Times New Roman"/>
          <w:i/>
          <w:iCs/>
          <w:szCs w:val="24"/>
        </w:rPr>
        <w:t>McAlindin</w:t>
      </w:r>
      <w:proofErr w:type="spellEnd"/>
      <w:r w:rsidRPr="006A4CD7">
        <w:rPr>
          <w:rFonts w:cs="Times New Roman"/>
          <w:i/>
          <w:iCs/>
          <w:szCs w:val="24"/>
        </w:rPr>
        <w:t xml:space="preserve"> v. County of San Diego</w:t>
      </w:r>
      <w:r w:rsidRPr="006A4CD7">
        <w:rPr>
          <w:rFonts w:cs="Times New Roman"/>
          <w:szCs w:val="24"/>
        </w:rPr>
        <w:t xml:space="preserve">, 192 F.3d 1226, 1238-39 (9th Cir. 1999) (involving refusal to hold job open beyond period dictated by company’s leave policy), </w:t>
      </w:r>
      <w:r w:rsidRPr="006A4CD7">
        <w:rPr>
          <w:rFonts w:cs="Times New Roman"/>
          <w:i/>
          <w:iCs/>
          <w:szCs w:val="24"/>
        </w:rPr>
        <w:t>amended by</w:t>
      </w:r>
      <w:r w:rsidRPr="006A4CD7">
        <w:rPr>
          <w:rFonts w:cs="Times New Roman"/>
          <w:szCs w:val="24"/>
        </w:rPr>
        <w:t xml:space="preserve"> 201 F.3d 1211; </w:t>
      </w:r>
      <w:r w:rsidRPr="006A4CD7">
        <w:rPr>
          <w:rFonts w:cs="Times New Roman"/>
          <w:i/>
          <w:iCs/>
          <w:szCs w:val="24"/>
        </w:rPr>
        <w:t>Nunez v. City of Los Angeles</w:t>
      </w:r>
      <w:r w:rsidRPr="006A4CD7">
        <w:rPr>
          <w:rFonts w:cs="Times New Roman"/>
          <w:szCs w:val="24"/>
        </w:rPr>
        <w:t xml:space="preserve">, 147 F.3d 867, 875 (9th Cir. 1998) (involving “badmouthing” of employee); </w:t>
      </w:r>
      <w:proofErr w:type="spellStart"/>
      <w:r w:rsidRPr="006A4CD7">
        <w:rPr>
          <w:rFonts w:cs="Times New Roman"/>
          <w:i/>
          <w:iCs/>
          <w:szCs w:val="24"/>
        </w:rPr>
        <w:t>Nidds</w:t>
      </w:r>
      <w:proofErr w:type="spellEnd"/>
      <w:r w:rsidRPr="006A4CD7">
        <w:rPr>
          <w:rFonts w:cs="Times New Roman"/>
          <w:i/>
          <w:iCs/>
          <w:szCs w:val="24"/>
        </w:rPr>
        <w:t xml:space="preserve"> v. Schindler Elevator Corp.</w:t>
      </w:r>
      <w:r w:rsidRPr="006A4CD7">
        <w:rPr>
          <w:rFonts w:cs="Times New Roman"/>
          <w:szCs w:val="24"/>
        </w:rPr>
        <w:t>, 113 F.3d 912, 919 (9th Cir. 1996) (involving transfer with no effect on salary).</w:t>
      </w:r>
    </w:p>
    <w:p w14:paraId="26EE8997" w14:textId="70C96EF1" w:rsidR="006A4CD7" w:rsidRPr="006A4CD7" w:rsidRDefault="006A4CD7" w:rsidP="007A6519">
      <w:pPr>
        <w:pStyle w:val="Heading2"/>
      </w:pPr>
      <w:r w:rsidRPr="006A4CD7">
        <w:br w:type="page"/>
      </w:r>
      <w:bookmarkStart w:id="194" w:name="_Toc117512480"/>
      <w:r w:rsidRPr="006A4CD7">
        <w:lastRenderedPageBreak/>
        <w:t xml:space="preserve">10.11 </w:t>
      </w:r>
      <w:r w:rsidR="00893907" w:rsidRPr="00893907">
        <w:t>Civil Rights—Title VII</w:t>
      </w:r>
      <w:r w:rsidR="005C1103" w:rsidRPr="00893907">
        <w:t>— “</w:t>
      </w:r>
      <w:r w:rsidR="00893907" w:rsidRPr="00893907">
        <w:t>Adverse Employment Action”</w:t>
      </w:r>
      <w:r w:rsidR="00893907">
        <w:t xml:space="preserve"> </w:t>
      </w:r>
      <w:r w:rsidR="00893907" w:rsidRPr="00893907">
        <w:t>in Disparate Treatment Cases</w:t>
      </w:r>
      <w:bookmarkEnd w:id="194"/>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1AF39F76"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w:t>
      </w:r>
      <w:r w:rsidR="005C1103" w:rsidRPr="006A4CD7">
        <w:rPr>
          <w:rFonts w:cs="Times New Roman"/>
          <w:szCs w:val="24"/>
        </w:rPr>
        <w:t>— “</w:t>
      </w:r>
      <w:r w:rsidRPr="006A4CD7">
        <w:rPr>
          <w:rFonts w:cs="Times New Roman"/>
          <w:szCs w:val="24"/>
        </w:rPr>
        <w:t xml:space="preserve">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339 F.3d 1158, 1169 (9th Cir. 2003) (“[D]</w:t>
      </w:r>
      <w:proofErr w:type="spellStart"/>
      <w:r w:rsidRPr="006A4CD7">
        <w:rPr>
          <w:rFonts w:cs="Times New Roman"/>
          <w:szCs w:val="24"/>
        </w:rPr>
        <w:t>etermining</w:t>
      </w:r>
      <w:proofErr w:type="spellEnd"/>
      <w:r w:rsidRPr="006A4CD7">
        <w:rPr>
          <w:rFonts w:cs="Times New Roman"/>
          <w:szCs w:val="24"/>
        </w:rPr>
        <w:t xml:space="preserve">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1C61E3B4" w:rsidR="006A4CD7" w:rsidRPr="006A4CD7" w:rsidRDefault="006A4CD7" w:rsidP="009F103E">
      <w:pPr>
        <w:pStyle w:val="Heading2"/>
      </w:pPr>
      <w:r w:rsidRPr="006A4CD7">
        <w:br w:type="page"/>
      </w:r>
      <w:bookmarkStart w:id="195" w:name="_Toc117512481"/>
      <w:r w:rsidRPr="006A4CD7">
        <w:lastRenderedPageBreak/>
        <w:t xml:space="preserve">10.12 </w:t>
      </w:r>
      <w:r w:rsidR="00893907" w:rsidRPr="00893907">
        <w:t>Civil Rights—Title VII</w:t>
      </w:r>
      <w:r w:rsidR="005C1103" w:rsidRPr="00893907">
        <w:t>— “</w:t>
      </w:r>
      <w:r w:rsidR="00893907" w:rsidRPr="00893907">
        <w:t>Tangible Employment Action” Defined</w:t>
      </w:r>
      <w:bookmarkEnd w:id="195"/>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Tangible employment actions are the means by which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 xml:space="preserve">Burlington Industries, Inc. v. </w:t>
      </w:r>
      <w:proofErr w:type="spellStart"/>
      <w:r w:rsidRPr="006A4CD7">
        <w:rPr>
          <w:rFonts w:cs="Times New Roman"/>
          <w:i/>
          <w:iCs/>
          <w:szCs w:val="24"/>
        </w:rPr>
        <w:t>Ellerth</w:t>
      </w:r>
      <w:proofErr w:type="spellEnd"/>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proofErr w:type="spellStart"/>
      <w:r w:rsidRPr="006A4CD7">
        <w:rPr>
          <w:rFonts w:cs="Times New Roman"/>
          <w:i/>
          <w:iCs/>
          <w:szCs w:val="24"/>
        </w:rPr>
        <w:t>Ellerth</w:t>
      </w:r>
      <w:proofErr w:type="spellEnd"/>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proofErr w:type="spellStart"/>
      <w:r w:rsidRPr="006A4CD7">
        <w:rPr>
          <w:rFonts w:cs="Times New Roman"/>
          <w:i/>
          <w:iCs/>
          <w:szCs w:val="24"/>
        </w:rPr>
        <w:t>Suders</w:t>
      </w:r>
      <w:proofErr w:type="spellEnd"/>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roofErr w:type="spellStart"/>
      <w:r w:rsidRPr="006A4CD7">
        <w:rPr>
          <w:rFonts w:cs="Times New Roman"/>
          <w:i/>
          <w:iCs/>
          <w:szCs w:val="24"/>
        </w:rPr>
        <w:t>Suders</w:t>
      </w:r>
      <w:proofErr w:type="spellEnd"/>
      <w:r w:rsidRPr="006A4CD7">
        <w:rPr>
          <w:rFonts w:cs="Times New Roman"/>
          <w:szCs w:val="24"/>
        </w:rPr>
        <w:t xml:space="preserve"> concluded that a constructive discharge, in itself, does not constitute a tangible employment action that bars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10BEE606"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w:t>
      </w:r>
      <w:r w:rsidR="005C1103" w:rsidRPr="006A4CD7">
        <w:rPr>
          <w:rFonts w:cs="Times New Roman"/>
          <w:szCs w:val="24"/>
        </w:rPr>
        <w:t>consequence or</w:t>
      </w:r>
      <w:r w:rsidRPr="006A4CD7">
        <w:rPr>
          <w:rFonts w:cs="Times New Roman"/>
          <w:szCs w:val="24"/>
        </w:rPr>
        <w:t xml:space="preserve">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proofErr w:type="spellStart"/>
      <w:r w:rsidRPr="006A4CD7">
        <w:rPr>
          <w:rFonts w:cs="Times New Roman"/>
          <w:i/>
          <w:iCs/>
          <w:szCs w:val="24"/>
        </w:rPr>
        <w:t>Ellerth</w:t>
      </w:r>
      <w:proofErr w:type="spellEnd"/>
      <w:r w:rsidRPr="006A4CD7">
        <w:rPr>
          <w:rFonts w:cs="Times New Roman"/>
          <w:i/>
          <w:iCs/>
          <w:szCs w:val="24"/>
        </w:rPr>
        <w:t xml:space="preserve">/Faragher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w:t>
      </w:r>
      <w:r w:rsidRPr="006A4CD7">
        <w:rPr>
          <w:rFonts w:cs="Times New Roman"/>
          <w:szCs w:val="24"/>
        </w:rPr>
        <w:lastRenderedPageBreak/>
        <w:t xml:space="preserve">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7C2173FC" w:rsidR="006A4CD7" w:rsidRPr="006A4CD7" w:rsidRDefault="006A4CD7" w:rsidP="009F103E">
      <w:pPr>
        <w:pStyle w:val="Heading2"/>
      </w:pPr>
      <w:r w:rsidRPr="006A4CD7">
        <w:br w:type="page"/>
      </w:r>
      <w:bookmarkStart w:id="196" w:name="_Toc117512482"/>
      <w:r w:rsidRPr="006A4CD7">
        <w:lastRenderedPageBreak/>
        <w:t xml:space="preserve">10.13 </w:t>
      </w:r>
      <w:r w:rsidR="00893907" w:rsidRPr="00893907">
        <w:t>Civil Rights—Title VII</w:t>
      </w:r>
      <w:r w:rsidR="005C1103" w:rsidRPr="00893907">
        <w:t>— “</w:t>
      </w:r>
      <w:r w:rsidR="00893907" w:rsidRPr="00893907">
        <w:t>Constructive Discharge” Defined</w:t>
      </w:r>
      <w:bookmarkEnd w:id="196"/>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 xml:space="preserve">Pennsylvania State Police v. </w:t>
      </w:r>
      <w:proofErr w:type="spellStart"/>
      <w:r w:rsidRPr="006A4CD7">
        <w:rPr>
          <w:rFonts w:cs="Times New Roman"/>
          <w:i/>
          <w:iCs/>
          <w:szCs w:val="24"/>
        </w:rPr>
        <w:t>Suders</w:t>
      </w:r>
      <w:proofErr w:type="spellEnd"/>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 xml:space="preserve">see also </w:t>
      </w:r>
      <w:proofErr w:type="spellStart"/>
      <w:r w:rsidRPr="006A4CD7">
        <w:rPr>
          <w:rFonts w:cs="Times New Roman"/>
          <w:i/>
          <w:iCs/>
          <w:szCs w:val="24"/>
        </w:rPr>
        <w:t>Emeldi</w:t>
      </w:r>
      <w:proofErr w:type="spellEnd"/>
      <w:r w:rsidRPr="006A4CD7">
        <w:rPr>
          <w:rFonts w:cs="Times New Roman"/>
          <w:i/>
          <w:iCs/>
          <w:szCs w:val="24"/>
        </w:rPr>
        <w:t xml:space="preserve">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6ABD30C3" w14:textId="449990A9" w:rsidR="006A4CD7" w:rsidRPr="006A4CD7" w:rsidRDefault="006A4CD7" w:rsidP="007A6519">
      <w:pPr>
        <w:pStyle w:val="Heading2"/>
      </w:pPr>
      <w:r w:rsidRPr="006A4CD7">
        <w:br w:type="page"/>
      </w:r>
      <w:bookmarkStart w:id="197" w:name="_Toc117512483"/>
      <w:r w:rsidRPr="006A4CD7">
        <w:lastRenderedPageBreak/>
        <w:t xml:space="preserve">10.14 </w:t>
      </w:r>
      <w:r w:rsidR="00893907" w:rsidRPr="00893907">
        <w:t>Civil Rights—Title VII—Defense—Bona Fide Occupational Qualification</w:t>
      </w:r>
      <w:bookmarkEnd w:id="197"/>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0B49EA9E"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w:t>
      </w:r>
      <w:r w:rsidR="005C1103" w:rsidRPr="006A4CD7">
        <w:rPr>
          <w:rFonts w:cs="Times New Roman"/>
          <w:szCs w:val="24"/>
        </w:rPr>
        <w:t>. . ..</w:t>
      </w:r>
      <w:r w:rsidRPr="006A4CD7">
        <w:rPr>
          <w:rFonts w:cs="Times New Roman"/>
          <w:szCs w:val="24"/>
        </w:rPr>
        <w:t>”).  “We reiterate our holdings in [</w:t>
      </w:r>
      <w:r w:rsidRPr="006A4CD7">
        <w:rPr>
          <w:rFonts w:cs="Times New Roman"/>
          <w:i/>
          <w:iCs/>
          <w:szCs w:val="24"/>
        </w:rPr>
        <w:t>Western Airlines, Inc., v. Criswell</w:t>
      </w:r>
      <w:r w:rsidRPr="006A4CD7">
        <w:rPr>
          <w:rFonts w:cs="Times New Roman"/>
          <w:szCs w:val="24"/>
        </w:rPr>
        <w:t>, 472 U.S. 400 (1985)] and [</w:t>
      </w:r>
      <w:proofErr w:type="spellStart"/>
      <w:r w:rsidRPr="006A4CD7">
        <w:rPr>
          <w:rFonts w:cs="Times New Roman"/>
          <w:i/>
          <w:iCs/>
          <w:szCs w:val="24"/>
        </w:rPr>
        <w:t>Dothard</w:t>
      </w:r>
      <w:proofErr w:type="spellEnd"/>
      <w:r w:rsidRPr="006A4CD7">
        <w:rPr>
          <w:rFonts w:cs="Times New Roman"/>
          <w:i/>
          <w:iCs/>
          <w:szCs w:val="24"/>
        </w:rPr>
        <w:t xml:space="preserve">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proofErr w:type="spellStart"/>
      <w:r w:rsidRPr="006A4CD7">
        <w:rPr>
          <w:rFonts w:cs="Times New Roman"/>
          <w:i/>
          <w:iCs/>
          <w:szCs w:val="24"/>
        </w:rPr>
        <w:t>Usery</w:t>
      </w:r>
      <w:proofErr w:type="spellEnd"/>
      <w:r w:rsidRPr="006A4CD7">
        <w:rPr>
          <w:rFonts w:cs="Times New Roman"/>
          <w:i/>
          <w:iCs/>
          <w:szCs w:val="24"/>
        </w:rPr>
        <w:t xml:space="preserve">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46D9DB7A"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 xml:space="preserve">See </w:t>
      </w:r>
      <w:proofErr w:type="spellStart"/>
      <w:r w:rsidRPr="006A4CD7">
        <w:rPr>
          <w:rFonts w:cs="Times New Roman"/>
          <w:i/>
          <w:iCs/>
          <w:szCs w:val="24"/>
        </w:rPr>
        <w:t>Zeinali</w:t>
      </w:r>
      <w:proofErr w:type="spellEnd"/>
      <w:r w:rsidRPr="006A4CD7">
        <w:rPr>
          <w:rFonts w:cs="Times New Roman"/>
          <w:i/>
          <w:iCs/>
          <w:szCs w:val="24"/>
        </w:rPr>
        <w:t xml:space="preserve"> v. Raytheon Co</w:t>
      </w:r>
      <w:r w:rsidRPr="006A4CD7">
        <w:rPr>
          <w:rFonts w:cs="Times New Roman"/>
          <w:szCs w:val="24"/>
        </w:rPr>
        <w:t xml:space="preserve">., 636 F.3d 544 (9th Cir. 2011) </w:t>
      </w:r>
    </w:p>
    <w:p w14:paraId="6D5268C8" w14:textId="71222B09"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(holding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0CCCB576" w:rsidR="006A4CD7" w:rsidRPr="006A4CD7" w:rsidRDefault="006A4CD7" w:rsidP="009F103E">
      <w:pPr>
        <w:pStyle w:val="Heading2"/>
      </w:pPr>
      <w:r w:rsidRPr="006A4CD7">
        <w:br w:type="page"/>
      </w:r>
      <w:bookmarkStart w:id="198" w:name="_Toc117512484"/>
      <w:r w:rsidRPr="006A4CD7">
        <w:lastRenderedPageBreak/>
        <w:t xml:space="preserve">10.15 </w:t>
      </w:r>
      <w:r w:rsidR="00893907" w:rsidRPr="00893907">
        <w:t>Civil Rights—Title VII—Defense—Bona Fide Seniority System</w:t>
      </w:r>
      <w:bookmarkEnd w:id="198"/>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seniority system had legitimate goals and was not designed to discriminate on the basis of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601FD7B0"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w:t>
      </w:r>
      <w:r w:rsidR="005C1103" w:rsidRPr="006A4CD7">
        <w:rPr>
          <w:rFonts w:cs="Times New Roman"/>
          <w:szCs w:val="24"/>
        </w:rPr>
        <w:t>.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 xml:space="preserve">See </w:t>
      </w:r>
      <w:proofErr w:type="spellStart"/>
      <w:r w:rsidRPr="006A4CD7">
        <w:rPr>
          <w:rFonts w:cs="Times New Roman"/>
          <w:i/>
          <w:iCs/>
          <w:szCs w:val="24"/>
        </w:rPr>
        <w:t>Lorance</w:t>
      </w:r>
      <w:proofErr w:type="spellEnd"/>
      <w:r w:rsidRPr="006A4CD7">
        <w:rPr>
          <w:rFonts w:cs="Times New Roman"/>
          <w:i/>
          <w:iCs/>
          <w:szCs w:val="24"/>
        </w:rPr>
        <w:t xml:space="preserv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 xml:space="preserve">California Brewers </w:t>
      </w:r>
      <w:proofErr w:type="spellStart"/>
      <w:r w:rsidRPr="006A4CD7">
        <w:rPr>
          <w:rFonts w:cs="Times New Roman"/>
          <w:i/>
          <w:iCs/>
          <w:szCs w:val="24"/>
        </w:rPr>
        <w:t>Ass’n</w:t>
      </w:r>
      <w:proofErr w:type="spellEnd"/>
      <w:r w:rsidRPr="006A4CD7">
        <w:rPr>
          <w:rFonts w:cs="Times New Roman"/>
          <w:i/>
          <w:iCs/>
          <w:szCs w:val="24"/>
        </w:rPr>
        <w:t xml:space="preserve">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5698457B" w:rsidR="006A4CD7" w:rsidRPr="006A4CD7" w:rsidRDefault="006A4CD7" w:rsidP="009F103E">
      <w:pPr>
        <w:pStyle w:val="Heading2"/>
      </w:pPr>
      <w:r w:rsidRPr="006A4CD7">
        <w:br w:type="page"/>
      </w:r>
      <w:bookmarkStart w:id="199" w:name="_Toc117512485"/>
      <w:r w:rsidRPr="006A4CD7">
        <w:lastRenderedPageBreak/>
        <w:t xml:space="preserve">10.16 </w:t>
      </w:r>
      <w:r w:rsidR="00893907" w:rsidRPr="00893907">
        <w:t>Civil Rights—Title VII—Defense—After-Acquired Evidence</w:t>
      </w:r>
      <w:bookmarkEnd w:id="199"/>
    </w:p>
    <w:p w14:paraId="77838F06" w14:textId="77777777" w:rsidR="006A4CD7" w:rsidRPr="006A4CD7" w:rsidRDefault="006A4CD7" w:rsidP="0060759C">
      <w:pPr>
        <w:autoSpaceDE w:val="0"/>
        <w:autoSpaceDN w:val="0"/>
        <w:adjustRightInd w:val="0"/>
        <w:jc w:val="center"/>
        <w:rPr>
          <w:rFonts w:cs="Times New Roman"/>
          <w:szCs w:val="24"/>
        </w:rPr>
      </w:pPr>
    </w:p>
    <w:p w14:paraId="349ED889" w14:textId="77777777" w:rsidR="00305894" w:rsidRPr="00305894" w:rsidRDefault="006A4CD7" w:rsidP="00305894">
      <w:pPr>
        <w:autoSpaceDE w:val="0"/>
        <w:autoSpaceDN w:val="0"/>
        <w:adjustRightInd w:val="0"/>
        <w:rPr>
          <w:rFonts w:cs="Times New Roman"/>
          <w:szCs w:val="24"/>
        </w:rPr>
      </w:pPr>
      <w:r w:rsidRPr="006A4CD7">
        <w:rPr>
          <w:rFonts w:cs="Times New Roman"/>
          <w:szCs w:val="24"/>
        </w:rPr>
        <w:tab/>
      </w:r>
      <w:r w:rsidR="00305894" w:rsidRPr="00305894">
        <w:rPr>
          <w:rFonts w:cs="Times New Roman"/>
          <w:szCs w:val="24"/>
        </w:rPr>
        <w:t>The defendant contends that the defendant would have made the same decision to [discharge] [not hire] [not promote] [demote] the plaintiff because [</w:t>
      </w:r>
      <w:r w:rsidR="00305894" w:rsidRPr="00305894">
        <w:rPr>
          <w:rFonts w:cs="Times New Roman"/>
          <w:i/>
          <w:iCs/>
          <w:szCs w:val="24"/>
          <w:u w:val="single"/>
        </w:rPr>
        <w:t>describe the after-discovered misconduct</w:t>
      </w:r>
      <w:r w:rsidR="00305894" w:rsidRPr="00305894">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00305894" w:rsidRPr="00305894">
        <w:rPr>
          <w:rFonts w:cs="Times New Roman"/>
          <w:i/>
          <w:iCs/>
          <w:szCs w:val="24"/>
          <w:u w:val="single"/>
        </w:rPr>
        <w:t>describe the after-discovered misconduct</w:t>
      </w:r>
      <w:r w:rsidR="00305894" w:rsidRPr="00305894">
        <w:rPr>
          <w:rFonts w:cs="Times New Roman"/>
          <w:szCs w:val="24"/>
        </w:rPr>
        <w:t>], you should limit any award of back pay to the date the employer would have made the decision to [[discharge] [not hire] [not promote] [demote]] the plaintiff as a result of [</w:t>
      </w:r>
      <w:r w:rsidR="00305894" w:rsidRPr="00305894">
        <w:rPr>
          <w:rFonts w:cs="Times New Roman"/>
          <w:i/>
          <w:iCs/>
          <w:szCs w:val="24"/>
          <w:u w:val="single"/>
        </w:rPr>
        <w:t>describe the after-discovered misconduct</w:t>
      </w:r>
      <w:r w:rsidR="00305894" w:rsidRPr="00305894">
        <w:rPr>
          <w:rFonts w:cs="Times New Roman"/>
          <w:szCs w:val="24"/>
        </w:rPr>
        <w:t>].</w:t>
      </w:r>
    </w:p>
    <w:p w14:paraId="4CE5CB4C" w14:textId="77777777" w:rsidR="00305894" w:rsidRPr="00305894" w:rsidRDefault="00305894" w:rsidP="00305894">
      <w:pPr>
        <w:autoSpaceDE w:val="0"/>
        <w:autoSpaceDN w:val="0"/>
        <w:adjustRightInd w:val="0"/>
        <w:rPr>
          <w:rFonts w:cs="Times New Roman"/>
          <w:szCs w:val="24"/>
        </w:rPr>
      </w:pPr>
    </w:p>
    <w:p w14:paraId="26B5000C" w14:textId="77777777" w:rsidR="00305894" w:rsidRPr="00305894" w:rsidRDefault="00305894" w:rsidP="00305894">
      <w:pPr>
        <w:autoSpaceDE w:val="0"/>
        <w:autoSpaceDN w:val="0"/>
        <w:adjustRightInd w:val="0"/>
        <w:jc w:val="center"/>
        <w:rPr>
          <w:rFonts w:cs="Times New Roman"/>
          <w:b/>
          <w:bCs/>
          <w:szCs w:val="24"/>
        </w:rPr>
      </w:pPr>
      <w:r w:rsidRPr="00305894">
        <w:rPr>
          <w:rFonts w:cs="Times New Roman"/>
          <w:b/>
          <w:bCs/>
          <w:szCs w:val="24"/>
        </w:rPr>
        <w:t>Comment</w:t>
      </w:r>
    </w:p>
    <w:p w14:paraId="08CF933F" w14:textId="77777777" w:rsidR="00305894" w:rsidRPr="00305894" w:rsidRDefault="00305894" w:rsidP="00305894">
      <w:pPr>
        <w:autoSpaceDE w:val="0"/>
        <w:autoSpaceDN w:val="0"/>
        <w:adjustRightInd w:val="0"/>
        <w:rPr>
          <w:rFonts w:cs="Times New Roman"/>
          <w:szCs w:val="24"/>
        </w:rPr>
      </w:pPr>
    </w:p>
    <w:p w14:paraId="1E5084E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proofErr w:type="spellStart"/>
      <w:r w:rsidRPr="00305894">
        <w:rPr>
          <w:rFonts w:cs="Times New Roman"/>
          <w:i/>
          <w:iCs/>
          <w:szCs w:val="24"/>
        </w:rPr>
        <w:t>McKennon</w:t>
      </w:r>
      <w:proofErr w:type="spellEnd"/>
      <w:r w:rsidRPr="00305894">
        <w:rPr>
          <w:rFonts w:cs="Times New Roman"/>
          <w:i/>
          <w:iCs/>
          <w:szCs w:val="24"/>
        </w:rPr>
        <w:t xml:space="preserve"> v. Nashville Banner Pub. Co.</w:t>
      </w:r>
      <w:r w:rsidRPr="00305894">
        <w:rPr>
          <w:rFonts w:cs="Times New Roman"/>
          <w:szCs w:val="24"/>
        </w:rPr>
        <w:t xml:space="preserve">, 513 U.S. 352, 362 (1995); </w:t>
      </w:r>
      <w:r w:rsidRPr="00305894">
        <w:rPr>
          <w:rFonts w:cs="Times New Roman"/>
          <w:i/>
          <w:iCs/>
          <w:szCs w:val="24"/>
        </w:rPr>
        <w:t xml:space="preserve">see also Rivera v. </w:t>
      </w:r>
      <w:proofErr w:type="spellStart"/>
      <w:r w:rsidRPr="00305894">
        <w:rPr>
          <w:rFonts w:cs="Times New Roman"/>
          <w:i/>
          <w:iCs/>
          <w:szCs w:val="24"/>
        </w:rPr>
        <w:t>Nibco</w:t>
      </w:r>
      <w:proofErr w:type="spellEnd"/>
      <w:r w:rsidRPr="00305894">
        <w:rPr>
          <w:rFonts w:cs="Times New Roman"/>
          <w:i/>
          <w:iCs/>
          <w:szCs w:val="24"/>
        </w:rPr>
        <w:t>, Inc.</w:t>
      </w:r>
      <w:r w:rsidRPr="00305894">
        <w:rPr>
          <w:rFonts w:cs="Times New Roman"/>
          <w:szCs w:val="24"/>
        </w:rPr>
        <w:t xml:space="preserve">, 364 F.3d 1057, 1071 n.16 (9th Cir. 2004); </w:t>
      </w:r>
      <w:proofErr w:type="spellStart"/>
      <w:r w:rsidRPr="00305894">
        <w:rPr>
          <w:rFonts w:cs="Times New Roman"/>
          <w:i/>
          <w:iCs/>
          <w:szCs w:val="24"/>
        </w:rPr>
        <w:t>O’Day</w:t>
      </w:r>
      <w:proofErr w:type="spellEnd"/>
      <w:r w:rsidRPr="00305894">
        <w:rPr>
          <w:rFonts w:cs="Times New Roman"/>
          <w:i/>
          <w:iCs/>
          <w:szCs w:val="24"/>
        </w:rPr>
        <w:t xml:space="preserve"> v. McDonnell Douglas Helicopter Co.</w:t>
      </w:r>
      <w:r w:rsidRPr="00305894">
        <w:rPr>
          <w:rFonts w:cs="Times New Roman"/>
          <w:szCs w:val="24"/>
        </w:rPr>
        <w:t xml:space="preserve">, 79 F.3d 756, 761–62 (9th Cir. 1996).  The employer must prove by a preponderance of the evidence that it would have fired the employee because of the after-acquired evidence.  </w:t>
      </w:r>
      <w:proofErr w:type="spellStart"/>
      <w:r w:rsidRPr="00305894">
        <w:rPr>
          <w:rFonts w:cs="Times New Roman"/>
          <w:i/>
          <w:iCs/>
          <w:szCs w:val="24"/>
        </w:rPr>
        <w:t>O’Day</w:t>
      </w:r>
      <w:proofErr w:type="spellEnd"/>
      <w:r w:rsidRPr="00305894">
        <w:rPr>
          <w:rFonts w:cs="Times New Roman"/>
          <w:szCs w:val="24"/>
        </w:rPr>
        <w:t>, 79 F.3d at 761.</w:t>
      </w:r>
    </w:p>
    <w:p w14:paraId="12080B95" w14:textId="77777777" w:rsidR="00305894" w:rsidRPr="00305894" w:rsidRDefault="00305894" w:rsidP="00305894">
      <w:pPr>
        <w:autoSpaceDE w:val="0"/>
        <w:autoSpaceDN w:val="0"/>
        <w:adjustRightInd w:val="0"/>
        <w:rPr>
          <w:rFonts w:cs="Times New Roman"/>
          <w:szCs w:val="24"/>
        </w:rPr>
      </w:pPr>
    </w:p>
    <w:p w14:paraId="59B10F4C"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The defense of after-acquired evidence is similar to, but not the same as, an employer’s affirmative defense to a charge that a protected characteristic was a “motivating factor” in an adverse employment decision, as explained in Instruction 10.2 (Civil Rights—Title VII—Disparate Treatment—With Affirmative Defense of “Same Decision”).  In both situations, the “same decision” theory is more a limitation on remedies than an affirmative defense that defeats a claim of employment discrimination. In the case of the “same decision” theory in a mixed motive case discussed in Instruction 10.2, information establishing a lawful basis for the employer’s decision is known to the employer at the time of the decision and limits a plaintiff’s remedies. In the case of “after-acquired evidence,” the information establishing a lawful basis for the employer’s adverse employment decision is acquired after the adverse decision and limits remedies.</w:t>
      </w:r>
    </w:p>
    <w:p w14:paraId="78A4AAFA" w14:textId="77777777" w:rsidR="00305894" w:rsidRPr="00305894" w:rsidRDefault="00305894" w:rsidP="00305894">
      <w:pPr>
        <w:autoSpaceDE w:val="0"/>
        <w:autoSpaceDN w:val="0"/>
        <w:adjustRightInd w:val="0"/>
        <w:rPr>
          <w:rFonts w:cs="Times New Roman"/>
          <w:szCs w:val="24"/>
        </w:rPr>
      </w:pPr>
    </w:p>
    <w:p w14:paraId="604026E3" w14:textId="77777777" w:rsidR="00305894" w:rsidRPr="00305894" w:rsidRDefault="00305894" w:rsidP="00305894">
      <w:pPr>
        <w:autoSpaceDE w:val="0"/>
        <w:autoSpaceDN w:val="0"/>
        <w:adjustRightInd w:val="0"/>
        <w:rPr>
          <w:rFonts w:cs="Times New Roman"/>
          <w:szCs w:val="24"/>
        </w:rPr>
      </w:pPr>
      <w:r w:rsidRPr="00305894">
        <w:rPr>
          <w:rFonts w:cs="Times New Roman"/>
          <w:szCs w:val="24"/>
        </w:rPr>
        <w:tab/>
        <w:t xml:space="preserve">The Ninth Circuit has concluded that “back pay” under various federal statutes, including Title VII, generally includes tips, holiday pay, and overtime pay.  </w:t>
      </w:r>
      <w:r w:rsidRPr="00305894">
        <w:rPr>
          <w:rFonts w:cs="Times New Roman"/>
          <w:i/>
          <w:iCs/>
          <w:szCs w:val="24"/>
        </w:rPr>
        <w:t>See</w:t>
      </w:r>
      <w:r w:rsidRPr="00305894">
        <w:rPr>
          <w:rFonts w:cs="Times New Roman"/>
          <w:szCs w:val="24"/>
        </w:rPr>
        <w:t xml:space="preserve"> </w:t>
      </w:r>
      <w:r w:rsidRPr="00305894">
        <w:rPr>
          <w:rFonts w:cs="Times New Roman"/>
          <w:i/>
          <w:iCs/>
          <w:szCs w:val="24"/>
        </w:rPr>
        <w:t>Local Joint Exec. Bd. of Culinary/Bartender Tr. Fund v. Las Vegas Sands, Inc.</w:t>
      </w:r>
      <w:r w:rsidRPr="00305894">
        <w:rPr>
          <w:rFonts w:cs="Times New Roman"/>
          <w:szCs w:val="24"/>
        </w:rPr>
        <w:t>, 244 F.3d 1152, 1157 (9th Cir. 2001).</w:t>
      </w:r>
    </w:p>
    <w:p w14:paraId="1820CC3A" w14:textId="77777777" w:rsidR="00305894" w:rsidRPr="00305894" w:rsidRDefault="00305894" w:rsidP="00305894">
      <w:pPr>
        <w:autoSpaceDE w:val="0"/>
        <w:autoSpaceDN w:val="0"/>
        <w:adjustRightInd w:val="0"/>
        <w:jc w:val="right"/>
        <w:rPr>
          <w:rFonts w:cs="Times New Roman"/>
          <w:szCs w:val="24"/>
        </w:rPr>
      </w:pPr>
    </w:p>
    <w:p w14:paraId="3D4786EA" w14:textId="77777777" w:rsidR="00305894" w:rsidRPr="00305894" w:rsidRDefault="00305894" w:rsidP="00305894">
      <w:pPr>
        <w:spacing w:after="160" w:line="259" w:lineRule="auto"/>
      </w:pPr>
    </w:p>
    <w:p w14:paraId="7C0FA189" w14:textId="77777777" w:rsidR="00305894" w:rsidRPr="00305894" w:rsidRDefault="00305894" w:rsidP="00305894">
      <w:pPr>
        <w:spacing w:after="160" w:line="259" w:lineRule="auto"/>
        <w:jc w:val="right"/>
        <w:rPr>
          <w:i/>
          <w:iCs/>
        </w:rPr>
      </w:pPr>
      <w:r w:rsidRPr="00305894">
        <w:rPr>
          <w:i/>
          <w:iCs/>
        </w:rPr>
        <w:t>Revised Mar. 2022</w:t>
      </w:r>
    </w:p>
    <w:p w14:paraId="664BCB4B" w14:textId="72F7AB4A" w:rsidR="006A4CD7" w:rsidRPr="006A4CD7" w:rsidRDefault="006A4CD7" w:rsidP="00BF5CD7">
      <w:pPr>
        <w:pStyle w:val="Heading1"/>
      </w:pPr>
      <w:r w:rsidRPr="006A4CD7">
        <w:br w:type="page"/>
      </w:r>
      <w:bookmarkStart w:id="200" w:name="_Toc117512486"/>
      <w:r w:rsidRPr="006A4CD7">
        <w:lastRenderedPageBreak/>
        <w:t>11.  AGE DISCRIMINATION</w:t>
      </w:r>
      <w:bookmarkEnd w:id="200"/>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39BD4C5B" w14:textId="5A7B33DD" w:rsidR="006A4CD7" w:rsidRPr="006A4CD7" w:rsidRDefault="006A4CD7" w:rsidP="00F75F3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D701566" w14:textId="77777777" w:rsidR="006A4CD7" w:rsidRPr="006A4CD7" w:rsidRDefault="006A4CD7" w:rsidP="009F103E"/>
    <w:p w14:paraId="2FF1DA39" w14:textId="591170DC" w:rsidR="006A4CD7" w:rsidRPr="006A4CD7" w:rsidRDefault="006A4CD7" w:rsidP="00BF5CD7">
      <w:pPr>
        <w:pStyle w:val="Heading1"/>
      </w:pPr>
      <w:bookmarkStart w:id="201" w:name="_Toc117512487"/>
      <w:r w:rsidRPr="006A4CD7">
        <w:t>Introductory Comment</w:t>
      </w:r>
      <w:bookmarkEnd w:id="201"/>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on the basis of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 xml:space="preserve">See </w:t>
      </w:r>
      <w:proofErr w:type="spellStart"/>
      <w:r w:rsidRPr="006A4CD7">
        <w:rPr>
          <w:rFonts w:cs="Times New Roman"/>
          <w:i/>
          <w:iCs/>
          <w:szCs w:val="24"/>
        </w:rPr>
        <w:t>Ahlmeyer</w:t>
      </w:r>
      <w:proofErr w:type="spellEnd"/>
      <w:r w:rsidRPr="006A4CD7">
        <w:rPr>
          <w:rFonts w:cs="Times New Roman"/>
          <w:i/>
          <w:iCs/>
          <w:szCs w:val="24"/>
        </w:rPr>
        <w:t xml:space="preserve">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ADEA and Title VII share common substantive features and also a common purpose: ‘the elimination of discrimination in the workplace.’”  </w:t>
      </w:r>
      <w:proofErr w:type="spellStart"/>
      <w:r w:rsidRPr="006A4CD7">
        <w:rPr>
          <w:rFonts w:cs="Times New Roman"/>
          <w:i/>
          <w:iCs/>
          <w:szCs w:val="24"/>
        </w:rPr>
        <w:t>McKennon</w:t>
      </w:r>
      <w:proofErr w:type="spellEnd"/>
      <w:r w:rsidRPr="006A4CD7">
        <w:rPr>
          <w:rFonts w:cs="Times New Roman"/>
          <w:i/>
          <w:iCs/>
          <w:szCs w:val="24"/>
        </w:rPr>
        <w:t xml:space="preserve">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 xml:space="preserve">in </w:t>
      </w:r>
      <w:proofErr w:type="spellStart"/>
      <w:r w:rsidRPr="006A4CD7">
        <w:rPr>
          <w:rFonts w:cs="Times New Roman"/>
          <w:i/>
          <w:iCs/>
          <w:szCs w:val="24"/>
        </w:rPr>
        <w:t>haec</w:t>
      </w:r>
      <w:proofErr w:type="spellEnd"/>
      <w:r w:rsidRPr="006A4CD7">
        <w:rPr>
          <w:rFonts w:cs="Times New Roman"/>
          <w:i/>
          <w:iCs/>
          <w:szCs w:val="24"/>
        </w:rPr>
        <w:t xml:space="preserve"> </w:t>
      </w:r>
      <w:proofErr w:type="spellStart"/>
      <w:r w:rsidRPr="006A4CD7">
        <w:rPr>
          <w:rFonts w:cs="Times New Roman"/>
          <w:i/>
          <w:iCs/>
          <w:szCs w:val="24"/>
        </w:rPr>
        <w:t>verba</w:t>
      </w:r>
      <w:proofErr w:type="spellEnd"/>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The ADEA and Title VII are not identical.  A brief summary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202" w:name="SR_59_4136"/>
      <w:bookmarkEnd w:id="202"/>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in light of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 xml:space="preserve">Wards Cove Packing Co. v. </w:t>
      </w:r>
      <w:proofErr w:type="spellStart"/>
      <w:r w:rsidRPr="006A4CD7">
        <w:rPr>
          <w:rFonts w:cs="Times New Roman"/>
          <w:i/>
          <w:iCs/>
          <w:szCs w:val="24"/>
        </w:rPr>
        <w:t>Atonio</w:t>
      </w:r>
      <w:proofErr w:type="spellEnd"/>
      <w:r w:rsidRPr="006A4CD7">
        <w:rPr>
          <w:rFonts w:cs="Times New Roman"/>
          <w:szCs w:val="24"/>
        </w:rPr>
        <w:t xml:space="preserve">, 490 U.S. 642 (1989)).  Thus, in order to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DF00448" w14:textId="77777777" w:rsidR="00D6032E"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w:t>
      </w:r>
    </w:p>
    <w:p w14:paraId="338D07F0" w14:textId="2965B57B"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Thus, the ADEA permits an affirmative defense for certain actions related to the cost of </w:t>
      </w:r>
      <w:proofErr w:type="spellStart"/>
      <w:r w:rsidRPr="006A4CD7">
        <w:rPr>
          <w:rFonts w:cs="Times New Roman"/>
          <w:szCs w:val="24"/>
        </w:rPr>
        <w:t>noncompensation</w:t>
      </w:r>
      <w:proofErr w:type="spellEnd"/>
      <w:r w:rsidRPr="006A4CD7">
        <w:rPr>
          <w:rFonts w:cs="Times New Roman"/>
          <w:szCs w:val="24"/>
        </w:rPr>
        <w:t xml:space="preserve">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5840A8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2A395BD0" w:rsidR="006A4CD7" w:rsidRPr="006A4CD7" w:rsidRDefault="006A4CD7" w:rsidP="0060759C">
      <w:pPr>
        <w:autoSpaceDE w:val="0"/>
        <w:autoSpaceDN w:val="0"/>
        <w:adjustRightInd w:val="0"/>
        <w:rPr>
          <w:rFonts w:cs="Times New Roman"/>
          <w:szCs w:val="24"/>
        </w:rPr>
      </w:pPr>
      <w:r w:rsidRPr="006A4CD7">
        <w:rPr>
          <w:rFonts w:cs="Times New Roman"/>
          <w:szCs w:val="24"/>
        </w:rPr>
        <w:tab/>
        <w:t>Generally</w:t>
      </w:r>
      <w:r w:rsidR="00893907">
        <w:rPr>
          <w:rFonts w:cs="Times New Roman"/>
          <w:szCs w:val="24"/>
        </w:rPr>
        <w:t>,</w:t>
      </w:r>
      <w:r w:rsidRPr="006A4CD7">
        <w:rPr>
          <w:rFonts w:cs="Times New Roman"/>
          <w:szCs w:val="24"/>
        </w:rPr>
        <w:t xml:space="preserve">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damages and equitable relief.  </w:t>
      </w:r>
      <w:r w:rsidRPr="006A4CD7">
        <w:rPr>
          <w:rFonts w:cs="Times New Roman"/>
          <w:i/>
          <w:iCs/>
          <w:szCs w:val="24"/>
        </w:rPr>
        <w:t>See</w:t>
      </w:r>
      <w:r w:rsidRPr="006A4CD7">
        <w:rPr>
          <w:rFonts w:cs="Times New Roman"/>
          <w:szCs w:val="24"/>
        </w:rPr>
        <w:t xml:space="preserve"> 29 U.S.C. § 216.  Additionally, front pay may be awarded in lieu of reinstatement if the court finds that reinstatement is not a feasible remedy.  </w:t>
      </w:r>
      <w:r w:rsidRPr="006A4CD7">
        <w:rPr>
          <w:rFonts w:cs="Times New Roman"/>
          <w:i/>
          <w:iCs/>
          <w:szCs w:val="24"/>
        </w:rPr>
        <w:t xml:space="preserve">Cassino v. </w:t>
      </w:r>
      <w:proofErr w:type="spellStart"/>
      <w:r w:rsidRPr="006A4CD7">
        <w:rPr>
          <w:rFonts w:cs="Times New Roman"/>
          <w:i/>
          <w:iCs/>
          <w:szCs w:val="24"/>
        </w:rPr>
        <w:t>Reichhold</w:t>
      </w:r>
      <w:proofErr w:type="spellEnd"/>
      <w:r w:rsidRPr="006A4CD7">
        <w:rPr>
          <w:rFonts w:cs="Times New Roman"/>
          <w:i/>
          <w:iCs/>
          <w:szCs w:val="24"/>
        </w:rPr>
        <w:t xml:space="preserve"> </w:t>
      </w:r>
      <w:proofErr w:type="spellStart"/>
      <w:r w:rsidRPr="006A4CD7">
        <w:rPr>
          <w:rFonts w:cs="Times New Roman"/>
          <w:i/>
          <w:iCs/>
          <w:szCs w:val="24"/>
        </w:rPr>
        <w:t>Chems</w:t>
      </w:r>
      <w:proofErr w:type="spellEnd"/>
      <w:r w:rsidRPr="006A4CD7">
        <w:rPr>
          <w:rFonts w:cs="Times New Roman"/>
          <w:i/>
          <w:iCs/>
          <w:szCs w:val="24"/>
        </w:rPr>
        <w:t>.,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 xml:space="preserve">See </w:t>
      </w:r>
      <w:proofErr w:type="spellStart"/>
      <w:r w:rsidRPr="006A4CD7">
        <w:rPr>
          <w:rFonts w:cs="Times New Roman"/>
          <w:i/>
          <w:iCs/>
          <w:szCs w:val="24"/>
        </w:rPr>
        <w:t>Cancellier</w:t>
      </w:r>
      <w:proofErr w:type="spellEnd"/>
      <w:r w:rsidRPr="006A4CD7">
        <w:rPr>
          <w:rFonts w:cs="Times New Roman"/>
          <w:i/>
          <w:iCs/>
          <w:szCs w:val="24"/>
        </w:rPr>
        <w:t xml:space="preserve"> v. Federated Dept. Stores</w:t>
      </w:r>
      <w:r w:rsidRPr="006A4CD7">
        <w:rPr>
          <w:rFonts w:cs="Times New Roman"/>
          <w:szCs w:val="24"/>
        </w:rPr>
        <w:t xml:space="preserve">, 672 F.2d 1312, 1317 (9th Cir. 1982) (noting punitive damages not available); </w:t>
      </w:r>
      <w:proofErr w:type="spellStart"/>
      <w:r w:rsidRPr="006A4CD7">
        <w:rPr>
          <w:rFonts w:cs="Times New Roman"/>
          <w:i/>
          <w:iCs/>
          <w:szCs w:val="24"/>
        </w:rPr>
        <w:t>Naton</w:t>
      </w:r>
      <w:proofErr w:type="spellEnd"/>
      <w:r w:rsidRPr="006A4CD7">
        <w:rPr>
          <w:rFonts w:cs="Times New Roman"/>
          <w:i/>
          <w:iCs/>
          <w:szCs w:val="24"/>
        </w:rPr>
        <w:t xml:space="preserve">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whether or not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62AB6C3A"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6563E1E2" w14:textId="43DD7BC2" w:rsidR="002779D0" w:rsidRDefault="002779D0" w:rsidP="0060759C">
      <w:pPr>
        <w:autoSpaceDE w:val="0"/>
        <w:autoSpaceDN w:val="0"/>
        <w:adjustRightInd w:val="0"/>
        <w:jc w:val="right"/>
        <w:rPr>
          <w:rFonts w:cs="Times New Roman"/>
          <w:i/>
          <w:iCs/>
          <w:szCs w:val="24"/>
        </w:rPr>
      </w:pPr>
    </w:p>
    <w:p w14:paraId="22E1A775" w14:textId="45E1EF26" w:rsidR="002779D0" w:rsidRDefault="002779D0" w:rsidP="0060759C">
      <w:pPr>
        <w:autoSpaceDE w:val="0"/>
        <w:autoSpaceDN w:val="0"/>
        <w:adjustRightInd w:val="0"/>
        <w:jc w:val="right"/>
        <w:rPr>
          <w:rFonts w:cs="Times New Roman"/>
          <w:i/>
          <w:iCs/>
          <w:szCs w:val="24"/>
        </w:rPr>
      </w:pPr>
    </w:p>
    <w:p w14:paraId="004B2B78" w14:textId="77777777" w:rsidR="006A4CD7" w:rsidRPr="006A4CD7" w:rsidRDefault="006A4CD7" w:rsidP="0060759C">
      <w:pPr>
        <w:autoSpaceDE w:val="0"/>
        <w:autoSpaceDN w:val="0"/>
        <w:adjustRightInd w:val="0"/>
        <w:rPr>
          <w:rFonts w:cs="Times New Roman"/>
          <w:szCs w:val="24"/>
        </w:rPr>
      </w:pPr>
    </w:p>
    <w:p w14:paraId="5ECF55DC" w14:textId="3767A898" w:rsidR="009F103E" w:rsidRPr="006A4CD7" w:rsidRDefault="006A4CD7" w:rsidP="007A6519">
      <w:pPr>
        <w:pStyle w:val="Heading2"/>
      </w:pPr>
      <w:bookmarkStart w:id="203" w:name="_Toc117512488"/>
      <w:r w:rsidRPr="006A4CD7">
        <w:lastRenderedPageBreak/>
        <w:t xml:space="preserve">11.1 </w:t>
      </w:r>
      <w:r w:rsidR="00E04BA5" w:rsidRPr="00E04BA5">
        <w:t>Age Discrimination—Disparate Treatment—Elements and Burden of Proof</w:t>
      </w:r>
      <w:bookmarkEnd w:id="203"/>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w:t>
      </w:r>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t>Despite the fact that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in light of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69D9D98F"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of: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w:t>
      </w:r>
      <w:proofErr w:type="spellStart"/>
      <w:r w:rsidRPr="006A4CD7">
        <w:rPr>
          <w:rFonts w:cs="Times New Roman"/>
          <w:szCs w:val="24"/>
        </w:rPr>
        <w:t>S.Ct</w:t>
      </w:r>
      <w:proofErr w:type="spellEnd"/>
      <w:r w:rsidRPr="006A4CD7">
        <w:rPr>
          <w:rFonts w:cs="Times New Roman"/>
          <w:szCs w:val="24"/>
        </w:rPr>
        <w:t xml:space="preserve">. 1701, 123 L.Ed.2d 338 (1993) (explaining that the claim “cannot succeed unless the employee's protected trait actually played a role in [the employer’s </w:t>
      </w:r>
      <w:proofErr w:type="spellStart"/>
      <w:r w:rsidRPr="006A4CD7">
        <w:rPr>
          <w:rFonts w:cs="Times New Roman"/>
          <w:szCs w:val="24"/>
        </w:rPr>
        <w:t>decisionmaking</w:t>
      </w:r>
      <w:proofErr w:type="spellEnd"/>
      <w:r w:rsidRPr="006A4CD7">
        <w:rPr>
          <w:rFonts w:cs="Times New Roman"/>
          <w:szCs w:val="24"/>
        </w:rPr>
        <w:t xml:space="preserve">] process </w:t>
      </w:r>
      <w:r w:rsidRPr="006A4CD7">
        <w:rPr>
          <w:rFonts w:cs="Times New Roman"/>
          <w:i/>
          <w:iCs/>
          <w:szCs w:val="24"/>
        </w:rPr>
        <w:t xml:space="preserve">and had a determinative influence on the </w:t>
      </w:r>
      <w:r w:rsidR="005C1103" w:rsidRPr="006A4CD7">
        <w:rPr>
          <w:rFonts w:cs="Times New Roman"/>
          <w:i/>
          <w:iCs/>
          <w:szCs w:val="24"/>
        </w:rPr>
        <w:t>outcome</w:t>
      </w:r>
      <w:r w:rsidR="005C1103" w:rsidRPr="006A4CD7">
        <w:rPr>
          <w:rFonts w:cs="Times New Roman"/>
          <w:szCs w:val="24"/>
        </w:rPr>
        <w:t>”</w:t>
      </w:r>
      <w:r w:rsidRPr="006A4CD7">
        <w:rPr>
          <w:rFonts w:cs="Times New Roman"/>
          <w:szCs w:val="24"/>
        </w:rPr>
        <w:t xml:space="preserve">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 xml:space="preserve">Babb v. </w:t>
      </w:r>
      <w:proofErr w:type="spellStart"/>
      <w:r w:rsidRPr="006A4CD7">
        <w:rPr>
          <w:rFonts w:cs="Times New Roman"/>
          <w:i/>
          <w:iCs/>
          <w:szCs w:val="24"/>
        </w:rPr>
        <w:t>Wilkie</w:t>
      </w:r>
      <w:proofErr w:type="spellEnd"/>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w:t>
      </w:r>
      <w:proofErr w:type="spellStart"/>
      <w:r w:rsidRPr="006A4CD7">
        <w:rPr>
          <w:rFonts w:cs="Times New Roman"/>
          <w:szCs w:val="24"/>
        </w:rPr>
        <w:t>backpacy</w:t>
      </w:r>
      <w:proofErr w:type="spellEnd"/>
      <w:r w:rsidRPr="006A4CD7">
        <w:rPr>
          <w:rFonts w:cs="Times New Roman"/>
          <w:szCs w:val="24"/>
        </w:rPr>
        <w:t xml:space="preserve">, compensatory damages, or other forms of relief related to the end result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40E7E3B7" w:rsidR="006A4CD7" w:rsidRPr="006A4CD7" w:rsidRDefault="006A4CD7" w:rsidP="004E3028">
      <w:pPr>
        <w:pStyle w:val="Heading2"/>
      </w:pPr>
      <w:r w:rsidRPr="006A4CD7">
        <w:br w:type="page"/>
      </w:r>
      <w:bookmarkStart w:id="204" w:name="_Toc117512489"/>
      <w:r w:rsidRPr="006A4CD7">
        <w:lastRenderedPageBreak/>
        <w:t xml:space="preserve">11.2 </w:t>
      </w:r>
      <w:r w:rsidR="00E04BA5" w:rsidRPr="00E04BA5">
        <w:t>Age Discrimination—Hostile Work Environment</w:t>
      </w:r>
      <w:bookmarkEnd w:id="204"/>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Pr="005C1103" w:rsidRDefault="009F103E" w:rsidP="009F103E">
      <w:pPr>
        <w:rPr>
          <w:i/>
          <w:iCs/>
        </w:rPr>
      </w:pPr>
      <w:r>
        <w:tab/>
        <w:t xml:space="preserve">At least one Ninth Circuit case suggests that a viable hostile work environment claim can be stated under the ADEA.  </w:t>
      </w:r>
      <w:proofErr w:type="spellStart"/>
      <w:r w:rsidRPr="005C1103">
        <w:rPr>
          <w:i/>
          <w:iCs/>
        </w:rPr>
        <w:t>Sischo-Nownejad</w:t>
      </w:r>
      <w:proofErr w:type="spellEnd"/>
      <w:r w:rsidRPr="005C1103">
        <w:rPr>
          <w:i/>
          <w:iCs/>
        </w:rPr>
        <w:t xml:space="preserve"> v. Merced </w:t>
      </w:r>
      <w:proofErr w:type="spellStart"/>
      <w:r w:rsidRPr="005C1103">
        <w:rPr>
          <w:i/>
          <w:iCs/>
        </w:rPr>
        <w:t>Cmty</w:t>
      </w:r>
      <w:proofErr w:type="spellEnd"/>
      <w:r w:rsidRPr="005C1103">
        <w:rPr>
          <w:i/>
          <w:iCs/>
        </w:rPr>
        <w:t>. Coll. Dist</w:t>
      </w:r>
      <w:r>
        <w:t xml:space="preserve">., 934 F.2d 1104, 1109 (9th Cir. 1991), superseded on other grounds as recognized by </w:t>
      </w:r>
      <w:r w:rsidRPr="005C1103">
        <w:rPr>
          <w:i/>
          <w:iCs/>
        </w:rPr>
        <w:t>Dominguez-</w:t>
      </w:r>
    </w:p>
    <w:p w14:paraId="58B5CC5D" w14:textId="77777777" w:rsidR="009F103E" w:rsidRDefault="009F103E" w:rsidP="009F103E">
      <w:r w:rsidRPr="005C1103">
        <w:rPr>
          <w:i/>
          <w:iCs/>
        </w:rPr>
        <w:t xml:space="preserve">Curry v. Nev. Transp. </w:t>
      </w:r>
      <w:proofErr w:type="spellStart"/>
      <w:r w:rsidRPr="005C1103">
        <w:rPr>
          <w:i/>
          <w:iCs/>
        </w:rPr>
        <w:t>Dep’t</w:t>
      </w:r>
      <w:proofErr w:type="spellEnd"/>
      <w:r>
        <w:t xml:space="preserve">, 424 F.3d 1027, 1041 (9th Cir. 2015) (“A plaintiff may show violations of [the ADEA] by  . . . proving the existence of a hostile work environment.”).  This is consistent with the general practice that, absent reasons to the contrary, intentional discrimination under the ADEA should be treated in the same fashion as Title VII.  </w:t>
      </w:r>
      <w:r w:rsidRPr="005C1103">
        <w:rPr>
          <w:i/>
          <w:iCs/>
        </w:rPr>
        <w:t>See generally Coleman v. Quaker Oats Co</w:t>
      </w:r>
      <w:r>
        <w:t xml:space="preserve">., 232 F.3d 1271, 1295 (9th Cir. 2000) (“The analysis [of disparate treatment claims] under Title VII is the same as that under ADEA.”); </w:t>
      </w:r>
      <w:r w:rsidRPr="005C1103">
        <w:rPr>
          <w:i/>
          <w:iCs/>
        </w:rPr>
        <w:t>Mustafa v. Clark County Sch. Dist</w:t>
      </w:r>
      <w:r>
        <w: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w:t>
      </w:r>
      <w:r w:rsidRPr="005C1103">
        <w:rPr>
          <w:i/>
          <w:iCs/>
        </w:rPr>
        <w:t xml:space="preserve">Burlington Indus. Inc. v. </w:t>
      </w:r>
      <w:proofErr w:type="spellStart"/>
      <w:r w:rsidRPr="005C1103">
        <w:rPr>
          <w:i/>
          <w:iCs/>
        </w:rPr>
        <w:t>Ellerth</w:t>
      </w:r>
      <w:proofErr w:type="spellEnd"/>
      <w:r>
        <w:t xml:space="preserve">,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As applicable, the parallel Title VII instructions concerning hostile work environment claims (Instructions 10.4, 10.5, 10.6, and 10.7) should be given, in a form modified to take into account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2B5214EA" w:rsidR="006A4CD7" w:rsidRPr="006A4CD7" w:rsidRDefault="006A4CD7" w:rsidP="009F103E">
      <w:pPr>
        <w:pStyle w:val="Heading2"/>
      </w:pPr>
      <w:r w:rsidRPr="006A4CD7">
        <w:br w:type="page"/>
      </w:r>
      <w:bookmarkStart w:id="205" w:name="_Toc117512490"/>
      <w:r w:rsidRPr="006A4CD7">
        <w:lastRenderedPageBreak/>
        <w:t xml:space="preserve">11.3 </w:t>
      </w:r>
      <w:r w:rsidR="00E04BA5" w:rsidRPr="00E04BA5">
        <w:t>Age Discrimination—Retaliation</w:t>
      </w:r>
      <w:bookmarkEnd w:id="205"/>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657C27A7" w:rsidR="009F103E" w:rsidRDefault="009F103E" w:rsidP="009F103E">
      <w:r>
        <w:tab/>
        <w:t xml:space="preserve">The ADEA “makes it unlawful for an employer to retaliate against an employee for opposing the employer’s discriminatory practices or participating in any investigation or proceeding under the ADEA[.]” </w:t>
      </w:r>
      <w:proofErr w:type="spellStart"/>
      <w:r w:rsidRPr="005C1103">
        <w:rPr>
          <w:i/>
          <w:iCs/>
        </w:rPr>
        <w:t>O’Day</w:t>
      </w:r>
      <w:proofErr w:type="spellEnd"/>
      <w:r w:rsidRPr="005C1103">
        <w:rPr>
          <w:i/>
          <w:iCs/>
        </w:rPr>
        <w:t xml:space="preserve"> v. McDonnell Douglas Helicopter Co</w:t>
      </w:r>
      <w:r>
        <w:t xml:space="preserve">., 79 F.3d 756, 763 (9th Cir. 1996).  See 29 U.S.C. § 623(d).  The Ninth Circuit applies the same standard in both ADEA and Title VII retaliation cases.  </w:t>
      </w:r>
      <w:r w:rsidRPr="005C1103">
        <w:rPr>
          <w:i/>
          <w:iCs/>
        </w:rPr>
        <w:t>See Hashimoto v. Dalton</w:t>
      </w:r>
      <w:r>
        <w:t xml:space="preserve">, 118 F.3d 671, 675 n.1 (9th Cir. 1997) (“[T]he ADEA anti-retaliation provision is ‘parallel to the anti-retaliation provision contained in Title VII,’ and . . . ‘cases interpreting the latter provision are frequently relied upon in interpreting the former.’”); </w:t>
      </w:r>
      <w:proofErr w:type="spellStart"/>
      <w:r w:rsidRPr="009E1008">
        <w:rPr>
          <w:i/>
          <w:iCs/>
        </w:rPr>
        <w:t>O’Day</w:t>
      </w:r>
      <w:proofErr w:type="spellEnd"/>
      <w:r>
        <w:t xml:space="preserve">,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w:t>
      </w:r>
      <w:r w:rsidRPr="009E1008">
        <w:rPr>
          <w:i/>
          <w:iCs/>
        </w:rPr>
        <w:t>Merrick v. Farmers Ins. Group</w:t>
      </w:r>
      <w:r>
        <w:t>,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 xml:space="preserve">As applicable, Instruction 10.8 (Civil Rights—Title VII—Retaliation —Elements and Burden of Proof.) should be given in a form modified to take into account that the activity protected under federal law is opposition to practices made unlawful by the ADEA.  </w:t>
      </w:r>
      <w:r w:rsidRPr="009E1008">
        <w:rPr>
          <w:i/>
          <w:iCs/>
        </w:rPr>
        <w:t>See</w:t>
      </w:r>
      <w:r>
        <w:t xml:space="preserve"> 29 U.S.C. § 623(d).</w:t>
      </w:r>
    </w:p>
    <w:p w14:paraId="7D5C9DE5" w14:textId="77777777" w:rsidR="009F103E" w:rsidRPr="009F103E" w:rsidRDefault="009F103E" w:rsidP="009F103E"/>
    <w:p w14:paraId="70ADD520" w14:textId="67720E30" w:rsidR="009F103E" w:rsidRDefault="006A4CD7" w:rsidP="002779D0">
      <w:pPr>
        <w:pStyle w:val="Heading2"/>
      </w:pPr>
      <w:r w:rsidRPr="006A4CD7">
        <w:br w:type="page"/>
      </w:r>
      <w:bookmarkStart w:id="206" w:name="_Toc117512491"/>
      <w:r w:rsidRPr="006A4CD7">
        <w:lastRenderedPageBreak/>
        <w:t xml:space="preserve">11.4 </w:t>
      </w:r>
      <w:r w:rsidR="00E04BA5" w:rsidRPr="00E04BA5">
        <w:t>Age Discrimination—Disparate Impact—Elements</w:t>
      </w:r>
      <w:bookmarkEnd w:id="206"/>
    </w:p>
    <w:p w14:paraId="57D61945" w14:textId="77777777" w:rsidR="009F103E" w:rsidRDefault="009F103E" w:rsidP="009F103E"/>
    <w:p w14:paraId="4B945497" w14:textId="77777777" w:rsidR="009F103E" w:rsidRDefault="009F103E" w:rsidP="009F103E">
      <w:r>
        <w:tab/>
        <w:t>The plaintiff seeks damages based on age discrimination in violation of federal law. In order to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w:t>
      </w:r>
      <w:proofErr w:type="spellStart"/>
      <w:r w:rsidRPr="009E1008">
        <w:rPr>
          <w:i/>
          <w:iCs/>
        </w:rPr>
        <w:t>Pottenger</w:t>
      </w:r>
      <w:proofErr w:type="spellEnd"/>
      <w:r w:rsidRPr="009E1008">
        <w:rPr>
          <w:i/>
          <w:iCs/>
        </w:rPr>
        <w:t xml:space="preserve"> v. Potlatch Corp</w:t>
      </w:r>
      <w:r>
        <w:t xml:space="preserve">., 329 F.3d 740, 749 (9th Cir. 2003).  In </w:t>
      </w:r>
      <w:r w:rsidRPr="009E1008">
        <w:rPr>
          <w:i/>
          <w:iCs/>
        </w:rPr>
        <w:t>Smith v. City of Jackson</w:t>
      </w:r>
      <w:r>
        <w:t xml:space="preserve">, 544 U.S. 228, 232 (2005), the Supreme Court affirmed the availability of a disparate impact claim under the ADEA.  For a detailed discussion of a disparate impact claim arising under the Fair Housing Act, </w:t>
      </w:r>
      <w:r w:rsidRPr="009E1008">
        <w:rPr>
          <w:i/>
          <w:iCs/>
        </w:rPr>
        <w:t>see Texas Department of Housing and Community Affairs v. Inclusive Communities Project, Inc</w:t>
      </w:r>
      <w:r>
        <w:t xml:space="preserve">., 135 S. Ct. 2507 (2015) (relying on cases interpreting Title VII and the ADEA).  </w:t>
      </w:r>
    </w:p>
    <w:p w14:paraId="23EEF838" w14:textId="77777777" w:rsidR="009F103E" w:rsidRDefault="009F103E" w:rsidP="009F103E"/>
    <w:p w14:paraId="21B5500A" w14:textId="77777777" w:rsidR="009F103E" w:rsidRDefault="009F103E" w:rsidP="009F103E">
      <w:r>
        <w:tab/>
        <w:t xml:space="preserve">The first element states the age threshold necessary to fall within the ADEA.  </w:t>
      </w:r>
      <w:r w:rsidRPr="009E1008">
        <w:rPr>
          <w:i/>
          <w:iCs/>
        </w:rPr>
        <w:t>See</w:t>
      </w:r>
      <w:r>
        <w:t xml:space="preserve"> 29 U.S.C. § 631(a).</w:t>
      </w:r>
    </w:p>
    <w:p w14:paraId="43CC655A" w14:textId="77777777" w:rsidR="009F103E" w:rsidRDefault="009F103E" w:rsidP="009F103E"/>
    <w:p w14:paraId="1358FFBF" w14:textId="3C69FC9B" w:rsidR="009F103E" w:rsidRDefault="009F103E" w:rsidP="009F103E">
      <w:r>
        <w:tab/>
        <w:t xml:space="preserve">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sidRPr="009E1008">
        <w:rPr>
          <w:i/>
          <w:iCs/>
        </w:rPr>
        <w:t>Smith</w:t>
      </w:r>
      <w:r>
        <w:t xml:space="preserve">, 544 U.S. at 240-41 (internal quotation omitted) (emphasis in original) (holding that heightened disparate impact standard of </w:t>
      </w:r>
      <w:r w:rsidRPr="009E1008">
        <w:rPr>
          <w:i/>
          <w:iCs/>
        </w:rPr>
        <w:t xml:space="preserve">Wards Cove Packing Co. v. </w:t>
      </w:r>
      <w:proofErr w:type="spellStart"/>
      <w:r w:rsidRPr="009E1008">
        <w:rPr>
          <w:i/>
          <w:iCs/>
        </w:rPr>
        <w:t>Atonio</w:t>
      </w:r>
      <w:proofErr w:type="spellEnd"/>
      <w:r>
        <w:t>,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lastRenderedPageBreak/>
        <w:tab/>
        <w:t xml:space="preserve">The third element states the requirement that the plaintiff “must show that he was subject to the particular employment practice with the alleged disparate impact.”  </w:t>
      </w:r>
      <w:proofErr w:type="spellStart"/>
      <w:r w:rsidRPr="009E1008">
        <w:rPr>
          <w:i/>
          <w:iCs/>
        </w:rPr>
        <w:t>Pottenger</w:t>
      </w:r>
      <w:proofErr w:type="spellEnd"/>
      <w:r>
        <w:t>,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17F23F48" w:rsidR="006A4CD7" w:rsidRPr="006A4CD7" w:rsidRDefault="006A4CD7" w:rsidP="009F103E">
      <w:pPr>
        <w:pStyle w:val="Heading2"/>
      </w:pPr>
      <w:r w:rsidRPr="006A4CD7">
        <w:br w:type="page"/>
      </w:r>
      <w:bookmarkStart w:id="207" w:name="_Toc117512492"/>
      <w:r w:rsidRPr="006A4CD7">
        <w:lastRenderedPageBreak/>
        <w:t xml:space="preserve">11.5 </w:t>
      </w:r>
      <w:r w:rsidR="00E04BA5" w:rsidRPr="00E04BA5">
        <w:t>Age Discrimination—Definition of Common Terms</w:t>
      </w:r>
      <w:bookmarkEnd w:id="207"/>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given: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3688BE28" w:rsidR="006A4CD7" w:rsidRPr="006A4CD7" w:rsidRDefault="006A4CD7" w:rsidP="009F103E">
      <w:pPr>
        <w:pStyle w:val="Heading2"/>
      </w:pPr>
      <w:r w:rsidRPr="006A4CD7">
        <w:br w:type="page"/>
      </w:r>
      <w:bookmarkStart w:id="208" w:name="_Toc117512493"/>
      <w:r w:rsidRPr="006A4CD7">
        <w:lastRenderedPageBreak/>
        <w:t xml:space="preserve">11.6 </w:t>
      </w:r>
      <w:r w:rsidR="00223463" w:rsidRPr="00223463">
        <w:t>Age Discrimination—Defenses</w:t>
      </w:r>
      <w:bookmarkEnd w:id="208"/>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on the basis of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proofErr w:type="spellStart"/>
      <w:r w:rsidR="006A4CD7" w:rsidRPr="006A4CD7">
        <w:rPr>
          <w:i/>
          <w:iCs/>
        </w:rPr>
        <w:t>McKennon</w:t>
      </w:r>
      <w:proofErr w:type="spellEnd"/>
      <w:r w:rsidR="006A4CD7" w:rsidRPr="006A4CD7">
        <w:rPr>
          <w:i/>
          <w:iCs/>
        </w:rPr>
        <w:t xml:space="preserve"> v. Nashville Banner Pub. Co.</w:t>
      </w:r>
      <w:r w:rsidR="006A4CD7" w:rsidRPr="006A4CD7">
        <w:t xml:space="preserve">, 513 U.S. 352, 362-63 (1995); </w:t>
      </w:r>
      <w:r w:rsidR="006A4CD7" w:rsidRPr="006A4CD7">
        <w:rPr>
          <w:i/>
          <w:iCs/>
        </w:rPr>
        <w:t xml:space="preserve">see also </w:t>
      </w:r>
      <w:proofErr w:type="spellStart"/>
      <w:r w:rsidR="006A4CD7" w:rsidRPr="006A4CD7">
        <w:rPr>
          <w:i/>
          <w:iCs/>
        </w:rPr>
        <w:t>O’Day</w:t>
      </w:r>
      <w:proofErr w:type="spellEnd"/>
      <w:r w:rsidR="006A4CD7" w:rsidRPr="006A4CD7">
        <w:rPr>
          <w:i/>
          <w:iCs/>
        </w:rPr>
        <w:t xml:space="preserve">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1870D3EF" w14:textId="0FF511EE" w:rsidR="006A4CD7" w:rsidRDefault="006A4CD7" w:rsidP="007A6519">
      <w:pPr>
        <w:pStyle w:val="Heading2"/>
      </w:pPr>
      <w:r w:rsidRPr="006A4CD7">
        <w:br w:type="page"/>
      </w:r>
      <w:bookmarkStart w:id="209" w:name="_Toc117512494"/>
      <w:r w:rsidRPr="006A4CD7">
        <w:lastRenderedPageBreak/>
        <w:t xml:space="preserve">11.7 </w:t>
      </w:r>
      <w:r w:rsidR="00223463" w:rsidRPr="00223463">
        <w:t>Age Discrimination—Defenses—Bona Fide Occupational Qualification</w:t>
      </w:r>
      <w:bookmarkEnd w:id="209"/>
    </w:p>
    <w:p w14:paraId="539D5F52" w14:textId="77777777" w:rsidR="00223463" w:rsidRPr="00223463" w:rsidRDefault="00223463" w:rsidP="00223463"/>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in light of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 xml:space="preserve">in </w:t>
      </w:r>
      <w:proofErr w:type="spellStart"/>
      <w:r w:rsidR="006A4CD7" w:rsidRPr="006A4CD7">
        <w:rPr>
          <w:i/>
          <w:iCs/>
        </w:rPr>
        <w:t>haec</w:t>
      </w:r>
      <w:proofErr w:type="spellEnd"/>
      <w:r w:rsidR="006A4CD7" w:rsidRPr="006A4CD7">
        <w:rPr>
          <w:i/>
          <w:iCs/>
        </w:rPr>
        <w:t xml:space="preserve"> </w:t>
      </w:r>
      <w:proofErr w:type="spellStart"/>
      <w:r w:rsidR="006A4CD7" w:rsidRPr="006A4CD7">
        <w:rPr>
          <w:i/>
          <w:iCs/>
        </w:rPr>
        <w:t>verba</w:t>
      </w:r>
      <w:proofErr w:type="spellEnd"/>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3C2FFCD0" w:rsidR="006A4CD7" w:rsidRPr="006A4CD7" w:rsidRDefault="006A4CD7" w:rsidP="006C1EA0">
      <w:pPr>
        <w:pStyle w:val="Heading2"/>
      </w:pPr>
      <w:r w:rsidRPr="006A4CD7">
        <w:br w:type="page"/>
      </w:r>
      <w:bookmarkStart w:id="210" w:name="_Toc117512495"/>
      <w:r w:rsidRPr="006A4CD7">
        <w:lastRenderedPageBreak/>
        <w:t xml:space="preserve">11.8 </w:t>
      </w:r>
      <w:r w:rsidR="00223463" w:rsidRPr="00223463">
        <w:t>Age Discrimination—Defenses—Bona Fide Seniority System</w:t>
      </w:r>
      <w:bookmarkEnd w:id="210"/>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the seniority system had legitimate goals and was not designed to discriminate on the basis of age;</w:t>
      </w:r>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describe the alleged discriminatory action</w:t>
      </w:r>
      <w:r w:rsidRPr="006A4CD7">
        <w:t>][.]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490C91D6"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6FF99146" w14:textId="77777777" w:rsidR="009412F2" w:rsidRDefault="009F103E" w:rsidP="009F103E">
      <w:r>
        <w:tab/>
      </w:r>
      <w:r w:rsidR="006A4CD7" w:rsidRPr="006A4CD7">
        <w:t xml:space="preserve">Because there is no authority construing the provision, and because the literal text of </w:t>
      </w:r>
    </w:p>
    <w:p w14:paraId="5A852640" w14:textId="2EC5A938" w:rsidR="006A4CD7" w:rsidRDefault="006A4CD7" w:rsidP="009F103E">
      <w:r w:rsidRPr="006A4CD7">
        <w:lastRenderedPageBreak/>
        <w:t xml:space="preserve">“require or permit . . . involuntary retirement” is less than clear, the language of the third element is adopted from a Ninth Circuit case construing identical involuntary retirement language in 29 U.S.C. § 623(f)(2)(B), the ADEA’s employee benefit plan defense.  </w:t>
      </w:r>
      <w:r w:rsidRPr="006A4CD7">
        <w:rPr>
          <w:i/>
          <w:iCs/>
        </w:rPr>
        <w:t xml:space="preserve">See </w:t>
      </w:r>
      <w:proofErr w:type="spellStart"/>
      <w:r w:rsidRPr="006A4CD7">
        <w:rPr>
          <w:i/>
          <w:iCs/>
        </w:rPr>
        <w:t>Kalvinskas</w:t>
      </w:r>
      <w:proofErr w:type="spellEnd"/>
      <w:r w:rsidRPr="006A4CD7">
        <w:rPr>
          <w:i/>
          <w:iCs/>
        </w:rPr>
        <w:t xml:space="preserve"> v. Cal. Inst. of Tech.</w:t>
      </w:r>
      <w:r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37B5662C" w:rsidR="006A4CD7" w:rsidRPr="006A4CD7" w:rsidRDefault="006A4CD7" w:rsidP="009F103E">
      <w:pPr>
        <w:pStyle w:val="Heading2"/>
      </w:pPr>
      <w:r w:rsidRPr="006A4CD7">
        <w:br w:type="page"/>
      </w:r>
      <w:bookmarkStart w:id="211" w:name="_Toc117512496"/>
      <w:r w:rsidRPr="006A4CD7">
        <w:lastRenderedPageBreak/>
        <w:t xml:space="preserve">11.9 </w:t>
      </w:r>
      <w:r w:rsidR="00223463" w:rsidRPr="00223463">
        <w:t>Age Discrimination—Defenses—After-Acquired Evidence</w:t>
      </w:r>
      <w:bookmarkEnd w:id="211"/>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 xml:space="preserve">See </w:t>
      </w:r>
      <w:proofErr w:type="spellStart"/>
      <w:r w:rsidR="006A4CD7" w:rsidRPr="006A4CD7">
        <w:rPr>
          <w:i/>
          <w:iCs/>
        </w:rPr>
        <w:t>McKennon</w:t>
      </w:r>
      <w:proofErr w:type="spellEnd"/>
      <w:r w:rsidR="006A4CD7" w:rsidRPr="006A4CD7">
        <w:rPr>
          <w:i/>
          <w:iCs/>
        </w:rPr>
        <w:t xml:space="preserve"> v. Nashville Banner Pub. Co.,</w:t>
      </w:r>
      <w:r w:rsidR="006A4CD7" w:rsidRPr="006A4CD7">
        <w:t xml:space="preserve"> 513 U.S. 352, 358–59 (1995); </w:t>
      </w:r>
      <w:proofErr w:type="spellStart"/>
      <w:r w:rsidR="006A4CD7" w:rsidRPr="006A4CD7">
        <w:rPr>
          <w:i/>
          <w:iCs/>
        </w:rPr>
        <w:t>O’Day</w:t>
      </w:r>
      <w:proofErr w:type="spellEnd"/>
      <w:r w:rsidR="006A4CD7" w:rsidRPr="006A4CD7">
        <w:rPr>
          <w:i/>
          <w:iCs/>
        </w:rPr>
        <w:t xml:space="preserve">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proofErr w:type="spellStart"/>
      <w:r w:rsidR="006A4CD7" w:rsidRPr="006A4CD7">
        <w:rPr>
          <w:i/>
          <w:iCs/>
        </w:rPr>
        <w:t>McKennon</w:t>
      </w:r>
      <w:proofErr w:type="spellEnd"/>
      <w:r w:rsidR="006A4CD7" w:rsidRPr="006A4CD7">
        <w:t xml:space="preserve">, 513 U.S. at 362 (1995) (ADEA case); </w:t>
      </w:r>
      <w:r w:rsidR="006A4CD7" w:rsidRPr="006A4CD7">
        <w:rPr>
          <w:i/>
          <w:iCs/>
        </w:rPr>
        <w:t xml:space="preserve">see also Rivera v. </w:t>
      </w:r>
      <w:proofErr w:type="spellStart"/>
      <w:r w:rsidR="006A4CD7" w:rsidRPr="006A4CD7">
        <w:rPr>
          <w:i/>
          <w:iCs/>
        </w:rPr>
        <w:t>Nibco</w:t>
      </w:r>
      <w:proofErr w:type="spellEnd"/>
      <w:r w:rsidR="006A4CD7" w:rsidRPr="006A4CD7">
        <w:rPr>
          <w:i/>
          <w:iCs/>
        </w:rPr>
        <w:t>, Inc.</w:t>
      </w:r>
      <w:r w:rsidR="006A4CD7" w:rsidRPr="006A4CD7">
        <w:t xml:space="preserve">, 364 F.3d 1057, 1071 n.16 (9th Cir. 2004); </w:t>
      </w:r>
      <w:proofErr w:type="spellStart"/>
      <w:r w:rsidR="006A4CD7" w:rsidRPr="006A4CD7">
        <w:rPr>
          <w:i/>
          <w:iCs/>
        </w:rPr>
        <w:t>O’Day</w:t>
      </w:r>
      <w:proofErr w:type="spellEnd"/>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In Title VII cases, the defense of after-acquired evidence is similar to,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6123C0F7" w14:textId="0602647A" w:rsidR="006A4CD7" w:rsidRPr="006A4CD7" w:rsidRDefault="006A4CD7" w:rsidP="007A6519">
      <w:pPr>
        <w:pStyle w:val="Heading2"/>
      </w:pPr>
      <w:r w:rsidRPr="006A4CD7">
        <w:br w:type="page"/>
      </w:r>
      <w:bookmarkStart w:id="212" w:name="_Toc117512497"/>
      <w:r w:rsidRPr="006A4CD7">
        <w:lastRenderedPageBreak/>
        <w:t xml:space="preserve">11.10 </w:t>
      </w:r>
      <w:r w:rsidR="00223463" w:rsidRPr="00223463">
        <w:t>Age Discrimination—Defenses—Bona Fide Employee Benefit Plan</w:t>
      </w:r>
      <w:bookmarkEnd w:id="212"/>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occurred as part of the defendant’s policy of providing its workers with nonwage benefits under an employee benefit plan;</w:t>
      </w:r>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employees;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the defendant was actually following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lastRenderedPageBreak/>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02439C2F" w:rsidR="006A4CD7" w:rsidRPr="006A4CD7" w:rsidRDefault="009F714C" w:rsidP="009F714C">
      <w:r>
        <w:tab/>
      </w:r>
      <w:r w:rsidR="006A4CD7" w:rsidRPr="006A4CD7">
        <w:t xml:space="preserve">Subsequent to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w:t>
      </w:r>
      <w:proofErr w:type="spellStart"/>
      <w:r w:rsidR="006A4CD7" w:rsidRPr="006A4CD7">
        <w:t>Pub.L</w:t>
      </w:r>
      <w:proofErr w:type="spellEnd"/>
      <w:r w:rsidR="006A4CD7" w:rsidRPr="006A4CD7">
        <w:t>.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w:t>
      </w:r>
      <w:r w:rsidR="002779D0">
        <w:t>,</w:t>
      </w:r>
      <w:r w:rsidR="006A4CD7" w:rsidRPr="006A4CD7">
        <w:t xml:space="preser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The second element is straightforward.  “‘[B]</w:t>
      </w:r>
      <w:proofErr w:type="spellStart"/>
      <w:r w:rsidR="006A4CD7" w:rsidRPr="006A4CD7">
        <w:t>ona</w:t>
      </w:r>
      <w:proofErr w:type="spellEnd"/>
      <w:r w:rsidR="006A4CD7" w:rsidRPr="006A4CD7">
        <w:t xml:space="preserve">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proofErr w:type="spellStart"/>
      <w:r w:rsidR="006A4CD7" w:rsidRPr="006A4CD7">
        <w:rPr>
          <w:i/>
          <w:iCs/>
        </w:rPr>
        <w:t>Kalvinskas</w:t>
      </w:r>
      <w:proofErr w:type="spellEnd"/>
      <w:r w:rsidR="006A4CD7" w:rsidRPr="006A4CD7">
        <w:rPr>
          <w:i/>
          <w:iCs/>
        </w:rPr>
        <w:t xml:space="preserve">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lastRenderedPageBreak/>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Thus, the fifth element now requires that the plan be “justified by significant cost considerations.”  29 C.F.R. § 1625.10 (incorporated by reference in 29 U.S.C. § 623(f)(2)(B)(</w:t>
      </w:r>
      <w:proofErr w:type="spellStart"/>
      <w:r w:rsidR="006A4CD7" w:rsidRPr="006A4CD7">
        <w:t>i</w:t>
      </w:r>
      <w:proofErr w:type="spellEnd"/>
      <w:r w:rsidR="006A4CD7" w:rsidRPr="006A4CD7">
        <w:t xml:space="preserve">)).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1A87E0A4" w14:textId="50816752" w:rsidR="006A4CD7" w:rsidRPr="006A4CD7" w:rsidRDefault="006A4CD7" w:rsidP="007A6519">
      <w:pPr>
        <w:pStyle w:val="Heading2"/>
      </w:pPr>
      <w:r w:rsidRPr="006A4CD7">
        <w:br w:type="page"/>
      </w:r>
      <w:bookmarkStart w:id="213" w:name="_Toc117512498"/>
      <w:r w:rsidRPr="006A4CD7">
        <w:lastRenderedPageBreak/>
        <w:t xml:space="preserve">11.11 </w:t>
      </w:r>
      <w:r w:rsidR="00223463" w:rsidRPr="00223463">
        <w:t>Age Discrimination—Defenses—Reasonable Factor Other Than Age</w:t>
      </w:r>
      <w:bookmarkEnd w:id="213"/>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 xml:space="preserve">the [test] [requirement] [practice] [selection criterion] is based on a factor other than the age of [the plaintiff] [those similarly situated];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impacting older workers is “reasonable factor other than age” when it “respond[s] to the [employer’s] legitimate goal”). </w:t>
      </w:r>
    </w:p>
    <w:p w14:paraId="04EB3FA7" w14:textId="77777777" w:rsidR="006A4CD7" w:rsidRPr="006A4CD7" w:rsidRDefault="006A4CD7" w:rsidP="009F714C"/>
    <w:p w14:paraId="4FF5993F" w14:textId="76CB579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 xml:space="preserve">Babb v. </w:t>
      </w:r>
      <w:proofErr w:type="spellStart"/>
      <w:r w:rsidR="006A4CD7" w:rsidRPr="006A4CD7">
        <w:rPr>
          <w:i/>
          <w:iCs/>
        </w:rPr>
        <w:t>Wilkie</w:t>
      </w:r>
      <w:proofErr w:type="spellEnd"/>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backpay, compensatory damages, or other forms of relief related to the end result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6A3E8171" w:rsidR="006A4CD7" w:rsidRPr="006A4CD7" w:rsidRDefault="006A4CD7" w:rsidP="009F714C">
      <w:pPr>
        <w:pStyle w:val="Heading2"/>
      </w:pPr>
      <w:r w:rsidRPr="006A4CD7">
        <w:br w:type="page"/>
      </w:r>
      <w:bookmarkStart w:id="214" w:name="_Toc117512499"/>
      <w:r w:rsidRPr="006A4CD7">
        <w:lastRenderedPageBreak/>
        <w:t xml:space="preserve">11.12 </w:t>
      </w:r>
      <w:r w:rsidR="00223463" w:rsidRPr="00223463">
        <w:t>Age Discrimination—Damages</w:t>
      </w:r>
      <w:bookmarkEnd w:id="214"/>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232A22E6" w:rsidR="006A4CD7" w:rsidRPr="006A4CD7" w:rsidRDefault="006A4CD7" w:rsidP="009F714C">
      <w:pPr>
        <w:pStyle w:val="Heading2"/>
      </w:pPr>
      <w:r w:rsidRPr="006A4CD7">
        <w:br w:type="page"/>
      </w:r>
      <w:bookmarkStart w:id="215" w:name="_Toc117512500"/>
      <w:r w:rsidRPr="006A4CD7">
        <w:lastRenderedPageBreak/>
        <w:t xml:space="preserve">11.13 </w:t>
      </w:r>
      <w:r w:rsidR="00223463" w:rsidRPr="00223463">
        <w:t>Age Discrimination—Damages—Back Pay—Mitigation</w:t>
      </w:r>
      <w:bookmarkEnd w:id="215"/>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 xml:space="preserve">Mitigation of Back Pay Award:  The plaintiff has a duty to undertake reasonable measures to minimize [his] [her] damages and the defendant is not required to compensate the plaintiff for avoidable damages.  Thus, your award of back pay should be reduced by the amount of damages that the plaintiff actually avoided, or could have avoided, if [he] [she] had made reasonable efforts.  The defendant has the burden of proving by a preponderance of the evidence that a reduction should be made and the amount by which the award should </w:t>
      </w:r>
      <w:proofErr w:type="spellStart"/>
      <w:r w:rsidRPr="006A4CD7">
        <w:rPr>
          <w:rFonts w:cs="Times New Roman"/>
          <w:szCs w:val="24"/>
        </w:rPr>
        <w:t>reduced</w:t>
      </w:r>
      <w:proofErr w:type="spellEnd"/>
      <w:r w:rsidRPr="006A4CD7">
        <w:rPr>
          <w:rFonts w:cs="Times New Roman"/>
          <w:szCs w:val="24"/>
        </w:rPr>
        <w:t>.</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w:t>
      </w:r>
      <w:proofErr w:type="spellStart"/>
      <w:r w:rsidRPr="006A4CD7">
        <w:rPr>
          <w:rFonts w:cs="Times New Roman"/>
          <w:szCs w:val="24"/>
        </w:rPr>
        <w:t>i</w:t>
      </w:r>
      <w:proofErr w:type="spellEnd"/>
      <w:r w:rsidRPr="006A4CD7">
        <w:rPr>
          <w:rFonts w:cs="Times New Roman"/>
          <w:szCs w:val="24"/>
        </w:rPr>
        <w:t xml:space="preserve">)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(ii) that the plaintiff failed to make reasonable efforts to find such new job;</w:t>
      </w:r>
    </w:p>
    <w:p w14:paraId="212C021B" w14:textId="77777777" w:rsidR="006A4CD7" w:rsidRPr="006A4CD7" w:rsidRDefault="006A4CD7" w:rsidP="0060759C">
      <w:pPr>
        <w:autoSpaceDE w:val="0"/>
        <w:autoSpaceDN w:val="0"/>
        <w:adjustRightInd w:val="0"/>
        <w:rPr>
          <w:rFonts w:cs="Times New Roman"/>
          <w:szCs w:val="24"/>
        </w:rPr>
      </w:pPr>
    </w:p>
    <w:p w14:paraId="76D6116D" w14:textId="71EC359D" w:rsidR="006A4CD7" w:rsidRPr="002779D0" w:rsidRDefault="006A4CD7" w:rsidP="002779D0">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lastRenderedPageBreak/>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whether or not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 xml:space="preserve">v. </w:t>
      </w:r>
      <w:proofErr w:type="spellStart"/>
      <w:r w:rsidRPr="006A4CD7">
        <w:rPr>
          <w:rFonts w:cs="Times New Roman"/>
          <w:i/>
          <w:iCs/>
          <w:szCs w:val="24"/>
        </w:rPr>
        <w:t>Reichold</w:t>
      </w:r>
      <w:proofErr w:type="spellEnd"/>
      <w:r w:rsidRPr="006A4CD7">
        <w:rPr>
          <w:rFonts w:cs="Times New Roman"/>
          <w:i/>
          <w:iCs/>
          <w:szCs w:val="24"/>
        </w:rPr>
        <w:t xml:space="preserve">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Limit on Front Pay Award:  Front pay is intended to be temporary in nature.  The plaintiff has a duty to make reasonable efforts to obtain a new job of like kind, status, and pay.  Thus, you must limit any award of front pay to compensate only for the period of time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4E2D5612"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3C4BC5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w:t>
      </w:r>
      <w:r w:rsidRPr="006A4CD7">
        <w:rPr>
          <w:rFonts w:cs="Times New Roman"/>
          <w:szCs w:val="24"/>
        </w:rPr>
        <w:lastRenderedPageBreak/>
        <w:t xml:space="preserve">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available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in order to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proofErr w:type="spellStart"/>
      <w:r w:rsidRPr="006A4CD7">
        <w:rPr>
          <w:rFonts w:cs="Times New Roman"/>
          <w:i/>
          <w:iCs/>
          <w:szCs w:val="24"/>
        </w:rPr>
        <w:t>Naton</w:t>
      </w:r>
      <w:proofErr w:type="spellEnd"/>
      <w:r w:rsidRPr="006A4CD7">
        <w:rPr>
          <w:rFonts w:cs="Times New Roman"/>
          <w:i/>
          <w:iCs/>
          <w:szCs w:val="24"/>
        </w:rPr>
        <w:t xml:space="preserve"> v. Bank of California</w:t>
      </w:r>
      <w:r w:rsidRPr="006A4CD7">
        <w:rPr>
          <w:rFonts w:cs="Times New Roman"/>
          <w:szCs w:val="24"/>
        </w:rPr>
        <w:t xml:space="preserve">, 649 F.2d 691, 698-99 (9th Cir. 1981).  Thus, a plaintiff cannot recover for emotional distress or pain and suffering under the ADEA.  </w:t>
      </w:r>
      <w:r w:rsidRPr="006A4CD7">
        <w:rPr>
          <w:rFonts w:cs="Times New Roman"/>
          <w:i/>
          <w:iCs/>
          <w:szCs w:val="24"/>
        </w:rPr>
        <w:t>Id.</w:t>
      </w:r>
      <w:r w:rsidRPr="006A4CD7">
        <w:rPr>
          <w:rFonts w:cs="Times New Roman"/>
          <w:szCs w:val="24"/>
        </w:rPr>
        <w:t xml:space="preserve">; </w:t>
      </w:r>
      <w:r w:rsidRPr="006A4CD7">
        <w:rPr>
          <w:rFonts w:cs="Times New Roman"/>
          <w:i/>
          <w:iCs/>
          <w:szCs w:val="24"/>
        </w:rPr>
        <w:t xml:space="preserve">see also Comm’r v. </w:t>
      </w:r>
      <w:proofErr w:type="spellStart"/>
      <w:r w:rsidRPr="006A4CD7">
        <w:rPr>
          <w:rFonts w:cs="Times New Roman"/>
          <w:i/>
          <w:iCs/>
          <w:szCs w:val="24"/>
        </w:rPr>
        <w:t>Schleier</w:t>
      </w:r>
      <w:proofErr w:type="spellEnd"/>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49519132" w14:textId="2F7DBEF8" w:rsidR="006A4CD7" w:rsidRPr="006A4CD7" w:rsidRDefault="006A4CD7" w:rsidP="007A6519">
      <w:pPr>
        <w:pStyle w:val="Heading2"/>
      </w:pPr>
      <w:r w:rsidRPr="006A4CD7">
        <w:br w:type="page"/>
      </w:r>
      <w:bookmarkStart w:id="216" w:name="_Toc117512501"/>
      <w:r w:rsidRPr="006A4CD7">
        <w:lastRenderedPageBreak/>
        <w:t xml:space="preserve">11.14 </w:t>
      </w:r>
      <w:r w:rsidR="00223463" w:rsidRPr="00223463">
        <w:t>Age Discrimination—Damages—Willful Discrimination—Liquidated Damages</w:t>
      </w:r>
      <w:bookmarkEnd w:id="216"/>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 xml:space="preserve">Cassino v. </w:t>
      </w:r>
      <w:proofErr w:type="spellStart"/>
      <w:r w:rsidRPr="006A4CD7">
        <w:rPr>
          <w:rFonts w:cs="Times New Roman"/>
          <w:i/>
          <w:iCs/>
          <w:szCs w:val="24"/>
        </w:rPr>
        <w:t>Reichhold</w:t>
      </w:r>
      <w:proofErr w:type="spellEnd"/>
      <w:r w:rsidRPr="006A4CD7">
        <w:rPr>
          <w:rFonts w:cs="Times New Roman"/>
          <w:i/>
          <w:iCs/>
          <w:szCs w:val="24"/>
        </w:rPr>
        <w:t xml:space="preserve"> </w:t>
      </w:r>
      <w:proofErr w:type="spellStart"/>
      <w:r w:rsidRPr="006A4CD7">
        <w:rPr>
          <w:rFonts w:cs="Times New Roman"/>
          <w:i/>
          <w:iCs/>
          <w:szCs w:val="24"/>
        </w:rPr>
        <w:t>Chems</w:t>
      </w:r>
      <w:proofErr w:type="spellEnd"/>
      <w:r w:rsidRPr="006A4CD7">
        <w:rPr>
          <w:rFonts w:cs="Times New Roman"/>
          <w:i/>
          <w:iCs/>
          <w:szCs w:val="24"/>
        </w:rPr>
        <w:t>.,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 xml:space="preserve">Gilchrist v. Jim </w:t>
      </w:r>
      <w:proofErr w:type="spellStart"/>
      <w:r w:rsidRPr="006A4CD7">
        <w:rPr>
          <w:rFonts w:cs="Times New Roman"/>
          <w:i/>
          <w:iCs/>
          <w:szCs w:val="24"/>
        </w:rPr>
        <w:t>Slemons</w:t>
      </w:r>
      <w:proofErr w:type="spellEnd"/>
      <w:r w:rsidRPr="006A4CD7">
        <w:rPr>
          <w:rFonts w:cs="Times New Roman"/>
          <w:i/>
          <w:iCs/>
          <w:szCs w:val="24"/>
        </w:rPr>
        <w:t xml:space="preserve">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3BAEC8EB" w:rsidR="006A4CD7" w:rsidRPr="006A4CD7" w:rsidRDefault="006A4CD7" w:rsidP="00BF5CD7">
      <w:pPr>
        <w:pStyle w:val="Heading1"/>
      </w:pPr>
      <w:r w:rsidRPr="006A4CD7">
        <w:br w:type="page"/>
      </w:r>
      <w:bookmarkStart w:id="217" w:name="_Toc117512502"/>
      <w:r w:rsidRPr="006A4CD7">
        <w:lastRenderedPageBreak/>
        <w:t>12.  AMERICANS WITH DISABILITIES ACT</w:t>
      </w:r>
      <w:bookmarkEnd w:id="217"/>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0ABA2D1"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473846D7" w14:textId="0E5EDA03" w:rsidR="006A4CD7" w:rsidRDefault="00B405D9" w:rsidP="0060759C">
      <w:pPr>
        <w:autoSpaceDE w:val="0"/>
        <w:autoSpaceDN w:val="0"/>
        <w:adjustRightInd w:val="0"/>
        <w:jc w:val="center"/>
        <w:rPr>
          <w:rFonts w:cs="Times New Roman"/>
          <w:szCs w:val="24"/>
        </w:rPr>
      </w:pPr>
      <w:r w:rsidRPr="00B405D9">
        <w:rPr>
          <w:rFonts w:cs="Times New Roman"/>
          <w:szCs w:val="24"/>
        </w:rPr>
        <w:t>____________________</w:t>
      </w:r>
    </w:p>
    <w:p w14:paraId="67DE67EC" w14:textId="1D0221D6" w:rsidR="00B405D9" w:rsidRDefault="00B405D9" w:rsidP="0060759C">
      <w:pPr>
        <w:autoSpaceDE w:val="0"/>
        <w:autoSpaceDN w:val="0"/>
        <w:adjustRightInd w:val="0"/>
        <w:jc w:val="center"/>
        <w:rPr>
          <w:rFonts w:cs="Times New Roman"/>
          <w:szCs w:val="24"/>
        </w:rPr>
      </w:pPr>
    </w:p>
    <w:p w14:paraId="75D8D09A" w14:textId="77777777" w:rsidR="00B405D9" w:rsidRPr="00B405D9" w:rsidRDefault="00B405D9" w:rsidP="0060759C">
      <w:pPr>
        <w:autoSpaceDE w:val="0"/>
        <w:autoSpaceDN w:val="0"/>
        <w:adjustRightInd w:val="0"/>
        <w:jc w:val="center"/>
        <w:rPr>
          <w:rFonts w:cs="Times New Roman"/>
          <w:szCs w:val="24"/>
        </w:rPr>
      </w:pPr>
    </w:p>
    <w:p w14:paraId="55028723" w14:textId="0E3FE7A1" w:rsidR="006A4CD7" w:rsidRPr="006A4CD7" w:rsidRDefault="006A4CD7" w:rsidP="00BF5CD7">
      <w:pPr>
        <w:pStyle w:val="Heading1"/>
      </w:pPr>
      <w:bookmarkStart w:id="218" w:name="_Toc117512503"/>
      <w:r w:rsidRPr="006A4CD7">
        <w:t>Introductory Comment</w:t>
      </w:r>
      <w:bookmarkEnd w:id="218"/>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proofErr w:type="spellStart"/>
      <w:r w:rsidRPr="006A4CD7">
        <w:rPr>
          <w:rFonts w:cs="Times New Roman"/>
          <w:i/>
          <w:iCs/>
          <w:szCs w:val="24"/>
        </w:rPr>
        <w:t>Becerril</w:t>
      </w:r>
      <w:proofErr w:type="spellEnd"/>
      <w:r w:rsidRPr="006A4CD7">
        <w:rPr>
          <w:rFonts w:cs="Times New Roman"/>
          <w:i/>
          <w:iCs/>
          <w:szCs w:val="24"/>
        </w:rPr>
        <w:t xml:space="preserve"> v. Pima </w:t>
      </w:r>
      <w:proofErr w:type="spellStart"/>
      <w:r w:rsidRPr="006A4CD7">
        <w:rPr>
          <w:rFonts w:cs="Times New Roman"/>
          <w:i/>
          <w:iCs/>
          <w:szCs w:val="24"/>
        </w:rPr>
        <w:t>Cnty</w:t>
      </w:r>
      <w:proofErr w:type="spellEnd"/>
      <w:r w:rsidRPr="006A4CD7">
        <w:rPr>
          <w:rFonts w:cs="Times New Roman"/>
          <w:i/>
          <w:iCs/>
          <w:szCs w:val="24"/>
        </w:rPr>
        <w:t>.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education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5DDE1BB0" w14:textId="77777777" w:rsidR="00922594" w:rsidRDefault="006A4CD7" w:rsidP="0060759C">
      <w:pPr>
        <w:autoSpaceDE w:val="0"/>
        <w:autoSpaceDN w:val="0"/>
        <w:adjustRightInd w:val="0"/>
        <w:rPr>
          <w:rFonts w:cs="Times New Roman"/>
          <w:i/>
          <w:iCs/>
          <w:szCs w:val="24"/>
        </w:rPr>
      </w:pPr>
      <w:r w:rsidRPr="006A4CD7">
        <w:rPr>
          <w:rFonts w:cs="Times New Roman"/>
          <w:szCs w:val="24"/>
        </w:rPr>
        <w:tab/>
        <w:t xml:space="preserve">As the Supreme Court has observed, “[t]o effectuate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 xml:space="preserve">PGA Tour, Inc. </w:t>
      </w:r>
    </w:p>
    <w:p w14:paraId="798B1593" w14:textId="41D685F7" w:rsidR="006A4CD7" w:rsidRPr="006A4CD7" w:rsidRDefault="006A4CD7" w:rsidP="0060759C">
      <w:pPr>
        <w:autoSpaceDE w:val="0"/>
        <w:autoSpaceDN w:val="0"/>
        <w:adjustRightInd w:val="0"/>
        <w:rPr>
          <w:rFonts w:cs="Times New Roman"/>
          <w:szCs w:val="24"/>
        </w:rPr>
      </w:pPr>
      <w:r w:rsidRPr="006A4CD7">
        <w:rPr>
          <w:rFonts w:cs="Times New Roman"/>
          <w:i/>
          <w:iCs/>
          <w:szCs w:val="24"/>
        </w:rPr>
        <w:lastRenderedPageBreak/>
        <w:t>v. Martin</w:t>
      </w:r>
      <w:r w:rsidRPr="006A4CD7">
        <w:rPr>
          <w:rFonts w:cs="Times New Roman"/>
          <w:szCs w:val="24"/>
        </w:rPr>
        <w:t xml:space="preserve">, 432 U.S. 661, 675 (2001).  Title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 xml:space="preserve">Castle v. </w:t>
      </w:r>
      <w:proofErr w:type="spellStart"/>
      <w:r w:rsidRPr="006A4CD7">
        <w:rPr>
          <w:rFonts w:cs="Times New Roman"/>
          <w:i/>
          <w:iCs/>
          <w:szCs w:val="24"/>
        </w:rPr>
        <w:t>Eurofresh</w:t>
      </w:r>
      <w:proofErr w:type="spellEnd"/>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4B5AE2AB"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xml:space="preserve">., 878 F.3d 794, 798 (9th Cir. 2017) (“We have recognized that a failure-to-accommodate claim is ‘analytically distinct from a claim of disparate treatment or impact under the ADA.’”) (quoting </w:t>
      </w:r>
      <w:r w:rsidRPr="006A4CD7">
        <w:rPr>
          <w:rFonts w:cs="Times New Roman"/>
          <w:i/>
          <w:iCs/>
          <w:szCs w:val="24"/>
        </w:rPr>
        <w:t xml:space="preserve">Johnson v. Bd. of Trustees of Boundary </w:t>
      </w:r>
      <w:proofErr w:type="spellStart"/>
      <w:r w:rsidRPr="006A4CD7">
        <w:rPr>
          <w:rFonts w:cs="Times New Roman"/>
          <w:i/>
          <w:iCs/>
          <w:szCs w:val="24"/>
        </w:rPr>
        <w:t>Cty</w:t>
      </w:r>
      <w:proofErr w:type="spellEnd"/>
      <w:r w:rsidRPr="006A4CD7">
        <w:rPr>
          <w:rFonts w:cs="Times New Roman"/>
          <w:i/>
          <w:iCs/>
          <w:szCs w:val="24"/>
        </w:rPr>
        <w:t>.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 xml:space="preserve">Lopez v. Pacific Maritime </w:t>
      </w:r>
      <w:proofErr w:type="spellStart"/>
      <w:r w:rsidRPr="006A4CD7">
        <w:rPr>
          <w:rFonts w:cs="Times New Roman"/>
          <w:i/>
          <w:iCs/>
          <w:szCs w:val="24"/>
        </w:rPr>
        <w:t>Ass’n</w:t>
      </w:r>
      <w:proofErr w:type="spellEnd"/>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049DC10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Chevron U.S.A., Inc. v. </w:t>
      </w:r>
      <w:proofErr w:type="spellStart"/>
      <w:r w:rsidRPr="006A4CD7">
        <w:rPr>
          <w:rFonts w:cs="Times New Roman"/>
          <w:i/>
          <w:iCs/>
          <w:szCs w:val="24"/>
        </w:rPr>
        <w:t>Echazabal</w:t>
      </w:r>
      <w:proofErr w:type="spellEnd"/>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w:t>
      </w:r>
      <w:r w:rsidR="00B405D9" w:rsidRPr="006A4CD7">
        <w:rPr>
          <w:rFonts w:cs="Times New Roman"/>
          <w:szCs w:val="24"/>
        </w:rPr>
        <w:t>. . .”</w:t>
      </w:r>
      <w:r w:rsidRPr="006A4CD7">
        <w:rPr>
          <w:rFonts w:cs="Times New Roman"/>
          <w:szCs w:val="24"/>
        </w:rPr>
        <w:t xml:space="preserve">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w:t>
      </w:r>
      <w:proofErr w:type="spellStart"/>
      <w:r w:rsidRPr="006A4CD7">
        <w:rPr>
          <w:rFonts w:cs="Times New Roman"/>
          <w:i/>
          <w:iCs/>
          <w:szCs w:val="24"/>
        </w:rPr>
        <w:t>Atochem</w:t>
      </w:r>
      <w:proofErr w:type="spellEnd"/>
      <w:r w:rsidRPr="006A4CD7">
        <w:rPr>
          <w:rFonts w:cs="Times New Roman"/>
          <w:i/>
          <w:iCs/>
          <w:szCs w:val="24"/>
        </w:rPr>
        <w:t xml:space="preserve">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0A17E1D5" w14:textId="7080E54F" w:rsid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xml:space="preserve">, 588 F.3d 1261, 1270 (9th Cir. 2009) (“Because we </w:t>
      </w:r>
      <w:r w:rsidRPr="006A4CD7">
        <w:rPr>
          <w:rFonts w:cs="Times New Roman"/>
          <w:szCs w:val="24"/>
        </w:rPr>
        <w:lastRenderedPageBreak/>
        <w:t>conclude that ADA retaliation claims are redressable only by equitable relief, no jury trial is available.”)</w:t>
      </w:r>
    </w:p>
    <w:p w14:paraId="1BE9F0FA" w14:textId="77777777" w:rsidR="00A43708" w:rsidRPr="006A4CD7" w:rsidRDefault="00A43708" w:rsidP="0060759C">
      <w:pPr>
        <w:autoSpaceDE w:val="0"/>
        <w:autoSpaceDN w:val="0"/>
        <w:adjustRightInd w:val="0"/>
        <w:rPr>
          <w:rFonts w:cs="Times New Roman"/>
          <w:szCs w:val="24"/>
        </w:rPr>
      </w:pP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788A03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xml:space="preserve">,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w:t>
      </w:r>
      <w:r w:rsidR="00B405D9" w:rsidRPr="006A4CD7">
        <w:rPr>
          <w:rFonts w:cs="Times New Roman"/>
          <w:szCs w:val="24"/>
        </w:rPr>
        <w:t>stated,</w:t>
      </w:r>
      <w:r w:rsidRPr="006A4CD7">
        <w:rPr>
          <w:rFonts w:cs="Times New Roman"/>
          <w:szCs w:val="24"/>
        </w:rPr>
        <w:t xml:space="preserve">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8F1DD4F" w14:textId="77777777" w:rsidR="006A4CD7" w:rsidRPr="006A4CD7" w:rsidRDefault="006A4CD7" w:rsidP="0060759C">
      <w:pPr>
        <w:autoSpaceDE w:val="0"/>
        <w:autoSpaceDN w:val="0"/>
        <w:adjustRightInd w:val="0"/>
        <w:rPr>
          <w:rFonts w:cs="Times New Roman"/>
          <w:szCs w:val="24"/>
        </w:rPr>
      </w:pPr>
    </w:p>
    <w:p w14:paraId="51C410FD" w14:textId="77777777" w:rsidR="006A4CD7" w:rsidRPr="006A4CD7" w:rsidRDefault="006A4CD7" w:rsidP="0060759C">
      <w:pPr>
        <w:autoSpaceDE w:val="0"/>
        <w:autoSpaceDN w:val="0"/>
        <w:adjustRightInd w:val="0"/>
        <w:rPr>
          <w:rFonts w:cs="Times New Roman"/>
          <w:szCs w:val="24"/>
        </w:rPr>
      </w:pPr>
    </w:p>
    <w:p w14:paraId="69CCAC5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4640479B" w:rsidR="009F714C" w:rsidRPr="006A4CD7" w:rsidRDefault="006A4CD7" w:rsidP="009F714C">
      <w:pPr>
        <w:pStyle w:val="Heading2"/>
      </w:pPr>
      <w:r w:rsidRPr="006A4CD7">
        <w:br w:type="page"/>
      </w:r>
      <w:bookmarkStart w:id="219" w:name="_Toc117512504"/>
      <w:r w:rsidRPr="006A4CD7">
        <w:lastRenderedPageBreak/>
        <w:t xml:space="preserve">12.1A </w:t>
      </w:r>
      <w:r w:rsidR="00223463" w:rsidRPr="00223463">
        <w:t>ADA Employment Actions—Actual Disability—Elements</w:t>
      </w:r>
      <w:bookmarkEnd w:id="219"/>
    </w:p>
    <w:p w14:paraId="3BA0E0EF" w14:textId="77777777" w:rsidR="006A4CD7" w:rsidRPr="006A4CD7" w:rsidRDefault="006A4CD7" w:rsidP="009F714C"/>
    <w:p w14:paraId="5A3365ED"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[his] [her]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[him] [her].  To succeed on this claim the plaintiff has the burden of proving the following by a preponderance of the evidence:</w:t>
      </w:r>
    </w:p>
    <w:p w14:paraId="00DA0E57" w14:textId="77777777" w:rsidR="001279D1" w:rsidRPr="001279D1" w:rsidRDefault="001279D1" w:rsidP="001279D1">
      <w:pPr>
        <w:autoSpaceDE w:val="0"/>
        <w:autoSpaceDN w:val="0"/>
        <w:adjustRightInd w:val="0"/>
        <w:rPr>
          <w:rFonts w:cs="Times New Roman"/>
          <w:szCs w:val="24"/>
        </w:rPr>
      </w:pPr>
    </w:p>
    <w:p w14:paraId="4864DFE5"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the plaintiff has a physical or mental impairment;</w:t>
      </w:r>
    </w:p>
    <w:p w14:paraId="60EE282F" w14:textId="77777777" w:rsidR="001279D1" w:rsidRPr="001279D1" w:rsidRDefault="001279D1" w:rsidP="001279D1">
      <w:pPr>
        <w:autoSpaceDE w:val="0"/>
        <w:autoSpaceDN w:val="0"/>
        <w:adjustRightInd w:val="0"/>
        <w:rPr>
          <w:rFonts w:cs="Times New Roman"/>
          <w:szCs w:val="24"/>
        </w:rPr>
      </w:pPr>
    </w:p>
    <w:p w14:paraId="2B88902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such physical or mental impairment substantially limited one or more major life activities;</w:t>
      </w:r>
    </w:p>
    <w:p w14:paraId="310E21E6" w14:textId="77777777" w:rsidR="001279D1" w:rsidRPr="001279D1" w:rsidRDefault="001279D1" w:rsidP="001279D1">
      <w:pPr>
        <w:autoSpaceDE w:val="0"/>
        <w:autoSpaceDN w:val="0"/>
        <w:adjustRightInd w:val="0"/>
        <w:rPr>
          <w:rFonts w:cs="Times New Roman"/>
          <w:szCs w:val="24"/>
        </w:rPr>
      </w:pPr>
    </w:p>
    <w:p w14:paraId="06373B37"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0FE76B79" w14:textId="77777777" w:rsidR="001279D1" w:rsidRPr="001279D1" w:rsidRDefault="001279D1" w:rsidP="001279D1">
      <w:pPr>
        <w:autoSpaceDE w:val="0"/>
        <w:autoSpaceDN w:val="0"/>
        <w:adjustRightInd w:val="0"/>
        <w:rPr>
          <w:rFonts w:cs="Times New Roman"/>
          <w:szCs w:val="24"/>
        </w:rPr>
      </w:pPr>
    </w:p>
    <w:p w14:paraId="3C12C72A"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physical or mental impairment.</w:t>
      </w:r>
    </w:p>
    <w:p w14:paraId="376F77AA" w14:textId="77777777" w:rsidR="001279D1" w:rsidRPr="001279D1" w:rsidRDefault="001279D1" w:rsidP="001279D1">
      <w:pPr>
        <w:autoSpaceDE w:val="0"/>
        <w:autoSpaceDN w:val="0"/>
        <w:adjustRightInd w:val="0"/>
        <w:rPr>
          <w:rFonts w:cs="Times New Roman"/>
          <w:szCs w:val="24"/>
        </w:rPr>
      </w:pPr>
    </w:p>
    <w:p w14:paraId="4A4E93B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one of these elements, your verdict should be for the defendant.</w:t>
      </w:r>
    </w:p>
    <w:p w14:paraId="4384CC76" w14:textId="77777777" w:rsidR="001279D1" w:rsidRPr="001279D1" w:rsidRDefault="001279D1" w:rsidP="001279D1">
      <w:pPr>
        <w:autoSpaceDE w:val="0"/>
        <w:autoSpaceDN w:val="0"/>
        <w:adjustRightInd w:val="0"/>
        <w:rPr>
          <w:rFonts w:cs="Times New Roman"/>
          <w:szCs w:val="24"/>
        </w:rPr>
      </w:pPr>
    </w:p>
    <w:p w14:paraId="58A4989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Major life activities are the normal activities of living that a nondisabled</w:t>
      </w:r>
      <w:r w:rsidRPr="001279D1">
        <w:rPr>
          <w:rFonts w:cs="Times New Roman"/>
          <w:b/>
          <w:bCs/>
          <w:szCs w:val="24"/>
        </w:rPr>
        <w:t xml:space="preserve"> </w:t>
      </w:r>
      <w:r w:rsidRPr="001279D1">
        <w:rPr>
          <w:rFonts w:cs="Times New Roman"/>
          <w:szCs w:val="24"/>
        </w:rPr>
        <w:t>person can do with little or no difficulty, such as [</w:t>
      </w:r>
      <w:r w:rsidRPr="001279D1">
        <w:rPr>
          <w:rFonts w:cs="Times New Roman"/>
          <w:i/>
          <w:iCs/>
          <w:szCs w:val="24"/>
          <w:u w:val="single"/>
        </w:rPr>
        <w:t>specify applicable major life activities</w:t>
      </w:r>
      <w:r w:rsidRPr="001279D1">
        <w:rPr>
          <w:rFonts w:cs="Times New Roman"/>
          <w:szCs w:val="24"/>
        </w:rPr>
        <w:t>].</w:t>
      </w:r>
      <w:r w:rsidRPr="001279D1">
        <w:rPr>
          <w:rFonts w:cs="Times New Roman"/>
          <w:szCs w:val="24"/>
        </w:rPr>
        <w:br/>
      </w:r>
    </w:p>
    <w:p w14:paraId="3D7DDA61" w14:textId="77777777" w:rsidR="001279D1" w:rsidRPr="001279D1" w:rsidRDefault="001279D1" w:rsidP="001279D1">
      <w:pPr>
        <w:autoSpaceDE w:val="0"/>
        <w:autoSpaceDN w:val="0"/>
        <w:adjustRightInd w:val="0"/>
        <w:rPr>
          <w:rFonts w:cs="Times New Roman"/>
          <w:szCs w:val="24"/>
        </w:rPr>
      </w:pPr>
    </w:p>
    <w:p w14:paraId="202F7DB4"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Comment</w:t>
      </w:r>
    </w:p>
    <w:p w14:paraId="58F61A49" w14:textId="77777777" w:rsidR="001279D1" w:rsidRPr="001279D1" w:rsidRDefault="001279D1" w:rsidP="001279D1">
      <w:pPr>
        <w:autoSpaceDE w:val="0"/>
        <w:autoSpaceDN w:val="0"/>
        <w:adjustRightInd w:val="0"/>
        <w:rPr>
          <w:rFonts w:cs="Times New Roman"/>
          <w:szCs w:val="24"/>
        </w:rPr>
      </w:pPr>
    </w:p>
    <w:p w14:paraId="745B4FB0"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endocrine and reproductive functions.  The Ninth Circuit has recognized interacting with others as a major life activity.  </w:t>
      </w:r>
      <w:r w:rsidRPr="001279D1">
        <w:rPr>
          <w:rFonts w:cs="Times New Roman"/>
          <w:i/>
          <w:iCs/>
          <w:szCs w:val="24"/>
        </w:rPr>
        <w:t>Weaving v. City of Hillsboro</w:t>
      </w:r>
      <w:r w:rsidRPr="001279D1">
        <w:rPr>
          <w:rFonts w:cs="Times New Roman"/>
          <w:szCs w:val="24"/>
        </w:rPr>
        <w:t>, 763 F.3d 1106, 1112 (9th Cir. 2014).  Whether obesity without an</w:t>
      </w:r>
    </w:p>
    <w:p w14:paraId="6E0D05BA"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underlying physiological cause is an impairment under the ADA is unclear.</w:t>
      </w:r>
      <w:r w:rsidRPr="001279D1">
        <w:rPr>
          <w:rFonts w:cs="Times New Roman"/>
          <w:i/>
          <w:iCs/>
          <w:szCs w:val="24"/>
        </w:rPr>
        <w:t xml:space="preserve">  See </w:t>
      </w:r>
      <w:proofErr w:type="spellStart"/>
      <w:r w:rsidRPr="001279D1">
        <w:rPr>
          <w:rFonts w:cs="Times New Roman"/>
          <w:i/>
          <w:iCs/>
          <w:szCs w:val="24"/>
        </w:rPr>
        <w:t>Valtierra</w:t>
      </w:r>
      <w:proofErr w:type="spellEnd"/>
      <w:r w:rsidRPr="001279D1">
        <w:rPr>
          <w:rFonts w:cs="Times New Roman"/>
          <w:i/>
          <w:iCs/>
          <w:szCs w:val="24"/>
        </w:rPr>
        <w:t xml:space="preserve"> v.</w:t>
      </w:r>
    </w:p>
    <w:p w14:paraId="04A194E7"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Medtronic, Inc</w:t>
      </w:r>
      <w:r w:rsidRPr="001279D1">
        <w:rPr>
          <w:rFonts w:cs="Times New Roman"/>
          <w:szCs w:val="24"/>
        </w:rPr>
        <w:t>., 934 F.3d 1089 (9th Cir. 2019).</w:t>
      </w:r>
    </w:p>
    <w:p w14:paraId="45DA1DC9" w14:textId="77777777" w:rsidR="001279D1" w:rsidRPr="001279D1" w:rsidRDefault="001279D1" w:rsidP="001279D1">
      <w:pPr>
        <w:autoSpaceDE w:val="0"/>
        <w:autoSpaceDN w:val="0"/>
        <w:adjustRightInd w:val="0"/>
        <w:rPr>
          <w:rFonts w:cs="Times New Roman"/>
          <w:szCs w:val="24"/>
        </w:rPr>
      </w:pPr>
    </w:p>
    <w:p w14:paraId="5BB586E1"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“[A]</w:t>
      </w:r>
      <w:proofErr w:type="spellStart"/>
      <w:r w:rsidRPr="001279D1">
        <w:rPr>
          <w:rFonts w:ascii="TimesNewRomanPSMT" w:hAnsi="TimesNewRomanPSMT" w:cs="TimesNewRomanPSMT"/>
          <w:szCs w:val="24"/>
        </w:rPr>
        <w:t>lthough</w:t>
      </w:r>
      <w:proofErr w:type="spellEnd"/>
      <w:r w:rsidRPr="001279D1">
        <w:rPr>
          <w:rFonts w:ascii="TimesNewRomanPSMT" w:hAnsi="TimesNewRomanPSMT" w:cs="TimesNewRomanPSMT"/>
          <w:szCs w:val="24"/>
        </w:rPr>
        <w:t xml:space="preserve">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5E043DED" w14:textId="77777777" w:rsidR="001279D1" w:rsidRPr="001279D1" w:rsidRDefault="001279D1" w:rsidP="001279D1">
      <w:pPr>
        <w:autoSpaceDE w:val="0"/>
        <w:autoSpaceDN w:val="0"/>
        <w:adjustRightInd w:val="0"/>
        <w:rPr>
          <w:rFonts w:cs="Times New Roman"/>
          <w:szCs w:val="24"/>
        </w:rPr>
      </w:pPr>
    </w:p>
    <w:p w14:paraId="63C8A548"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term “substantially limits” must be interpreted consistently with the ADAA.  </w:t>
      </w:r>
      <w:r w:rsidRPr="001279D1">
        <w:rPr>
          <w:rFonts w:cs="Times New Roman"/>
          <w:i/>
          <w:iCs/>
          <w:szCs w:val="24"/>
        </w:rPr>
        <w:t>Id.</w:t>
      </w:r>
      <w:r w:rsidRPr="001279D1">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w:t>
      </w:r>
      <w:r w:rsidRPr="001279D1">
        <w:rPr>
          <w:rFonts w:cs="Times New Roman"/>
          <w:szCs w:val="24"/>
        </w:rPr>
        <w:lastRenderedPageBreak/>
        <w:t xml:space="preserve">performing a major life activity in order to be considered substantially limiting.’”  </w:t>
      </w:r>
      <w:r w:rsidRPr="001279D1">
        <w:rPr>
          <w:rFonts w:cs="Times New Roman"/>
          <w:i/>
          <w:iCs/>
          <w:szCs w:val="24"/>
        </w:rPr>
        <w:t>Weaving v. City of Hillsboro</w:t>
      </w:r>
      <w:r w:rsidRPr="001279D1">
        <w:rPr>
          <w:rFonts w:cs="Times New Roman"/>
          <w:szCs w:val="24"/>
        </w:rPr>
        <w:t>, 763 F.3d 1106, 1111 (9th Cir. 2014) (quoting 29 C.F.R. § 1630.2(j)(1)(ii)).</w:t>
      </w:r>
    </w:p>
    <w:p w14:paraId="2379A27C" w14:textId="77777777" w:rsidR="001279D1" w:rsidRPr="001279D1" w:rsidRDefault="001279D1" w:rsidP="001279D1">
      <w:pPr>
        <w:autoSpaceDE w:val="0"/>
        <w:autoSpaceDN w:val="0"/>
        <w:adjustRightInd w:val="0"/>
        <w:rPr>
          <w:rFonts w:cs="Times New Roman"/>
          <w:szCs w:val="24"/>
        </w:rPr>
      </w:pPr>
    </w:p>
    <w:p w14:paraId="0C5B350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ADA places on the plaintiff the burden of showing that the plaintiff is qualified.  The plaintiff must show the ability to perform the essential functions of the job with or without a reasonable accommodation.  42 U.S.C. § 12112(b)(5)(A), 12111(8); </w:t>
      </w:r>
      <w:r w:rsidRPr="001279D1">
        <w:rPr>
          <w:rFonts w:cs="Times New Roman"/>
          <w:i/>
          <w:iCs/>
          <w:szCs w:val="24"/>
        </w:rPr>
        <w:t xml:space="preserve">Smith v. Clark </w:t>
      </w:r>
      <w:proofErr w:type="spellStart"/>
      <w:r w:rsidRPr="001279D1">
        <w:rPr>
          <w:rFonts w:cs="Times New Roman"/>
          <w:i/>
          <w:iCs/>
          <w:szCs w:val="24"/>
        </w:rPr>
        <w:t>Cnty</w:t>
      </w:r>
      <w:proofErr w:type="spellEnd"/>
      <w:r w:rsidRPr="001279D1">
        <w:rPr>
          <w:rFonts w:cs="Times New Roman"/>
          <w:i/>
          <w:iCs/>
          <w:szCs w:val="24"/>
        </w:rPr>
        <w:t>. Sch. Dist.</w:t>
      </w:r>
      <w:r w:rsidRPr="001279D1">
        <w:rPr>
          <w:rFonts w:cs="Times New Roman"/>
          <w:szCs w:val="24"/>
        </w:rPr>
        <w:t xml:space="preserve">, 727 F.3d 950, 955 (9th Cir. 2013); </w:t>
      </w:r>
      <w:r w:rsidRPr="001279D1">
        <w:rPr>
          <w:rFonts w:cs="Times New Roman"/>
          <w:i/>
          <w:iCs/>
          <w:szCs w:val="24"/>
        </w:rPr>
        <w:t>Cooper v. Neiman Marcus Group</w:t>
      </w:r>
      <w:r w:rsidRPr="001279D1">
        <w:rPr>
          <w:rFonts w:cs="Times New Roman"/>
          <w:szCs w:val="24"/>
        </w:rPr>
        <w:t>, 125 F.3d 786, 790 (9th Cir. 1997) (stating elements).</w:t>
      </w:r>
    </w:p>
    <w:p w14:paraId="220E4069" w14:textId="77777777" w:rsidR="001279D1" w:rsidRPr="001279D1" w:rsidRDefault="001279D1" w:rsidP="001279D1">
      <w:pPr>
        <w:autoSpaceDE w:val="0"/>
        <w:autoSpaceDN w:val="0"/>
        <w:adjustRightInd w:val="0"/>
        <w:rPr>
          <w:rFonts w:cs="Times New Roman"/>
          <w:szCs w:val="24"/>
        </w:rPr>
      </w:pPr>
    </w:p>
    <w:p w14:paraId="17C9C11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An employee who commits an act of misconduct may be fired, regardless of whether he or she is disabled within the meaning of the ADA.  </w:t>
      </w:r>
      <w:r w:rsidRPr="001279D1">
        <w:rPr>
          <w:rFonts w:cs="Times New Roman"/>
          <w:i/>
          <w:iCs/>
          <w:szCs w:val="24"/>
        </w:rPr>
        <w:t>Newland v. Dalton</w:t>
      </w:r>
      <w:r w:rsidRPr="001279D1">
        <w:rPr>
          <w:rFonts w:cs="Times New Roman"/>
          <w:szCs w:val="24"/>
        </w:rPr>
        <w:t xml:space="preserve">, 81 F.3d 904, 906 (9th Cir. 1996) (holding that while alcoholism is “disability” under ADA, employee’s arrest for criminal assault while intoxicated was nondiscriminatory reason for termination). </w:t>
      </w:r>
    </w:p>
    <w:p w14:paraId="3200FA4D" w14:textId="77777777" w:rsidR="001279D1" w:rsidRPr="001279D1" w:rsidRDefault="001279D1" w:rsidP="001279D1">
      <w:pPr>
        <w:autoSpaceDE w:val="0"/>
        <w:autoSpaceDN w:val="0"/>
        <w:adjustRightInd w:val="0"/>
        <w:rPr>
          <w:rFonts w:cs="Times New Roman"/>
          <w:szCs w:val="24"/>
        </w:rPr>
      </w:pPr>
    </w:p>
    <w:p w14:paraId="6A8F34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w:t>
      </w:r>
      <w:r w:rsidRPr="001279D1">
        <w:rPr>
          <w:rFonts w:cs="Times New Roman"/>
          <w:i/>
          <w:iCs/>
          <w:szCs w:val="24"/>
        </w:rPr>
        <w:t>Raytheon v. Hernandez</w:t>
      </w:r>
      <w:r w:rsidRPr="001279D1">
        <w:rPr>
          <w:rFonts w:cs="Times New Roman"/>
          <w:szCs w:val="24"/>
        </w:rPr>
        <w:t xml:space="preserve">, 540 U.S. 44 (2003), the Supreme Court addressed an employer policy not to re-hire employees who left the company for violating personal conduct rules such as illegal drug use.  </w:t>
      </w:r>
      <w:r w:rsidRPr="001279D1">
        <w:rPr>
          <w:rFonts w:cs="Times New Roman"/>
          <w:i/>
          <w:iCs/>
          <w:szCs w:val="24"/>
        </w:rPr>
        <w:t>Id.</w:t>
      </w:r>
      <w:r w:rsidRPr="001279D1">
        <w:rPr>
          <w:rFonts w:cs="Times New Roman"/>
          <w:szCs w:val="24"/>
        </w:rPr>
        <w:t xml:space="preserve"> at 46.  Under a disparate treatment theory, a neutral no-rehire policy was a legitimate, nondiscriminatory reason under the ADA.  </w:t>
      </w:r>
      <w:r w:rsidRPr="001279D1">
        <w:rPr>
          <w:rFonts w:cs="Times New Roman"/>
          <w:i/>
          <w:iCs/>
          <w:szCs w:val="24"/>
        </w:rPr>
        <w:t>Id.</w:t>
      </w:r>
      <w:r w:rsidRPr="001279D1">
        <w:rPr>
          <w:rFonts w:cs="Times New Roman"/>
          <w:szCs w:val="24"/>
        </w:rPr>
        <w:t xml:space="preserve"> at 53-55.  Because the plaintiff had failed to raise a disparate impact claim on a timely basis, </w:t>
      </w:r>
      <w:r w:rsidRPr="001279D1">
        <w:rPr>
          <w:rFonts w:cs="Times New Roman"/>
          <w:i/>
          <w:iCs/>
          <w:szCs w:val="24"/>
        </w:rPr>
        <w:t>id.</w:t>
      </w:r>
      <w:r w:rsidRPr="001279D1">
        <w:rPr>
          <w:rFonts w:cs="Times New Roman"/>
          <w:szCs w:val="24"/>
        </w:rPr>
        <w:t xml:space="preserve"> at 49, the Court held that the question of whether the neutral no-rehire policy fell more harshly on drug addicts who were successfully rehabilitated could not be considered.  </w:t>
      </w:r>
      <w:r w:rsidRPr="001279D1">
        <w:rPr>
          <w:rFonts w:cs="Times New Roman"/>
          <w:i/>
          <w:iCs/>
          <w:szCs w:val="24"/>
        </w:rPr>
        <w:t>Id.</w:t>
      </w:r>
      <w:r w:rsidRPr="001279D1">
        <w:rPr>
          <w:rFonts w:cs="Times New Roman"/>
          <w:szCs w:val="24"/>
        </w:rPr>
        <w:t xml:space="preserve"> at 52, 55.</w:t>
      </w:r>
    </w:p>
    <w:p w14:paraId="12D3E0F4" w14:textId="77777777" w:rsidR="001279D1" w:rsidRPr="001279D1" w:rsidRDefault="001279D1" w:rsidP="001279D1">
      <w:pPr>
        <w:autoSpaceDE w:val="0"/>
        <w:autoSpaceDN w:val="0"/>
        <w:adjustRightInd w:val="0"/>
        <w:rPr>
          <w:rFonts w:cs="Times New Roman"/>
          <w:szCs w:val="24"/>
        </w:rPr>
      </w:pPr>
    </w:p>
    <w:p w14:paraId="6569AD7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Title I provides that “[n]o covered entity shall discriminate against a qualified individual with a disability </w:t>
      </w:r>
      <w:r w:rsidRPr="001279D1">
        <w:rPr>
          <w:rFonts w:cs="Times New Roman"/>
          <w:i/>
          <w:iCs/>
          <w:szCs w:val="24"/>
        </w:rPr>
        <w:t>because of</w:t>
      </w:r>
      <w:r w:rsidRPr="001279D1">
        <w:rPr>
          <w:rFonts w:cs="Times New Roman"/>
          <w:szCs w:val="24"/>
        </w:rPr>
        <w:t xml:space="preserve"> the disability of such individual.”  42 U.S.C. § 12112(a) (emphasis added).  An ADA discrimination plaintiff bringing a claim under 42 U.S.C. § 12112 must show</w:t>
      </w:r>
    </w:p>
    <w:p w14:paraId="22313468" w14:textId="77777777" w:rsidR="001279D1" w:rsidRPr="001279D1" w:rsidRDefault="001279D1" w:rsidP="001279D1">
      <w:pPr>
        <w:autoSpaceDE w:val="0"/>
        <w:autoSpaceDN w:val="0"/>
        <w:adjustRightInd w:val="0"/>
        <w:rPr>
          <w:rFonts w:cs="Times New Roman"/>
          <w:i/>
          <w:iCs/>
          <w:szCs w:val="24"/>
        </w:rPr>
      </w:pPr>
      <w:r w:rsidRPr="001279D1">
        <w:rPr>
          <w:rFonts w:cs="Times New Roman"/>
          <w:szCs w:val="24"/>
        </w:rPr>
        <w:t xml:space="preserve">that the adverse employment action would not have occurred but for the disability.  </w:t>
      </w:r>
      <w:r w:rsidRPr="001279D1">
        <w:rPr>
          <w:rFonts w:cs="Times New Roman"/>
          <w:i/>
          <w:iCs/>
          <w:szCs w:val="24"/>
        </w:rPr>
        <w:t>Murray v.</w:t>
      </w:r>
    </w:p>
    <w:p w14:paraId="54B442C3" w14:textId="77777777" w:rsidR="001279D1" w:rsidRPr="001279D1" w:rsidRDefault="001279D1" w:rsidP="001279D1">
      <w:pPr>
        <w:autoSpaceDE w:val="0"/>
        <w:autoSpaceDN w:val="0"/>
        <w:adjustRightInd w:val="0"/>
        <w:rPr>
          <w:rFonts w:cs="Times New Roman"/>
          <w:szCs w:val="24"/>
        </w:rPr>
      </w:pPr>
      <w:r w:rsidRPr="001279D1">
        <w:rPr>
          <w:rFonts w:cs="Times New Roman"/>
          <w:i/>
          <w:iCs/>
          <w:szCs w:val="24"/>
        </w:rPr>
        <w:t>Mayo Clinic</w:t>
      </w:r>
      <w:r w:rsidRPr="001279D1">
        <w:rPr>
          <w:rFonts w:cs="Times New Roman"/>
          <w:szCs w:val="24"/>
        </w:rPr>
        <w:t xml:space="preserve">, 934 F.3d 1101, 1105 (9th Cir. 2019). </w:t>
      </w:r>
    </w:p>
    <w:p w14:paraId="22720989" w14:textId="77777777" w:rsidR="001279D1" w:rsidRPr="001279D1" w:rsidRDefault="001279D1" w:rsidP="001279D1">
      <w:pPr>
        <w:autoSpaceDE w:val="0"/>
        <w:autoSpaceDN w:val="0"/>
        <w:adjustRightInd w:val="0"/>
        <w:rPr>
          <w:rFonts w:cs="Times New Roman"/>
          <w:szCs w:val="24"/>
        </w:rPr>
      </w:pPr>
    </w:p>
    <w:p w14:paraId="0BE4865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Supreme Court has held that in a retaliation claim under Title VII, a plaintiff “must establish that his or her protected activity was a </w:t>
      </w:r>
      <w:proofErr w:type="spellStart"/>
      <w:r w:rsidRPr="001279D1">
        <w:rPr>
          <w:rFonts w:cs="Times New Roman"/>
          <w:szCs w:val="24"/>
        </w:rPr>
        <w:t>but</w:t>
      </w:r>
      <w:proofErr w:type="spellEnd"/>
      <w:r w:rsidRPr="001279D1">
        <w:rPr>
          <w:rFonts w:cs="Times New Roman"/>
          <w:szCs w:val="24"/>
        </w:rPr>
        <w:t xml:space="preserve">-for cause of the alleged adverse action by the employer.”  </w:t>
      </w:r>
      <w:r w:rsidRPr="001279D1">
        <w:rPr>
          <w:rFonts w:cs="Times New Roman"/>
          <w:i/>
          <w:iCs/>
          <w:szCs w:val="24"/>
        </w:rPr>
        <w:t>University of Texas Southwestern Medical Center v. Nassar</w:t>
      </w:r>
      <w:r w:rsidRPr="001279D1">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1279D1">
        <w:rPr>
          <w:rFonts w:cs="Times New Roman"/>
          <w:i/>
          <w:iCs/>
          <w:szCs w:val="24"/>
        </w:rPr>
        <w:t>Gross</w:t>
      </w:r>
      <w:r w:rsidRPr="001279D1">
        <w:rPr>
          <w:rFonts w:cs="Times New Roman"/>
          <w:szCs w:val="24"/>
        </w:rPr>
        <w:t xml:space="preserve">.  133 S. Ct. at 2528; </w:t>
      </w:r>
      <w:r w:rsidRPr="001279D1">
        <w:rPr>
          <w:rFonts w:cs="Times New Roman"/>
          <w:i/>
          <w:iCs/>
          <w:szCs w:val="24"/>
        </w:rPr>
        <w:t xml:space="preserve">see also </w:t>
      </w:r>
      <w:proofErr w:type="spellStart"/>
      <w:r w:rsidRPr="001279D1">
        <w:rPr>
          <w:rFonts w:cs="Times New Roman"/>
          <w:i/>
          <w:iCs/>
          <w:szCs w:val="24"/>
        </w:rPr>
        <w:t>Burrage</w:t>
      </w:r>
      <w:proofErr w:type="spellEnd"/>
      <w:r w:rsidRPr="001279D1">
        <w:rPr>
          <w:rFonts w:cs="Times New Roman"/>
          <w:i/>
          <w:iCs/>
          <w:szCs w:val="24"/>
        </w:rPr>
        <w:t xml:space="preserve"> v. United States</w:t>
      </w:r>
      <w:r w:rsidRPr="001279D1">
        <w:rPr>
          <w:rFonts w:cs="Times New Roman"/>
          <w:szCs w:val="24"/>
        </w:rPr>
        <w:t xml:space="preserve">, 134 S. Ct. 881, 887-889 (2014) (defining “results from” in Controlled Substances Act to mean “but for” causation).  The Ninth Circuit has applied “but for” causation in retaliation claims under the ADA.  </w:t>
      </w:r>
      <w:r w:rsidRPr="001279D1">
        <w:rPr>
          <w:rFonts w:cs="Times New Roman"/>
          <w:i/>
          <w:iCs/>
          <w:szCs w:val="24"/>
        </w:rPr>
        <w:t>T.B. v. San Diego Unified Sch. Dist.</w:t>
      </w:r>
      <w:r w:rsidRPr="001279D1">
        <w:rPr>
          <w:rFonts w:cs="Times New Roman"/>
          <w:szCs w:val="24"/>
        </w:rPr>
        <w:t xml:space="preserve">, 795 F.3d 1067, 1088 (9th Cir. 2015). </w:t>
      </w:r>
    </w:p>
    <w:p w14:paraId="59019815" w14:textId="77777777" w:rsidR="001279D1" w:rsidRPr="001279D1" w:rsidRDefault="001279D1" w:rsidP="001279D1">
      <w:pPr>
        <w:autoSpaceDE w:val="0"/>
        <w:autoSpaceDN w:val="0"/>
        <w:adjustRightInd w:val="0"/>
        <w:rPr>
          <w:rFonts w:cs="Times New Roman"/>
          <w:szCs w:val="24"/>
        </w:rPr>
      </w:pPr>
    </w:p>
    <w:p w14:paraId="2D34427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include:  intellectual disability substantially limits brain function, cancer substantially limits normal cell growth, diabetes substantially limits endocrine function, and HIV substantially limits immune function.  </w:t>
      </w:r>
      <w:r w:rsidRPr="001279D1">
        <w:rPr>
          <w:rFonts w:cs="Times New Roman"/>
          <w:i/>
          <w:iCs/>
          <w:szCs w:val="24"/>
        </w:rPr>
        <w:t>Id.</w:t>
      </w:r>
      <w:r w:rsidRPr="001279D1">
        <w:rPr>
          <w:rFonts w:cs="Times New Roman"/>
          <w:szCs w:val="24"/>
        </w:rPr>
        <w:t xml:space="preserve"> § 1630.2(j)(3)(iii).</w:t>
      </w:r>
    </w:p>
    <w:p w14:paraId="48E75541" w14:textId="77777777" w:rsidR="001279D1" w:rsidRPr="001279D1" w:rsidRDefault="001279D1" w:rsidP="001279D1">
      <w:pPr>
        <w:autoSpaceDE w:val="0"/>
        <w:autoSpaceDN w:val="0"/>
        <w:adjustRightInd w:val="0"/>
        <w:rPr>
          <w:rFonts w:cs="Times New Roman"/>
          <w:szCs w:val="24"/>
        </w:rPr>
      </w:pPr>
    </w:p>
    <w:p w14:paraId="6DBE800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“An impairment that is episodic or in remission is a disability if it would substantially limit a major life activity when active.”  42 U.S.C. § 12102(4)(D).</w:t>
      </w:r>
    </w:p>
    <w:p w14:paraId="43A28AF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lastRenderedPageBreak/>
        <w:tab/>
        <w:t>In general, “[t]he determination of whether an impairment substantially limits a major life activity shall be made without regard to the ameliorative effects of mitigating measures” such as medication, medical equipment, prosthetics, hearing aids, low-vision devices, oxygen therapy equipment or assistive technology.  However, the ameliorative effects of ordinary eyeglasses or contact lenses shall be considered.  42 U.S.C. § 12102(4)(E)(</w:t>
      </w:r>
      <w:proofErr w:type="spellStart"/>
      <w:r w:rsidRPr="001279D1">
        <w:rPr>
          <w:rFonts w:cs="Times New Roman"/>
          <w:szCs w:val="24"/>
        </w:rPr>
        <w:t>i</w:t>
      </w:r>
      <w:proofErr w:type="spellEnd"/>
      <w:r w:rsidRPr="001279D1">
        <w:rPr>
          <w:rFonts w:cs="Times New Roman"/>
          <w:szCs w:val="24"/>
        </w:rPr>
        <w:t>)-(ii);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4DBABA37" w14:textId="77777777" w:rsidR="001279D1" w:rsidRPr="001279D1" w:rsidRDefault="001279D1" w:rsidP="001279D1">
      <w:pPr>
        <w:autoSpaceDE w:val="0"/>
        <w:autoSpaceDN w:val="0"/>
        <w:adjustRightInd w:val="0"/>
        <w:rPr>
          <w:rFonts w:cs="Times New Roman"/>
          <w:szCs w:val="24"/>
        </w:rPr>
      </w:pPr>
    </w:p>
    <w:p w14:paraId="3DA35E26" w14:textId="6DED4303"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an appropriate case, the trial court must instruct the jury that conduct resulting from a disability is part of the disability and is not a separate basis for termination.  </w:t>
      </w:r>
      <w:r w:rsidRPr="001279D1">
        <w:rPr>
          <w:rFonts w:cs="Times New Roman"/>
          <w:i/>
          <w:iCs/>
          <w:szCs w:val="24"/>
        </w:rPr>
        <w:t xml:space="preserve">See </w:t>
      </w:r>
      <w:proofErr w:type="spellStart"/>
      <w:r w:rsidRPr="001279D1">
        <w:rPr>
          <w:rFonts w:cs="Times New Roman"/>
          <w:i/>
          <w:iCs/>
          <w:szCs w:val="24"/>
        </w:rPr>
        <w:t>Gambini</w:t>
      </w:r>
      <w:proofErr w:type="spellEnd"/>
      <w:r w:rsidRPr="001279D1">
        <w:rPr>
          <w:rFonts w:cs="Times New Roman"/>
          <w:i/>
          <w:iCs/>
          <w:szCs w:val="24"/>
        </w:rPr>
        <w:t xml:space="preserve"> v. Total Renal Care, Inc.</w:t>
      </w:r>
      <w:r w:rsidRPr="001279D1">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1279D1">
        <w:rPr>
          <w:rFonts w:cs="Times New Roman"/>
          <w:i/>
          <w:iCs/>
          <w:szCs w:val="24"/>
        </w:rPr>
        <w:t xml:space="preserve">Humphrey v. Memorial Hospitals </w:t>
      </w:r>
      <w:proofErr w:type="spellStart"/>
      <w:r w:rsidRPr="001279D1">
        <w:rPr>
          <w:rFonts w:cs="Times New Roman"/>
          <w:i/>
          <w:iCs/>
          <w:szCs w:val="24"/>
        </w:rPr>
        <w:t>Ass’n</w:t>
      </w:r>
      <w:proofErr w:type="spellEnd"/>
      <w:r w:rsidRPr="001279D1">
        <w:rPr>
          <w:rFonts w:cs="Times New Roman"/>
          <w:szCs w:val="24"/>
        </w:rPr>
        <w:t xml:space="preserve">, 239 F.3d 1128, 1139-40 (9th Cir. 2001)).  However, </w:t>
      </w:r>
      <w:proofErr w:type="spellStart"/>
      <w:r w:rsidRPr="001279D1">
        <w:rPr>
          <w:rFonts w:cs="Times New Roman"/>
          <w:i/>
          <w:iCs/>
          <w:szCs w:val="24"/>
        </w:rPr>
        <w:t>Gambini</w:t>
      </w:r>
      <w:proofErr w:type="spellEnd"/>
      <w:r w:rsidRPr="001279D1">
        <w:rPr>
          <w:rFonts w:cs="Times New Roman"/>
          <w:szCs w:val="24"/>
        </w:rPr>
        <w:t xml:space="preserve"> did not preclude the employer from arguing that the plaintiff was not a qualified individual or raising a business necessity or direct threat defense.  </w:t>
      </w:r>
      <w:r w:rsidRPr="001279D1">
        <w:rPr>
          <w:rFonts w:cs="Times New Roman"/>
          <w:i/>
          <w:iCs/>
          <w:szCs w:val="24"/>
        </w:rPr>
        <w:t>Id.</w:t>
      </w:r>
      <w:r w:rsidRPr="001279D1">
        <w:rPr>
          <w:rFonts w:cs="Times New Roman"/>
          <w:szCs w:val="24"/>
        </w:rPr>
        <w:t xml:space="preserve"> at 1095-96.  In </w:t>
      </w:r>
      <w:r w:rsidRPr="001279D1">
        <w:rPr>
          <w:rFonts w:cs="Times New Roman"/>
          <w:i/>
          <w:iCs/>
          <w:szCs w:val="24"/>
        </w:rPr>
        <w:t xml:space="preserve">Mayo v. PCC </w:t>
      </w:r>
      <w:proofErr w:type="spellStart"/>
      <w:r w:rsidRPr="001279D1">
        <w:rPr>
          <w:rFonts w:cs="Times New Roman"/>
          <w:i/>
          <w:iCs/>
          <w:szCs w:val="24"/>
        </w:rPr>
        <w:t>Structurals</w:t>
      </w:r>
      <w:proofErr w:type="spellEnd"/>
      <w:r w:rsidRPr="001279D1">
        <w:rPr>
          <w:rFonts w:cs="Times New Roman"/>
          <w:i/>
          <w:iCs/>
          <w:szCs w:val="24"/>
        </w:rPr>
        <w:t>, Inc.</w:t>
      </w:r>
      <w:r w:rsidRPr="001279D1">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1279D1">
        <w:rPr>
          <w:rFonts w:cs="Times New Roman"/>
          <w:i/>
          <w:iCs/>
          <w:szCs w:val="24"/>
        </w:rPr>
        <w:t>See</w:t>
      </w:r>
      <w:r w:rsidRPr="001279D1">
        <w:rPr>
          <w:rFonts w:cs="Times New Roman"/>
          <w:szCs w:val="24"/>
        </w:rPr>
        <w:t xml:space="preserve"> Instruction 12.10 (ADA—Defenses—Business Necessity) and Instruction 12.11 (ADA—Defenses—Direct Threat).</w:t>
      </w:r>
    </w:p>
    <w:p w14:paraId="3F5FB28B" w14:textId="77777777" w:rsidR="001279D1" w:rsidRPr="001279D1" w:rsidRDefault="001279D1" w:rsidP="001279D1">
      <w:pPr>
        <w:autoSpaceDE w:val="0"/>
        <w:autoSpaceDN w:val="0"/>
        <w:adjustRightInd w:val="0"/>
        <w:rPr>
          <w:rFonts w:cs="Times New Roman"/>
          <w:szCs w:val="24"/>
        </w:rPr>
      </w:pPr>
    </w:p>
    <w:p w14:paraId="5551570F" w14:textId="37BB4C81"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2772B054" w14:textId="433589D1" w:rsidR="001279D1" w:rsidRDefault="001279D1" w:rsidP="001279D1">
      <w:pPr>
        <w:autoSpaceDE w:val="0"/>
        <w:autoSpaceDN w:val="0"/>
        <w:adjustRightInd w:val="0"/>
        <w:jc w:val="right"/>
        <w:rPr>
          <w:rFonts w:cs="Times New Roman"/>
          <w:i/>
          <w:iCs/>
          <w:szCs w:val="24"/>
        </w:rPr>
      </w:pPr>
    </w:p>
    <w:p w14:paraId="77F4F5A2" w14:textId="0B803879" w:rsidR="001279D1" w:rsidRDefault="001279D1" w:rsidP="001279D1">
      <w:pPr>
        <w:autoSpaceDE w:val="0"/>
        <w:autoSpaceDN w:val="0"/>
        <w:adjustRightInd w:val="0"/>
        <w:jc w:val="right"/>
        <w:rPr>
          <w:rFonts w:cs="Times New Roman"/>
          <w:i/>
          <w:iCs/>
          <w:szCs w:val="24"/>
        </w:rPr>
      </w:pPr>
    </w:p>
    <w:p w14:paraId="51032DBB" w14:textId="01FE4C7C" w:rsidR="001279D1" w:rsidRDefault="001279D1" w:rsidP="001279D1">
      <w:pPr>
        <w:autoSpaceDE w:val="0"/>
        <w:autoSpaceDN w:val="0"/>
        <w:adjustRightInd w:val="0"/>
        <w:jc w:val="right"/>
        <w:rPr>
          <w:rFonts w:cs="Times New Roman"/>
          <w:i/>
          <w:iCs/>
          <w:szCs w:val="24"/>
        </w:rPr>
      </w:pPr>
    </w:p>
    <w:p w14:paraId="13C8D398" w14:textId="1A6A1796" w:rsidR="001279D1" w:rsidRDefault="001279D1" w:rsidP="001279D1">
      <w:pPr>
        <w:autoSpaceDE w:val="0"/>
        <w:autoSpaceDN w:val="0"/>
        <w:adjustRightInd w:val="0"/>
        <w:jc w:val="right"/>
        <w:rPr>
          <w:rFonts w:cs="Times New Roman"/>
          <w:i/>
          <w:iCs/>
          <w:szCs w:val="24"/>
        </w:rPr>
      </w:pPr>
    </w:p>
    <w:p w14:paraId="731783CC" w14:textId="68280CB0" w:rsidR="001279D1" w:rsidRDefault="001279D1" w:rsidP="001279D1">
      <w:pPr>
        <w:autoSpaceDE w:val="0"/>
        <w:autoSpaceDN w:val="0"/>
        <w:adjustRightInd w:val="0"/>
        <w:jc w:val="right"/>
        <w:rPr>
          <w:rFonts w:cs="Times New Roman"/>
          <w:i/>
          <w:iCs/>
          <w:szCs w:val="24"/>
        </w:rPr>
      </w:pPr>
    </w:p>
    <w:p w14:paraId="637BA536" w14:textId="197DEA54" w:rsidR="001279D1" w:rsidRDefault="001279D1" w:rsidP="001279D1">
      <w:pPr>
        <w:autoSpaceDE w:val="0"/>
        <w:autoSpaceDN w:val="0"/>
        <w:adjustRightInd w:val="0"/>
        <w:jc w:val="right"/>
        <w:rPr>
          <w:rFonts w:cs="Times New Roman"/>
          <w:i/>
          <w:iCs/>
          <w:szCs w:val="24"/>
        </w:rPr>
      </w:pPr>
    </w:p>
    <w:p w14:paraId="0E93469A" w14:textId="43082A42" w:rsidR="001279D1" w:rsidRDefault="001279D1" w:rsidP="001279D1">
      <w:pPr>
        <w:autoSpaceDE w:val="0"/>
        <w:autoSpaceDN w:val="0"/>
        <w:adjustRightInd w:val="0"/>
        <w:jc w:val="right"/>
        <w:rPr>
          <w:rFonts w:cs="Times New Roman"/>
          <w:i/>
          <w:iCs/>
          <w:szCs w:val="24"/>
        </w:rPr>
      </w:pPr>
    </w:p>
    <w:p w14:paraId="2B49F52D" w14:textId="4F4F98F6" w:rsidR="001279D1" w:rsidRDefault="001279D1" w:rsidP="001279D1">
      <w:pPr>
        <w:autoSpaceDE w:val="0"/>
        <w:autoSpaceDN w:val="0"/>
        <w:adjustRightInd w:val="0"/>
        <w:jc w:val="right"/>
        <w:rPr>
          <w:rFonts w:cs="Times New Roman"/>
          <w:i/>
          <w:iCs/>
          <w:szCs w:val="24"/>
        </w:rPr>
      </w:pPr>
    </w:p>
    <w:p w14:paraId="3BABF87F" w14:textId="4F6905E4" w:rsidR="001279D1" w:rsidRDefault="001279D1" w:rsidP="001279D1">
      <w:pPr>
        <w:autoSpaceDE w:val="0"/>
        <w:autoSpaceDN w:val="0"/>
        <w:adjustRightInd w:val="0"/>
        <w:jc w:val="right"/>
        <w:rPr>
          <w:rFonts w:cs="Times New Roman"/>
          <w:i/>
          <w:iCs/>
          <w:szCs w:val="24"/>
        </w:rPr>
      </w:pPr>
    </w:p>
    <w:p w14:paraId="0B13C8EF" w14:textId="111028C8" w:rsidR="001279D1" w:rsidRDefault="001279D1" w:rsidP="001279D1">
      <w:pPr>
        <w:autoSpaceDE w:val="0"/>
        <w:autoSpaceDN w:val="0"/>
        <w:adjustRightInd w:val="0"/>
        <w:jc w:val="right"/>
        <w:rPr>
          <w:rFonts w:cs="Times New Roman"/>
          <w:i/>
          <w:iCs/>
          <w:szCs w:val="24"/>
        </w:rPr>
      </w:pPr>
    </w:p>
    <w:p w14:paraId="33F93DB9" w14:textId="7BC1BD77" w:rsidR="001279D1" w:rsidRDefault="001279D1" w:rsidP="001279D1">
      <w:pPr>
        <w:autoSpaceDE w:val="0"/>
        <w:autoSpaceDN w:val="0"/>
        <w:adjustRightInd w:val="0"/>
        <w:jc w:val="right"/>
        <w:rPr>
          <w:rFonts w:cs="Times New Roman"/>
          <w:i/>
          <w:iCs/>
          <w:szCs w:val="24"/>
        </w:rPr>
      </w:pPr>
    </w:p>
    <w:p w14:paraId="528E8793" w14:textId="40F3EA4B" w:rsidR="001279D1" w:rsidRDefault="001279D1" w:rsidP="001279D1">
      <w:pPr>
        <w:autoSpaceDE w:val="0"/>
        <w:autoSpaceDN w:val="0"/>
        <w:adjustRightInd w:val="0"/>
        <w:jc w:val="right"/>
        <w:rPr>
          <w:rFonts w:cs="Times New Roman"/>
          <w:i/>
          <w:iCs/>
          <w:szCs w:val="24"/>
        </w:rPr>
      </w:pPr>
    </w:p>
    <w:p w14:paraId="68701B8E" w14:textId="2FDE0E66" w:rsidR="001279D1" w:rsidRDefault="001279D1" w:rsidP="001279D1">
      <w:pPr>
        <w:autoSpaceDE w:val="0"/>
        <w:autoSpaceDN w:val="0"/>
        <w:adjustRightInd w:val="0"/>
        <w:jc w:val="right"/>
        <w:rPr>
          <w:rFonts w:cs="Times New Roman"/>
          <w:i/>
          <w:iCs/>
          <w:szCs w:val="24"/>
        </w:rPr>
      </w:pPr>
    </w:p>
    <w:p w14:paraId="74DB2389" w14:textId="15EF3FB9" w:rsidR="001279D1" w:rsidRDefault="001279D1" w:rsidP="001279D1">
      <w:pPr>
        <w:autoSpaceDE w:val="0"/>
        <w:autoSpaceDN w:val="0"/>
        <w:adjustRightInd w:val="0"/>
        <w:jc w:val="right"/>
        <w:rPr>
          <w:rFonts w:cs="Times New Roman"/>
          <w:i/>
          <w:iCs/>
          <w:szCs w:val="24"/>
        </w:rPr>
      </w:pPr>
    </w:p>
    <w:p w14:paraId="166C66EA" w14:textId="57B4D627" w:rsidR="001279D1" w:rsidRDefault="001279D1" w:rsidP="001279D1">
      <w:pPr>
        <w:autoSpaceDE w:val="0"/>
        <w:autoSpaceDN w:val="0"/>
        <w:adjustRightInd w:val="0"/>
        <w:jc w:val="right"/>
        <w:rPr>
          <w:rFonts w:cs="Times New Roman"/>
          <w:i/>
          <w:iCs/>
          <w:szCs w:val="24"/>
        </w:rPr>
      </w:pPr>
    </w:p>
    <w:p w14:paraId="4F888A62" w14:textId="4431A0E0" w:rsidR="001279D1" w:rsidRDefault="001279D1" w:rsidP="001279D1">
      <w:pPr>
        <w:autoSpaceDE w:val="0"/>
        <w:autoSpaceDN w:val="0"/>
        <w:adjustRightInd w:val="0"/>
        <w:jc w:val="right"/>
        <w:rPr>
          <w:rFonts w:cs="Times New Roman"/>
          <w:i/>
          <w:iCs/>
          <w:szCs w:val="24"/>
        </w:rPr>
      </w:pPr>
    </w:p>
    <w:p w14:paraId="3EF591F5" w14:textId="77777777" w:rsidR="001279D1" w:rsidRPr="001279D1" w:rsidRDefault="001279D1" w:rsidP="001279D1">
      <w:pPr>
        <w:autoSpaceDE w:val="0"/>
        <w:autoSpaceDN w:val="0"/>
        <w:adjustRightInd w:val="0"/>
        <w:jc w:val="right"/>
        <w:rPr>
          <w:rFonts w:cs="Times New Roman"/>
          <w:i/>
          <w:iCs/>
          <w:szCs w:val="24"/>
        </w:rPr>
      </w:pPr>
    </w:p>
    <w:p w14:paraId="2C85CF1D" w14:textId="43152EB8" w:rsidR="001279D1" w:rsidRDefault="001279D1" w:rsidP="001279D1">
      <w:pPr>
        <w:spacing w:after="160" w:line="259" w:lineRule="auto"/>
        <w:rPr>
          <w:rFonts w:asciiTheme="minorHAnsi" w:hAnsiTheme="minorHAnsi"/>
          <w:sz w:val="22"/>
        </w:rPr>
      </w:pPr>
    </w:p>
    <w:p w14:paraId="1EAE345E" w14:textId="77777777" w:rsidR="001279D1" w:rsidRPr="001279D1" w:rsidRDefault="001279D1" w:rsidP="001279D1">
      <w:pPr>
        <w:spacing w:after="160" w:line="259" w:lineRule="auto"/>
        <w:rPr>
          <w:rFonts w:asciiTheme="minorHAnsi" w:hAnsiTheme="minorHAnsi"/>
          <w:sz w:val="22"/>
        </w:rPr>
      </w:pPr>
    </w:p>
    <w:p w14:paraId="25E1FF5A" w14:textId="24675E42" w:rsidR="001279D1" w:rsidRPr="006A4CD7" w:rsidRDefault="001279D1" w:rsidP="001279D1">
      <w:pPr>
        <w:autoSpaceDE w:val="0"/>
        <w:autoSpaceDN w:val="0"/>
        <w:adjustRightInd w:val="0"/>
      </w:pPr>
    </w:p>
    <w:p w14:paraId="040CFF71" w14:textId="5B3B8CFB" w:rsidR="006A4CD7" w:rsidRPr="006A4CD7" w:rsidRDefault="006A4CD7" w:rsidP="00F9611C">
      <w:pPr>
        <w:pStyle w:val="Heading2"/>
        <w:rPr>
          <w:b w:val="0"/>
          <w:bCs w:val="0"/>
        </w:rPr>
      </w:pPr>
      <w:bookmarkStart w:id="220" w:name="_Toc117512505"/>
      <w:r w:rsidRPr="006A4CD7">
        <w:lastRenderedPageBreak/>
        <w:t xml:space="preserve">12.1B </w:t>
      </w:r>
      <w:r w:rsidR="00223463" w:rsidRPr="00223463">
        <w:t>ADA Employment Actions</w:t>
      </w:r>
      <w:r w:rsidRPr="006A4CD7">
        <w:t>—</w:t>
      </w:r>
      <w:r w:rsidRPr="00F9611C">
        <w:t>R</w:t>
      </w:r>
      <w:r w:rsidR="00223463" w:rsidRPr="00F9611C">
        <w:t>ecord</w:t>
      </w:r>
      <w:r w:rsidRPr="00F9611C">
        <w:t xml:space="preserve"> </w:t>
      </w:r>
      <w:r w:rsidR="00223463" w:rsidRPr="00F9611C">
        <w:t>of</w:t>
      </w:r>
      <w:r w:rsidRPr="00F9611C">
        <w:t xml:space="preserve"> D</w:t>
      </w:r>
      <w:r w:rsidR="00223463" w:rsidRPr="00F9611C">
        <w:t>isability</w:t>
      </w:r>
      <w:r w:rsidRPr="00F9611C">
        <w:t>—E</w:t>
      </w:r>
      <w:r w:rsidR="00223463" w:rsidRPr="00F9611C">
        <w:t>lements</w:t>
      </w:r>
      <w:bookmarkEnd w:id="220"/>
    </w:p>
    <w:p w14:paraId="01B03259" w14:textId="77777777" w:rsidR="006A4CD7" w:rsidRPr="006A4CD7" w:rsidRDefault="006A4CD7" w:rsidP="00C93863"/>
    <w:p w14:paraId="0C3E921E"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[his] [her] record of disability was the reason for the defendant’s decision to [discharge] [not hire] [not promote] [demote] [</w:t>
      </w:r>
      <w:r w:rsidR="001279D1" w:rsidRPr="001279D1">
        <w:rPr>
          <w:rFonts w:cs="Times New Roman"/>
          <w:i/>
          <w:iCs/>
          <w:szCs w:val="24"/>
          <w:u w:val="single"/>
        </w:rPr>
        <w:t>state other adverse action</w:t>
      </w:r>
      <w:r w:rsidR="001279D1" w:rsidRPr="001279D1">
        <w:rPr>
          <w:rFonts w:cs="Times New Roman"/>
          <w:szCs w:val="24"/>
        </w:rPr>
        <w:t>] [him] [her].  To succeed on this claim the plaintiff has the burden of proving the following by a preponderance of the evidence:</w:t>
      </w:r>
    </w:p>
    <w:p w14:paraId="5778393A" w14:textId="77777777" w:rsidR="001279D1" w:rsidRPr="001279D1" w:rsidRDefault="001279D1" w:rsidP="001279D1">
      <w:pPr>
        <w:autoSpaceDE w:val="0"/>
        <w:autoSpaceDN w:val="0"/>
        <w:adjustRightInd w:val="0"/>
        <w:rPr>
          <w:rFonts w:cs="Times New Roman"/>
          <w:szCs w:val="24"/>
        </w:rPr>
      </w:pPr>
    </w:p>
    <w:p w14:paraId="3A3845FB"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the plaintiff has a record of a physical or mental impairment;</w:t>
      </w:r>
    </w:p>
    <w:p w14:paraId="1BE174D8" w14:textId="77777777" w:rsidR="001279D1" w:rsidRPr="001279D1" w:rsidRDefault="001279D1" w:rsidP="001279D1">
      <w:pPr>
        <w:autoSpaceDE w:val="0"/>
        <w:autoSpaceDN w:val="0"/>
        <w:adjustRightInd w:val="0"/>
        <w:rPr>
          <w:rFonts w:cs="Times New Roman"/>
          <w:szCs w:val="24"/>
        </w:rPr>
      </w:pPr>
    </w:p>
    <w:p w14:paraId="334C40F6"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such physical or mental impairment substantially limited one or more major life activities;</w:t>
      </w:r>
    </w:p>
    <w:p w14:paraId="0F64E394" w14:textId="77777777" w:rsidR="001279D1" w:rsidRPr="001279D1" w:rsidRDefault="001279D1" w:rsidP="001279D1">
      <w:pPr>
        <w:autoSpaceDE w:val="0"/>
        <w:autoSpaceDN w:val="0"/>
        <w:adjustRightInd w:val="0"/>
        <w:rPr>
          <w:rFonts w:cs="Times New Roman"/>
          <w:szCs w:val="24"/>
        </w:rPr>
      </w:pPr>
    </w:p>
    <w:p w14:paraId="2C7B5FD0"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a qualified individual as that term is later defined in these instructions; and</w:t>
      </w:r>
    </w:p>
    <w:p w14:paraId="14176723" w14:textId="77777777" w:rsidR="001279D1" w:rsidRPr="001279D1" w:rsidRDefault="001279D1" w:rsidP="001279D1">
      <w:pPr>
        <w:autoSpaceDE w:val="0"/>
        <w:autoSpaceDN w:val="0"/>
        <w:adjustRightInd w:val="0"/>
        <w:rPr>
          <w:rFonts w:cs="Times New Roman"/>
          <w:szCs w:val="24"/>
        </w:rPr>
      </w:pPr>
    </w:p>
    <w:p w14:paraId="60DC62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4. </w:t>
      </w:r>
      <w:r w:rsidRPr="001279D1">
        <w:rPr>
          <w:rFonts w:cs="Times New Roman"/>
          <w:szCs w:val="24"/>
        </w:rPr>
        <w:tab/>
        <w:t>the plaintiff was [discharged] [not hired] [not promoted] [demoted] [state other adverse action] because of [his/her] record of a physical or mental impairment].</w:t>
      </w:r>
    </w:p>
    <w:p w14:paraId="01BC094B" w14:textId="77777777" w:rsidR="001279D1" w:rsidRPr="001279D1" w:rsidRDefault="001279D1" w:rsidP="001279D1">
      <w:pPr>
        <w:autoSpaceDE w:val="0"/>
        <w:autoSpaceDN w:val="0"/>
        <w:adjustRightInd w:val="0"/>
        <w:rPr>
          <w:rFonts w:cs="Times New Roman"/>
          <w:szCs w:val="24"/>
        </w:rPr>
      </w:pPr>
    </w:p>
    <w:p w14:paraId="25BD439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68D693F4" w14:textId="77777777" w:rsidR="001279D1" w:rsidRPr="001279D1" w:rsidRDefault="001279D1" w:rsidP="001279D1">
      <w:pPr>
        <w:autoSpaceDE w:val="0"/>
        <w:autoSpaceDN w:val="0"/>
        <w:adjustRightInd w:val="0"/>
        <w:rPr>
          <w:rFonts w:cs="Times New Roman"/>
          <w:szCs w:val="24"/>
        </w:rPr>
      </w:pPr>
    </w:p>
    <w:p w14:paraId="0AF6ECE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3DEB3E06" w14:textId="77777777" w:rsidR="001279D1" w:rsidRPr="001279D1" w:rsidRDefault="001279D1" w:rsidP="001279D1">
      <w:pPr>
        <w:autoSpaceDE w:val="0"/>
        <w:autoSpaceDN w:val="0"/>
        <w:adjustRightInd w:val="0"/>
        <w:rPr>
          <w:rFonts w:cs="Times New Roman"/>
          <w:szCs w:val="24"/>
        </w:rPr>
      </w:pPr>
    </w:p>
    <w:p w14:paraId="04B7396F"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04231538" w14:textId="77777777" w:rsidR="001279D1" w:rsidRPr="001279D1" w:rsidRDefault="001279D1" w:rsidP="001279D1">
      <w:pPr>
        <w:autoSpaceDE w:val="0"/>
        <w:autoSpaceDN w:val="0"/>
        <w:adjustRightInd w:val="0"/>
        <w:rPr>
          <w:rFonts w:ascii="TimesNewRomanPSMT" w:hAnsi="TimesNewRomanPSMT" w:cs="TimesNewRomanPSMT"/>
          <w:color w:val="D23438"/>
          <w:szCs w:val="24"/>
        </w:rPr>
      </w:pPr>
    </w:p>
    <w:p w14:paraId="647FDFA2" w14:textId="2A49444E" w:rsidR="001279D1" w:rsidRPr="001279D1" w:rsidRDefault="001279D1" w:rsidP="001279D1">
      <w:pPr>
        <w:autoSpaceDE w:val="0"/>
        <w:autoSpaceDN w:val="0"/>
        <w:adjustRightInd w:val="0"/>
        <w:ind w:firstLine="720"/>
        <w:rPr>
          <w:rFonts w:cs="Times New Roman"/>
          <w:szCs w:val="24"/>
        </w:rPr>
      </w:pPr>
      <w:r w:rsidRPr="001279D1">
        <w:rPr>
          <w:rFonts w:ascii="TimesNewRomanPSMT" w:hAnsi="TimesNewRomanPSMT" w:cs="TimesNewRomanPSMT"/>
          <w:szCs w:val="24"/>
        </w:rPr>
        <w:t>“[A]</w:t>
      </w:r>
      <w:proofErr w:type="spellStart"/>
      <w:r w:rsidRPr="001279D1">
        <w:rPr>
          <w:rFonts w:ascii="TimesNewRomanPSMT" w:hAnsi="TimesNewRomanPSMT" w:cs="TimesNewRomanPSMT"/>
          <w:szCs w:val="24"/>
        </w:rPr>
        <w:t>lthough</w:t>
      </w:r>
      <w:proofErr w:type="spellEnd"/>
      <w:r w:rsidRPr="001279D1">
        <w:rPr>
          <w:rFonts w:ascii="TimesNewRomanPSMT" w:hAnsi="TimesNewRomanPSMT" w:cs="TimesNewRomanPSMT"/>
          <w:szCs w:val="24"/>
        </w:rPr>
        <w:t xml:space="preserve"> the ‘duration of an impairment’ remains ‘one factor that is relevant in determining whether the impairment substantially limits a major life activity,’” </w:t>
      </w:r>
      <w:r w:rsidRPr="001279D1">
        <w:rPr>
          <w:rFonts w:ascii="TimesNewRomanPS-ItalicMT" w:hAnsi="TimesNewRomanPS-ItalicMT" w:cs="TimesNewRomanPS-ItalicMT"/>
          <w:i/>
          <w:iCs/>
          <w:szCs w:val="24"/>
        </w:rPr>
        <w:t>Shields v. Credit One</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Bank, N.A.</w:t>
      </w:r>
      <w:r w:rsidRPr="001279D1">
        <w:rPr>
          <w:rFonts w:ascii="TimesNewRomanPSMT" w:hAnsi="TimesNewRomanPSMT" w:cs="TimesNewRomanPSMT"/>
          <w:szCs w:val="24"/>
        </w:rPr>
        <w:t xml:space="preserve">, 32 F.4th 1218, 1225 (9th Cir. 2022) (citation omitted), a plaintiff need not establish permanent or long-term effects, </w:t>
      </w:r>
      <w:r w:rsidRPr="001279D1">
        <w:rPr>
          <w:rFonts w:ascii="TimesNewRomanPS-ItalicMT" w:hAnsi="TimesNewRomanPS-ItalicMT" w:cs="TimesNewRomanPS-ItalicMT"/>
          <w:i/>
          <w:iCs/>
          <w:szCs w:val="24"/>
        </w:rPr>
        <w:t xml:space="preserve">id. </w:t>
      </w:r>
      <w:r w:rsidRPr="001279D1">
        <w:rPr>
          <w:rFonts w:ascii="TimesNewRomanPSMT" w:hAnsi="TimesNewRomanPSMT" w:cs="TimesNewRomanPSMT"/>
          <w:szCs w:val="24"/>
        </w:rPr>
        <w:t>at 1224.</w:t>
      </w:r>
    </w:p>
    <w:p w14:paraId="18B325CB" w14:textId="77777777" w:rsidR="001279D1" w:rsidRPr="001279D1" w:rsidRDefault="001279D1" w:rsidP="001279D1">
      <w:pPr>
        <w:autoSpaceDE w:val="0"/>
        <w:autoSpaceDN w:val="0"/>
        <w:adjustRightInd w:val="0"/>
        <w:rPr>
          <w:rFonts w:cs="Times New Roman"/>
          <w:szCs w:val="24"/>
        </w:rPr>
      </w:pPr>
    </w:p>
    <w:p w14:paraId="2BBD8B5A" w14:textId="57CE1BEE" w:rsidR="001279D1" w:rsidRDefault="001279D1" w:rsidP="001279D1">
      <w:pPr>
        <w:autoSpaceDE w:val="0"/>
        <w:autoSpaceDN w:val="0"/>
        <w:adjustRightInd w:val="0"/>
        <w:jc w:val="right"/>
        <w:rPr>
          <w:rFonts w:cs="Times New Roman"/>
          <w:i/>
          <w:iCs/>
          <w:szCs w:val="24"/>
        </w:rPr>
      </w:pPr>
      <w:r w:rsidRPr="001279D1">
        <w:rPr>
          <w:rFonts w:cs="Times New Roman"/>
          <w:i/>
          <w:iCs/>
          <w:szCs w:val="24"/>
        </w:rPr>
        <w:t>Revised June 2022</w:t>
      </w:r>
    </w:p>
    <w:p w14:paraId="19127120" w14:textId="77777777" w:rsidR="001279D1" w:rsidRDefault="001279D1" w:rsidP="001279D1">
      <w:pPr>
        <w:autoSpaceDE w:val="0"/>
        <w:autoSpaceDN w:val="0"/>
        <w:adjustRightInd w:val="0"/>
        <w:jc w:val="right"/>
        <w:rPr>
          <w:rFonts w:cs="Times New Roman"/>
          <w:i/>
          <w:iCs/>
          <w:szCs w:val="24"/>
        </w:rPr>
      </w:pPr>
    </w:p>
    <w:p w14:paraId="0C555417" w14:textId="0175057F" w:rsidR="001279D1" w:rsidRDefault="001279D1" w:rsidP="001279D1">
      <w:pPr>
        <w:autoSpaceDE w:val="0"/>
        <w:autoSpaceDN w:val="0"/>
        <w:adjustRightInd w:val="0"/>
        <w:jc w:val="right"/>
        <w:rPr>
          <w:rFonts w:cs="Times New Roman"/>
          <w:i/>
          <w:iCs/>
          <w:szCs w:val="24"/>
        </w:rPr>
      </w:pPr>
    </w:p>
    <w:p w14:paraId="01609396" w14:textId="710A88AE" w:rsidR="001279D1" w:rsidRDefault="001279D1" w:rsidP="001279D1">
      <w:pPr>
        <w:autoSpaceDE w:val="0"/>
        <w:autoSpaceDN w:val="0"/>
        <w:adjustRightInd w:val="0"/>
        <w:jc w:val="right"/>
        <w:rPr>
          <w:rFonts w:cs="Times New Roman"/>
          <w:i/>
          <w:iCs/>
          <w:szCs w:val="24"/>
        </w:rPr>
      </w:pPr>
    </w:p>
    <w:p w14:paraId="3C2A607A" w14:textId="40C3EAC8" w:rsidR="001279D1" w:rsidRDefault="001279D1" w:rsidP="001279D1">
      <w:pPr>
        <w:autoSpaceDE w:val="0"/>
        <w:autoSpaceDN w:val="0"/>
        <w:adjustRightInd w:val="0"/>
        <w:jc w:val="right"/>
        <w:rPr>
          <w:rFonts w:cs="Times New Roman"/>
          <w:i/>
          <w:iCs/>
          <w:szCs w:val="24"/>
        </w:rPr>
      </w:pPr>
    </w:p>
    <w:p w14:paraId="3712D8EB" w14:textId="6918762D" w:rsidR="001279D1" w:rsidRDefault="001279D1" w:rsidP="001279D1">
      <w:pPr>
        <w:autoSpaceDE w:val="0"/>
        <w:autoSpaceDN w:val="0"/>
        <w:adjustRightInd w:val="0"/>
        <w:jc w:val="right"/>
        <w:rPr>
          <w:rFonts w:cs="Times New Roman"/>
          <w:i/>
          <w:iCs/>
          <w:szCs w:val="24"/>
        </w:rPr>
      </w:pPr>
    </w:p>
    <w:p w14:paraId="6A7A8F23" w14:textId="7AD2160A" w:rsidR="001279D1" w:rsidRDefault="001279D1" w:rsidP="001279D1">
      <w:pPr>
        <w:autoSpaceDE w:val="0"/>
        <w:autoSpaceDN w:val="0"/>
        <w:adjustRightInd w:val="0"/>
        <w:jc w:val="right"/>
        <w:rPr>
          <w:rFonts w:cs="Times New Roman"/>
          <w:i/>
          <w:iCs/>
          <w:szCs w:val="24"/>
        </w:rPr>
      </w:pPr>
    </w:p>
    <w:p w14:paraId="68A48626" w14:textId="0ABB5E36" w:rsidR="001279D1" w:rsidRDefault="001279D1" w:rsidP="001279D1">
      <w:pPr>
        <w:autoSpaceDE w:val="0"/>
        <w:autoSpaceDN w:val="0"/>
        <w:adjustRightInd w:val="0"/>
        <w:jc w:val="right"/>
        <w:rPr>
          <w:rFonts w:cs="Times New Roman"/>
          <w:i/>
          <w:iCs/>
          <w:szCs w:val="24"/>
        </w:rPr>
      </w:pPr>
    </w:p>
    <w:p w14:paraId="511A0180" w14:textId="6DB87B11" w:rsidR="001279D1" w:rsidRDefault="001279D1" w:rsidP="001279D1">
      <w:pPr>
        <w:autoSpaceDE w:val="0"/>
        <w:autoSpaceDN w:val="0"/>
        <w:adjustRightInd w:val="0"/>
        <w:jc w:val="right"/>
        <w:rPr>
          <w:rFonts w:cs="Times New Roman"/>
          <w:i/>
          <w:iCs/>
          <w:szCs w:val="24"/>
        </w:rPr>
      </w:pPr>
    </w:p>
    <w:p w14:paraId="595626C6" w14:textId="591A4D79" w:rsidR="001279D1" w:rsidRDefault="001279D1" w:rsidP="001279D1">
      <w:pPr>
        <w:autoSpaceDE w:val="0"/>
        <w:autoSpaceDN w:val="0"/>
        <w:adjustRightInd w:val="0"/>
        <w:jc w:val="right"/>
        <w:rPr>
          <w:rFonts w:cs="Times New Roman"/>
          <w:i/>
          <w:iCs/>
          <w:szCs w:val="24"/>
        </w:rPr>
      </w:pPr>
    </w:p>
    <w:p w14:paraId="611B091A" w14:textId="653904BB" w:rsidR="001279D1" w:rsidRDefault="001279D1" w:rsidP="001279D1">
      <w:pPr>
        <w:autoSpaceDE w:val="0"/>
        <w:autoSpaceDN w:val="0"/>
        <w:adjustRightInd w:val="0"/>
        <w:jc w:val="right"/>
        <w:rPr>
          <w:rFonts w:cs="Times New Roman"/>
          <w:i/>
          <w:iCs/>
          <w:szCs w:val="24"/>
        </w:rPr>
      </w:pPr>
    </w:p>
    <w:p w14:paraId="5777756A" w14:textId="1CE04A89" w:rsidR="001279D1" w:rsidRDefault="001279D1" w:rsidP="001279D1">
      <w:pPr>
        <w:autoSpaceDE w:val="0"/>
        <w:autoSpaceDN w:val="0"/>
        <w:adjustRightInd w:val="0"/>
        <w:jc w:val="right"/>
        <w:rPr>
          <w:rFonts w:cs="Times New Roman"/>
          <w:i/>
          <w:iCs/>
          <w:szCs w:val="24"/>
        </w:rPr>
      </w:pPr>
    </w:p>
    <w:p w14:paraId="63983A3E" w14:textId="61FF3982" w:rsidR="001279D1" w:rsidRDefault="001279D1" w:rsidP="001279D1">
      <w:pPr>
        <w:autoSpaceDE w:val="0"/>
        <w:autoSpaceDN w:val="0"/>
        <w:adjustRightInd w:val="0"/>
        <w:jc w:val="right"/>
        <w:rPr>
          <w:rFonts w:cs="Times New Roman"/>
          <w:i/>
          <w:iCs/>
          <w:szCs w:val="24"/>
        </w:rPr>
      </w:pPr>
    </w:p>
    <w:p w14:paraId="174E1A07" w14:textId="77777777" w:rsidR="001279D1" w:rsidRPr="001279D1" w:rsidRDefault="001279D1" w:rsidP="001279D1">
      <w:pPr>
        <w:autoSpaceDE w:val="0"/>
        <w:autoSpaceDN w:val="0"/>
        <w:adjustRightInd w:val="0"/>
        <w:jc w:val="right"/>
        <w:rPr>
          <w:rFonts w:cs="Times New Roman"/>
          <w:i/>
          <w:iCs/>
          <w:szCs w:val="24"/>
        </w:rPr>
      </w:pPr>
    </w:p>
    <w:p w14:paraId="5F883ED2" w14:textId="2197D4CA" w:rsidR="001279D1" w:rsidRPr="006A4CD7" w:rsidRDefault="001279D1" w:rsidP="001279D1">
      <w:pPr>
        <w:autoSpaceDE w:val="0"/>
        <w:autoSpaceDN w:val="0"/>
        <w:adjustRightInd w:val="0"/>
      </w:pPr>
    </w:p>
    <w:p w14:paraId="6BF1777F" w14:textId="5A7C6585" w:rsidR="006A4CD7" w:rsidRPr="006A4CD7" w:rsidRDefault="006A4CD7" w:rsidP="00F9611C">
      <w:pPr>
        <w:pStyle w:val="Heading2"/>
      </w:pPr>
      <w:bookmarkStart w:id="221" w:name="_Toc117512506"/>
      <w:r w:rsidRPr="006A4CD7">
        <w:lastRenderedPageBreak/>
        <w:t xml:space="preserve">12.1C </w:t>
      </w:r>
      <w:r w:rsidR="00223463" w:rsidRPr="00223463">
        <w:t>ADA Employment Actions</w:t>
      </w:r>
      <w:r w:rsidRPr="006A4CD7">
        <w:t>—</w:t>
      </w:r>
      <w:r w:rsidRPr="00F9611C">
        <w:t>R</w:t>
      </w:r>
      <w:r w:rsidR="00223463" w:rsidRPr="00F9611C">
        <w:t>egarded</w:t>
      </w:r>
      <w:r w:rsidRPr="00F9611C">
        <w:t xml:space="preserve"> </w:t>
      </w:r>
      <w:r w:rsidR="00223463" w:rsidRPr="00F9611C">
        <w:t>as</w:t>
      </w:r>
      <w:r w:rsidRPr="00F9611C">
        <w:t xml:space="preserve"> D</w:t>
      </w:r>
      <w:r w:rsidR="00223463" w:rsidRPr="00F9611C">
        <w:t>isability</w:t>
      </w:r>
      <w:r w:rsidRPr="00F9611C">
        <w:t>—E</w:t>
      </w:r>
      <w:r w:rsidR="00223463" w:rsidRPr="00F9611C">
        <w:t>lements</w:t>
      </w:r>
      <w:bookmarkEnd w:id="221"/>
    </w:p>
    <w:p w14:paraId="29823927" w14:textId="77777777" w:rsidR="006A4CD7" w:rsidRPr="006A4CD7" w:rsidRDefault="006A4CD7" w:rsidP="009F714C"/>
    <w:p w14:paraId="02704666"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plaintiff claims that because the defendant regarded [him] [her] as disabled, the defendant [discharged] [did not hire] [did not promote] [demoted] [</w:t>
      </w:r>
      <w:r w:rsidR="001279D1" w:rsidRPr="001279D1">
        <w:rPr>
          <w:rFonts w:cs="Times New Roman"/>
          <w:i/>
          <w:iCs/>
          <w:szCs w:val="24"/>
          <w:u w:val="single"/>
        </w:rPr>
        <w:t>state other adverse action</w:t>
      </w:r>
      <w:r w:rsidR="001279D1" w:rsidRPr="001279D1">
        <w:rPr>
          <w:rFonts w:cs="Times New Roman"/>
          <w:szCs w:val="24"/>
        </w:rPr>
        <w:t>] [him] [her].  To succeed on this claim the plaintiff has the burden of proving the following by a preponderance of the evidence:</w:t>
      </w:r>
    </w:p>
    <w:p w14:paraId="284972ED" w14:textId="77777777" w:rsidR="001279D1" w:rsidRPr="001279D1" w:rsidRDefault="001279D1" w:rsidP="001279D1">
      <w:pPr>
        <w:autoSpaceDE w:val="0"/>
        <w:autoSpaceDN w:val="0"/>
        <w:adjustRightInd w:val="0"/>
        <w:rPr>
          <w:rFonts w:cs="Times New Roman"/>
          <w:szCs w:val="24"/>
        </w:rPr>
      </w:pPr>
    </w:p>
    <w:p w14:paraId="24CAA699"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the plaintiff was regarded as having a physical or mental impairment;</w:t>
      </w:r>
    </w:p>
    <w:p w14:paraId="0D66046A" w14:textId="77777777" w:rsidR="001279D1" w:rsidRPr="001279D1" w:rsidRDefault="001279D1" w:rsidP="001279D1">
      <w:pPr>
        <w:autoSpaceDE w:val="0"/>
        <w:autoSpaceDN w:val="0"/>
        <w:adjustRightInd w:val="0"/>
        <w:rPr>
          <w:rFonts w:cs="Times New Roman"/>
          <w:szCs w:val="24"/>
        </w:rPr>
      </w:pPr>
    </w:p>
    <w:p w14:paraId="1DC41F44"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the plaintiff was a qualified individual as that term is later defined in these instructions; and</w:t>
      </w:r>
    </w:p>
    <w:p w14:paraId="07F0357E" w14:textId="77777777" w:rsidR="001279D1" w:rsidRPr="001279D1" w:rsidRDefault="001279D1" w:rsidP="001279D1">
      <w:pPr>
        <w:autoSpaceDE w:val="0"/>
        <w:autoSpaceDN w:val="0"/>
        <w:adjustRightInd w:val="0"/>
        <w:rPr>
          <w:rFonts w:cs="Times New Roman"/>
          <w:szCs w:val="24"/>
        </w:rPr>
      </w:pPr>
    </w:p>
    <w:p w14:paraId="2540E8AF"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3. </w:t>
      </w:r>
      <w:r w:rsidRPr="001279D1">
        <w:rPr>
          <w:rFonts w:cs="Times New Roman"/>
          <w:szCs w:val="24"/>
        </w:rPr>
        <w:tab/>
        <w:t>the plaintiff was [discharged] [not hired] [not promoted] [demoted] [</w:t>
      </w:r>
      <w:r w:rsidRPr="001279D1">
        <w:rPr>
          <w:rFonts w:cs="Times New Roman"/>
          <w:i/>
          <w:iCs/>
          <w:szCs w:val="24"/>
          <w:u w:val="single"/>
        </w:rPr>
        <w:t>state other adverse action</w:t>
      </w:r>
      <w:r w:rsidRPr="001279D1">
        <w:rPr>
          <w:rFonts w:cs="Times New Roman"/>
          <w:szCs w:val="24"/>
        </w:rPr>
        <w:t>] because [he] [she] was regarded as having a physical or mental impairment.</w:t>
      </w:r>
    </w:p>
    <w:p w14:paraId="462B471C" w14:textId="77777777" w:rsidR="001279D1" w:rsidRPr="001279D1" w:rsidRDefault="001279D1" w:rsidP="001279D1">
      <w:pPr>
        <w:autoSpaceDE w:val="0"/>
        <w:autoSpaceDN w:val="0"/>
        <w:adjustRightInd w:val="0"/>
        <w:rPr>
          <w:rFonts w:cs="Times New Roman"/>
          <w:szCs w:val="24"/>
        </w:rPr>
      </w:pPr>
    </w:p>
    <w:p w14:paraId="0553C63B"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79E87CBA" w14:textId="77777777" w:rsidR="001279D1" w:rsidRPr="001279D1" w:rsidRDefault="001279D1" w:rsidP="001279D1">
      <w:pPr>
        <w:autoSpaceDE w:val="0"/>
        <w:autoSpaceDN w:val="0"/>
        <w:adjustRightInd w:val="0"/>
        <w:rPr>
          <w:rFonts w:cs="Times New Roman"/>
          <w:szCs w:val="24"/>
        </w:rPr>
      </w:pPr>
    </w:p>
    <w:p w14:paraId="6705EDB8" w14:textId="77777777" w:rsidR="001279D1" w:rsidRPr="001279D1" w:rsidRDefault="001279D1" w:rsidP="001279D1">
      <w:pPr>
        <w:autoSpaceDE w:val="0"/>
        <w:autoSpaceDN w:val="0"/>
        <w:adjustRightInd w:val="0"/>
        <w:jc w:val="center"/>
        <w:rPr>
          <w:rFonts w:cs="Times New Roman"/>
          <w:szCs w:val="24"/>
        </w:rPr>
      </w:pPr>
      <w:r w:rsidRPr="001279D1">
        <w:rPr>
          <w:rFonts w:cs="Times New Roman"/>
          <w:b/>
          <w:bCs/>
          <w:szCs w:val="24"/>
        </w:rPr>
        <w:t>Comment</w:t>
      </w:r>
    </w:p>
    <w:p w14:paraId="697D9950" w14:textId="77777777" w:rsidR="001279D1" w:rsidRPr="001279D1" w:rsidRDefault="001279D1" w:rsidP="001279D1">
      <w:pPr>
        <w:autoSpaceDE w:val="0"/>
        <w:autoSpaceDN w:val="0"/>
        <w:adjustRightInd w:val="0"/>
        <w:rPr>
          <w:rFonts w:cs="Times New Roman"/>
          <w:szCs w:val="24"/>
        </w:rPr>
      </w:pPr>
    </w:p>
    <w:p w14:paraId="126F7A5E"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r w:rsidRPr="001279D1">
        <w:rPr>
          <w:rFonts w:cs="Times New Roman"/>
          <w:i/>
          <w:iCs/>
          <w:szCs w:val="24"/>
        </w:rPr>
        <w:t xml:space="preserve">See </w:t>
      </w:r>
      <w:r w:rsidRPr="001279D1">
        <w:rPr>
          <w:rFonts w:cs="Times New Roman"/>
          <w:szCs w:val="24"/>
        </w:rPr>
        <w:t xml:space="preserve">Comment to Instruction 12.1A (ADA Employment Action—Actual Disability—Elements).  </w:t>
      </w:r>
    </w:p>
    <w:p w14:paraId="59B615A1" w14:textId="77777777" w:rsidR="001279D1" w:rsidRPr="001279D1" w:rsidRDefault="001279D1" w:rsidP="001279D1">
      <w:pPr>
        <w:autoSpaceDE w:val="0"/>
        <w:autoSpaceDN w:val="0"/>
        <w:adjustRightInd w:val="0"/>
        <w:rPr>
          <w:rFonts w:cs="Times New Roman"/>
          <w:szCs w:val="24"/>
        </w:rPr>
      </w:pPr>
    </w:p>
    <w:p w14:paraId="3968A525"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This instruction is intended to address the ADA Amendments Act of 2008, which clarified two points about “regarded as” disability claims:</w:t>
      </w:r>
    </w:p>
    <w:p w14:paraId="7E94463E" w14:textId="77777777" w:rsidR="001279D1" w:rsidRPr="001279D1" w:rsidRDefault="001279D1" w:rsidP="001279D1">
      <w:pPr>
        <w:autoSpaceDE w:val="0"/>
        <w:autoSpaceDN w:val="0"/>
        <w:adjustRightInd w:val="0"/>
        <w:rPr>
          <w:rFonts w:cs="Times New Roman"/>
          <w:szCs w:val="24"/>
        </w:rPr>
      </w:pPr>
    </w:p>
    <w:p w14:paraId="1957B582"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1. </w:t>
      </w:r>
      <w:r w:rsidRPr="001279D1">
        <w:rPr>
          <w:rFonts w:cs="Times New Roman"/>
          <w:szCs w:val="24"/>
        </w:rPr>
        <w:tab/>
        <w:t xml:space="preserve">A plaintiff meets the requirements of being “regarded as” having a disability if he establishes that he has been discriminated against “because of an actual or perceived impairment </w:t>
      </w:r>
      <w:r w:rsidRPr="001279D1">
        <w:rPr>
          <w:rFonts w:cs="Times New Roman"/>
          <w:i/>
          <w:iCs/>
          <w:szCs w:val="24"/>
        </w:rPr>
        <w:t>whether or not the impairment limits or is perceived to limit a major life activity</w:t>
      </w:r>
      <w:r w:rsidRPr="001279D1">
        <w:rPr>
          <w:rFonts w:cs="Times New Roman"/>
          <w:szCs w:val="24"/>
        </w:rPr>
        <w:t>.” (emphasis added).  42 U.S.C. § 12102(3)(A).</w:t>
      </w:r>
    </w:p>
    <w:p w14:paraId="54DAEECD" w14:textId="77777777" w:rsidR="001279D1" w:rsidRPr="001279D1" w:rsidRDefault="001279D1" w:rsidP="001279D1">
      <w:pPr>
        <w:autoSpaceDE w:val="0"/>
        <w:autoSpaceDN w:val="0"/>
        <w:adjustRightInd w:val="0"/>
        <w:rPr>
          <w:rFonts w:cs="Times New Roman"/>
          <w:szCs w:val="24"/>
        </w:rPr>
      </w:pPr>
    </w:p>
    <w:p w14:paraId="6E081F9D" w14:textId="77777777" w:rsidR="001279D1" w:rsidRPr="001279D1" w:rsidRDefault="001279D1" w:rsidP="001279D1">
      <w:pPr>
        <w:tabs>
          <w:tab w:val="left" w:pos="720"/>
          <w:tab w:val="left" w:pos="1440"/>
        </w:tabs>
        <w:autoSpaceDE w:val="0"/>
        <w:autoSpaceDN w:val="0"/>
        <w:adjustRightInd w:val="0"/>
        <w:ind w:left="1440" w:hanging="1440"/>
        <w:rPr>
          <w:rFonts w:cs="Times New Roman"/>
          <w:szCs w:val="24"/>
        </w:rPr>
      </w:pPr>
      <w:r w:rsidRPr="001279D1">
        <w:rPr>
          <w:rFonts w:cs="Times New Roman"/>
          <w:szCs w:val="24"/>
        </w:rPr>
        <w:tab/>
        <w:t xml:space="preserve">2. </w:t>
      </w:r>
      <w:r w:rsidRPr="001279D1">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1279D1">
        <w:rPr>
          <w:rFonts w:cs="Times New Roman"/>
          <w:i/>
          <w:iCs/>
          <w:szCs w:val="24"/>
        </w:rPr>
        <w:t xml:space="preserve"> Id</w:t>
      </w:r>
      <w:r w:rsidRPr="001279D1">
        <w:rPr>
          <w:rFonts w:cs="Times New Roman"/>
          <w:szCs w:val="24"/>
        </w:rPr>
        <w:t>.</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Shields v. Credit One Bank</w:t>
      </w:r>
      <w:r w:rsidRPr="001279D1">
        <w:rPr>
          <w:rFonts w:ascii="TimesNewRomanPSMT" w:hAnsi="TimesNewRomanPSMT" w:cs="TimesNewRomanPSMT"/>
          <w:szCs w:val="24"/>
        </w:rPr>
        <w:t xml:space="preserve">, </w:t>
      </w:r>
      <w:r w:rsidRPr="001279D1">
        <w:rPr>
          <w:rFonts w:ascii="TimesNewRomanPS-ItalicMT" w:hAnsi="TimesNewRomanPS-ItalicMT" w:cs="TimesNewRomanPS-ItalicMT"/>
          <w:i/>
          <w:iCs/>
          <w:szCs w:val="24"/>
        </w:rPr>
        <w:t>N.A.</w:t>
      </w:r>
      <w:r w:rsidRPr="001279D1">
        <w:rPr>
          <w:rFonts w:ascii="TimesNewRomanPSMT" w:hAnsi="TimesNewRomanPSMT" w:cs="TimesNewRomanPSMT"/>
          <w:szCs w:val="24"/>
        </w:rPr>
        <w:t>, 32 F.4th 1218, 1224 (9th Cir. 2022).</w:t>
      </w:r>
    </w:p>
    <w:p w14:paraId="48B1AE84" w14:textId="77777777" w:rsidR="001279D1" w:rsidRPr="001279D1" w:rsidRDefault="001279D1" w:rsidP="001279D1">
      <w:pPr>
        <w:autoSpaceDE w:val="0"/>
        <w:autoSpaceDN w:val="0"/>
        <w:adjustRightInd w:val="0"/>
        <w:rPr>
          <w:rFonts w:cs="Times New Roman"/>
          <w:szCs w:val="24"/>
        </w:rPr>
      </w:pPr>
    </w:p>
    <w:p w14:paraId="6380C7C1"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The “transitory and minor” exception is an affirmative defense, and as such, the employer bears the burden of establishing the defense.  </w:t>
      </w:r>
      <w:proofErr w:type="spellStart"/>
      <w:r w:rsidRPr="001279D1">
        <w:rPr>
          <w:rFonts w:cs="Times New Roman"/>
          <w:i/>
          <w:iCs/>
          <w:szCs w:val="24"/>
        </w:rPr>
        <w:t>Nunies</w:t>
      </w:r>
      <w:proofErr w:type="spellEnd"/>
      <w:r w:rsidRPr="001279D1">
        <w:rPr>
          <w:rFonts w:cs="Times New Roman"/>
          <w:i/>
          <w:iCs/>
          <w:szCs w:val="24"/>
        </w:rPr>
        <w:t xml:space="preserve"> v. HIE Holdings, Inc</w:t>
      </w:r>
      <w:r w:rsidRPr="001279D1">
        <w:rPr>
          <w:rFonts w:cs="Times New Roman"/>
          <w:szCs w:val="24"/>
        </w:rPr>
        <w:t>., 908 F.3d 428, 435 (9th Cir. 2018).</w:t>
      </w:r>
    </w:p>
    <w:p w14:paraId="5E7C3418" w14:textId="77777777" w:rsidR="001279D1" w:rsidRPr="001279D1" w:rsidRDefault="001279D1" w:rsidP="001279D1">
      <w:pPr>
        <w:autoSpaceDE w:val="0"/>
        <w:autoSpaceDN w:val="0"/>
        <w:adjustRightInd w:val="0"/>
        <w:jc w:val="right"/>
        <w:rPr>
          <w:rFonts w:cs="Times New Roman"/>
          <w:i/>
          <w:iCs/>
          <w:szCs w:val="24"/>
        </w:rPr>
      </w:pPr>
    </w:p>
    <w:p w14:paraId="5DE755A8" w14:textId="77777777" w:rsidR="001279D1" w:rsidRPr="001279D1" w:rsidRDefault="001279D1" w:rsidP="001279D1">
      <w:pPr>
        <w:spacing w:after="160" w:line="259" w:lineRule="auto"/>
        <w:jc w:val="right"/>
        <w:rPr>
          <w:rFonts w:asciiTheme="minorHAnsi" w:hAnsiTheme="minorHAnsi"/>
          <w:sz w:val="22"/>
        </w:rPr>
      </w:pPr>
      <w:r w:rsidRPr="001279D1">
        <w:rPr>
          <w:rFonts w:cs="Times New Roman"/>
          <w:i/>
          <w:iCs/>
          <w:szCs w:val="24"/>
        </w:rPr>
        <w:t>Revised June 2022</w:t>
      </w:r>
    </w:p>
    <w:p w14:paraId="2326D0C7" w14:textId="0ECDFF2D" w:rsidR="009F714C" w:rsidRPr="006A4CD7" w:rsidRDefault="009F714C" w:rsidP="001279D1">
      <w:pPr>
        <w:autoSpaceDE w:val="0"/>
        <w:autoSpaceDN w:val="0"/>
        <w:adjustRightInd w:val="0"/>
        <w:rPr>
          <w:rFonts w:cs="Times New Roman"/>
          <w:szCs w:val="24"/>
        </w:rPr>
      </w:pPr>
    </w:p>
    <w:p w14:paraId="23241C84" w14:textId="77777777" w:rsidR="009F714C" w:rsidRDefault="009F714C">
      <w:pPr>
        <w:spacing w:after="160" w:line="259" w:lineRule="auto"/>
        <w:rPr>
          <w:rFonts w:cs="Times New Roman"/>
          <w:szCs w:val="24"/>
        </w:rPr>
      </w:pPr>
      <w:r>
        <w:rPr>
          <w:rFonts w:cs="Times New Roman"/>
          <w:szCs w:val="24"/>
        </w:rPr>
        <w:br w:type="page"/>
      </w:r>
    </w:p>
    <w:p w14:paraId="3B66AC99" w14:textId="79C21ABE" w:rsidR="006A4CD7" w:rsidRPr="006A4CD7" w:rsidRDefault="006A4CD7" w:rsidP="009F714C">
      <w:pPr>
        <w:pStyle w:val="Heading2"/>
      </w:pPr>
      <w:bookmarkStart w:id="222" w:name="_Toc117512507"/>
      <w:r w:rsidRPr="006A4CD7">
        <w:rPr>
          <w:highlight w:val="white"/>
        </w:rPr>
        <w:lastRenderedPageBreak/>
        <w:t xml:space="preserve">12.2 </w:t>
      </w:r>
      <w:r w:rsidR="00D934FC" w:rsidRPr="00D934FC">
        <w:t>ADA—Physical or Mental Impairment</w:t>
      </w:r>
      <w:bookmarkEnd w:id="222"/>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6A4CD7">
        <w:rPr>
          <w:rFonts w:cs="Times New Roman"/>
          <w:szCs w:val="24"/>
        </w:rPr>
        <w:t>genito</w:t>
      </w:r>
      <w:proofErr w:type="spellEnd"/>
      <w:r w:rsidRPr="006A4CD7">
        <w:rPr>
          <w:rFonts w:cs="Times New Roman"/>
          <w:szCs w:val="24"/>
        </w:rPr>
        <w:t xml:space="preserve">-urinary,]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 xml:space="preserve">See </w:t>
      </w:r>
      <w:proofErr w:type="spellStart"/>
      <w:r w:rsidRPr="006A4CD7">
        <w:rPr>
          <w:rFonts w:cs="Times New Roman"/>
          <w:i/>
          <w:iCs/>
          <w:szCs w:val="24"/>
        </w:rPr>
        <w:t>Nunies</w:t>
      </w:r>
      <w:proofErr w:type="spellEnd"/>
      <w:r w:rsidRPr="006A4CD7">
        <w:rPr>
          <w:rFonts w:cs="Times New Roman"/>
          <w:i/>
          <w:iCs/>
          <w:szCs w:val="24"/>
        </w:rPr>
        <w:t xml:space="preserve">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7F68CCC6" w:rsidR="006A4CD7" w:rsidRPr="006A4CD7" w:rsidRDefault="006A4CD7" w:rsidP="00673357">
      <w:pPr>
        <w:pStyle w:val="Heading2"/>
      </w:pPr>
      <w:r w:rsidRPr="006A4CD7">
        <w:br w:type="page"/>
      </w:r>
      <w:bookmarkStart w:id="223" w:name="_Toc117512508"/>
      <w:r w:rsidRPr="006A4CD7">
        <w:lastRenderedPageBreak/>
        <w:t xml:space="preserve">12.3 </w:t>
      </w:r>
      <w:r w:rsidR="00D934FC" w:rsidRPr="00D934FC">
        <w:t>ADA—Work as a Major Life Activity</w:t>
      </w:r>
      <w:bookmarkEnd w:id="223"/>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in order to be considered substantially limiting.  Factors you may consider include the condition, manner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3894BA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027B656E" w:rsidR="006A4CD7" w:rsidRPr="006A4CD7" w:rsidRDefault="006A4CD7" w:rsidP="00673357">
      <w:pPr>
        <w:pStyle w:val="Heading2"/>
      </w:pPr>
      <w:r w:rsidRPr="006A4CD7">
        <w:br w:type="page"/>
      </w:r>
      <w:bookmarkStart w:id="224" w:name="_Toc117512509"/>
      <w:r w:rsidRPr="006A4CD7">
        <w:lastRenderedPageBreak/>
        <w:t xml:space="preserve">12.4 </w:t>
      </w:r>
      <w:r w:rsidR="00D934FC" w:rsidRPr="00D934FC">
        <w:t>ADA—Interacting with Others as Major Life Activity</w:t>
      </w:r>
      <w:bookmarkEnd w:id="224"/>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in order to be considered substantially limiting.</w:t>
      </w:r>
    </w:p>
    <w:p w14:paraId="6904B4F8" w14:textId="77777777" w:rsidR="00673357" w:rsidRDefault="00673357" w:rsidP="0060759C">
      <w:pPr>
        <w:autoSpaceDE w:val="0"/>
        <w:autoSpaceDN w:val="0"/>
        <w:adjustRightInd w:val="0"/>
      </w:pPr>
    </w:p>
    <w:p w14:paraId="749F8DEB" w14:textId="048653D6" w:rsidR="006A4CD7" w:rsidRPr="006A4CD7" w:rsidRDefault="006A4CD7" w:rsidP="00B405D9">
      <w:pPr>
        <w:autoSpaceDE w:val="0"/>
        <w:autoSpaceDN w:val="0"/>
        <w:adjustRightInd w:val="0"/>
        <w:ind w:firstLine="720"/>
        <w:rPr>
          <w:rFonts w:cs="Times New Roman"/>
          <w:szCs w:val="24"/>
        </w:rPr>
      </w:pPr>
      <w:r w:rsidRPr="006A4CD7">
        <w:rPr>
          <w:rFonts w:cs="Times New Roman"/>
          <w:szCs w:val="24"/>
        </w:rPr>
        <w:t xml:space="preserve">Difficulty getting along with others is not enough.  A plaintiff must show that [his] [her] interactions with others were characterized on a regular basis by severe problems such as consistently high levels of hostility, social </w:t>
      </w:r>
      <w:r w:rsidR="00B405D9" w:rsidRPr="006A4CD7">
        <w:rPr>
          <w:rFonts w:cs="Times New Roman"/>
          <w:szCs w:val="24"/>
        </w:rPr>
        <w:t>withdrawal,</w:t>
      </w:r>
      <w:r w:rsidRPr="006A4CD7">
        <w:rPr>
          <w:rFonts w:cs="Times New Roman"/>
          <w:szCs w:val="24"/>
        </w:rPr>
        <w:t xml:space="preserve">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proofErr w:type="spellStart"/>
      <w:r w:rsidRPr="006A4CD7">
        <w:rPr>
          <w:rFonts w:cs="Times New Roman"/>
          <w:i/>
          <w:iCs/>
          <w:szCs w:val="24"/>
        </w:rPr>
        <w:t>McAlindin</w:t>
      </w:r>
      <w:proofErr w:type="spellEnd"/>
      <w:r w:rsidRPr="006A4CD7">
        <w:rPr>
          <w:rFonts w:cs="Times New Roman"/>
          <w:i/>
          <w:iCs/>
          <w:szCs w:val="24"/>
        </w:rPr>
        <w:t xml:space="preserve">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(citation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13AF1D6A" w:rsidR="006A4CD7" w:rsidRPr="006A4CD7" w:rsidRDefault="006A4CD7" w:rsidP="00673357">
      <w:pPr>
        <w:pStyle w:val="Heading2"/>
      </w:pPr>
      <w:r w:rsidRPr="006A4CD7">
        <w:br w:type="page"/>
      </w:r>
      <w:bookmarkStart w:id="225" w:name="_Toc117512510"/>
      <w:r w:rsidRPr="006A4CD7">
        <w:lastRenderedPageBreak/>
        <w:t xml:space="preserve">12.5 </w:t>
      </w:r>
      <w:r w:rsidR="00D934FC" w:rsidRPr="00D934FC">
        <w:t>ADA—Qualified Individual</w:t>
      </w:r>
      <w:bookmarkEnd w:id="225"/>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proofErr w:type="spellStart"/>
      <w:r w:rsidRPr="006A4CD7">
        <w:rPr>
          <w:rFonts w:cs="Times New Roman"/>
          <w:i/>
          <w:iCs/>
          <w:szCs w:val="24"/>
        </w:rPr>
        <w:t>Weyer</w:t>
      </w:r>
      <w:proofErr w:type="spellEnd"/>
      <w:r w:rsidRPr="006A4CD7">
        <w:rPr>
          <w:rFonts w:cs="Times New Roman"/>
          <w:i/>
          <w:iCs/>
          <w:szCs w:val="24"/>
        </w:rPr>
        <w:t xml:space="preserve">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on the basis of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 xml:space="preserve">Lopez v. Pacific Maritime </w:t>
      </w:r>
      <w:proofErr w:type="spellStart"/>
      <w:r w:rsidRPr="006A4CD7">
        <w:rPr>
          <w:rFonts w:cs="Times New Roman"/>
          <w:i/>
          <w:iCs/>
          <w:szCs w:val="24"/>
        </w:rPr>
        <w:t>Ass’n</w:t>
      </w:r>
      <w:proofErr w:type="spellEnd"/>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 xml:space="preserve">See also Mayo v. PCC </w:t>
      </w:r>
      <w:proofErr w:type="spellStart"/>
      <w:r w:rsidRPr="006A4CD7">
        <w:rPr>
          <w:rFonts w:cs="Times New Roman"/>
          <w:i/>
          <w:iCs/>
          <w:szCs w:val="24"/>
        </w:rPr>
        <w:t>Structurals</w:t>
      </w:r>
      <w:proofErr w:type="spellEnd"/>
      <w:r w:rsidRPr="006A4CD7">
        <w:rPr>
          <w:rFonts w:cs="Times New Roman"/>
          <w:i/>
          <w:iCs/>
          <w:szCs w:val="24"/>
        </w:rPr>
        <w:t>,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0BEA69A4" w:rsidR="006A4CD7" w:rsidRPr="006A4CD7" w:rsidRDefault="006A4CD7" w:rsidP="00673357">
      <w:pPr>
        <w:pStyle w:val="Heading2"/>
      </w:pPr>
      <w:r w:rsidRPr="006A4CD7">
        <w:br w:type="page"/>
      </w:r>
      <w:bookmarkStart w:id="226" w:name="_Toc117512511"/>
      <w:r w:rsidRPr="006A4CD7">
        <w:lastRenderedPageBreak/>
        <w:t xml:space="preserve">12.6 </w:t>
      </w:r>
      <w:r w:rsidR="00D934FC" w:rsidRPr="00D934FC">
        <w:t>ADA—Ability to Perform Essential Functions—Factors</w:t>
      </w:r>
      <w:bookmarkEnd w:id="226"/>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[whether the reason the position exists is to perform that function][;]</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[whether there are a limited number of employees available among whom the performance of that job function can be distributed][;]</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[whether the job function is highly specialized, and the person in that particular position is hired for [his] [her] expertise or ability to perform the particular function][;]</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[the amount of time spent performing the job function][;]</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[the consequences of not requiring the individual holding the position to perform the function][;]</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[the terms of any collective bargaining agreement][;]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[the work experience of past employees who have held the position][;]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A disabled individual who can no longer perform the </w:t>
      </w:r>
      <w:r w:rsidRPr="006A4CD7">
        <w:rPr>
          <w:rFonts w:cs="Times New Roman"/>
          <w:szCs w:val="24"/>
        </w:rPr>
        <w:lastRenderedPageBreak/>
        <w:t>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3CB1162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323 F.3d 1226, 1232-33 (9th Cir. 2003), the court held an employer had no duty to accommodate a deputy marshal when it was undisputed</w:t>
      </w:r>
      <w:r w:rsidR="00F9611C">
        <w:rPr>
          <w:rFonts w:cs="Times New Roman"/>
          <w:szCs w:val="24"/>
        </w:rPr>
        <w:t>,</w:t>
      </w:r>
      <w:r w:rsidRPr="006A4CD7">
        <w:rPr>
          <w:rFonts w:cs="Times New Roman"/>
          <w:szCs w:val="24"/>
        </w:rPr>
        <w:t xml:space="preserve">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proofErr w:type="spellStart"/>
      <w:r w:rsidRPr="006A4CD7">
        <w:rPr>
          <w:rFonts w:cs="Times New Roman"/>
          <w:i/>
          <w:iCs/>
          <w:szCs w:val="24"/>
        </w:rPr>
        <w:t>Cripe</w:t>
      </w:r>
      <w:proofErr w:type="spellEnd"/>
      <w:r w:rsidRPr="006A4CD7">
        <w:rPr>
          <w:rFonts w:cs="Times New Roman"/>
          <w:i/>
          <w:iCs/>
          <w:szCs w:val="24"/>
        </w:rPr>
        <w:t xml:space="preserve"> v. City of San Jose</w:t>
      </w:r>
      <w:r w:rsidRPr="006A4CD7">
        <w:rPr>
          <w:rFonts w:cs="Times New Roman"/>
          <w:szCs w:val="24"/>
        </w:rPr>
        <w:t xml:space="preserve">, 261 F.3d 877, 887 (9th Cir. 2001), the court observed that “an employer may not turn every condition of employment which it elects to adopt into a job function, let alone an essential job function, merely by including it in a job description.”  (quoting </w:t>
      </w:r>
      <w:proofErr w:type="spellStart"/>
      <w:r w:rsidRPr="006A4CD7">
        <w:rPr>
          <w:rFonts w:cs="Times New Roman"/>
          <w:i/>
          <w:iCs/>
          <w:szCs w:val="24"/>
        </w:rPr>
        <w:t>Echazabal</w:t>
      </w:r>
      <w:proofErr w:type="spellEnd"/>
      <w:r w:rsidRPr="006A4CD7">
        <w:rPr>
          <w:rFonts w:cs="Times New Roman"/>
          <w:i/>
          <w:iCs/>
          <w:szCs w:val="24"/>
        </w:rPr>
        <w:t xml:space="preserve"> v. Chevron USA, Inc.</w:t>
      </w:r>
      <w:r w:rsidRPr="006A4CD7">
        <w:rPr>
          <w:rFonts w:cs="Times New Roman"/>
          <w:szCs w:val="24"/>
        </w:rPr>
        <w:t xml:space="preserve">, 226 F.3d 1063, 1071 (9th Cir. 2000)).  In </w:t>
      </w:r>
      <w:proofErr w:type="spellStart"/>
      <w:r w:rsidRPr="006A4CD7">
        <w:rPr>
          <w:rFonts w:cs="Times New Roman"/>
          <w:i/>
          <w:iCs/>
          <w:szCs w:val="24"/>
        </w:rPr>
        <w:t>Cripe</w:t>
      </w:r>
      <w:proofErr w:type="spellEnd"/>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particular case.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511 F.3d 974, 990 (9th Cir. 2007) (</w:t>
      </w:r>
      <w:proofErr w:type="spellStart"/>
      <w:r w:rsidRPr="006A4CD7">
        <w:rPr>
          <w:rFonts w:cs="Times New Roman"/>
          <w:szCs w:val="24"/>
        </w:rPr>
        <w:t>en</w:t>
      </w:r>
      <w:proofErr w:type="spellEnd"/>
      <w:r w:rsidRPr="006A4CD7">
        <w:rPr>
          <w:rFonts w:cs="Times New Roman"/>
          <w:szCs w:val="24"/>
        </w:rPr>
        <w:t xml:space="preserve">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036F11A1" w:rsidR="006A4CD7" w:rsidRPr="006A4CD7" w:rsidRDefault="006A4CD7" w:rsidP="00673357">
      <w:pPr>
        <w:pStyle w:val="Heading2"/>
      </w:pPr>
      <w:r w:rsidRPr="006A4CD7">
        <w:br w:type="page"/>
      </w:r>
      <w:bookmarkStart w:id="227" w:name="_Toc117512512"/>
      <w:r w:rsidRPr="006A4CD7">
        <w:lastRenderedPageBreak/>
        <w:t xml:space="preserve">12.7 </w:t>
      </w:r>
      <w:r w:rsidR="00D934FC" w:rsidRPr="00D934FC">
        <w:t>ADA—Reasonable Accommodation</w:t>
      </w:r>
      <w:bookmarkEnd w:id="227"/>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[modifying or adjusting a job application process to enable a qualified applicant with a disability to be considered for the position][;]</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[making existing facilities used by employees readily accessible to and usable by individuals with disabilities][;]</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[job restructuring][;]</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[part-time or modified work schedule][;]</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[reassignment to a vacant position][;]</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[acquisition or modifications of examinations, training materials or policies][;]</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[provision of qualified readers and interpreters][;]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62D26DBE" w:rsid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3DC90DBB" w14:textId="77777777" w:rsidR="00922594" w:rsidRPr="006A4CD7" w:rsidRDefault="00922594" w:rsidP="0060759C">
      <w:pPr>
        <w:autoSpaceDE w:val="0"/>
        <w:autoSpaceDN w:val="0"/>
        <w:adjustRightInd w:val="0"/>
        <w:rPr>
          <w:rFonts w:cs="Times New Roman"/>
          <w:szCs w:val="24"/>
        </w:rPr>
      </w:pP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xml:space="preserve">., 878 F.3d 794, 798 (9th Cir. 2017) (“Liberty was aware of or had reason to be aware of Dunlap’s desire for a reasonable accommodation.  Such awareness triggered Liberty’s duty to engage in the interactive process.”) (internal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as a result of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listed in this instruction are derived from 42 U.S.C. § 12111(9) and 29 C.F.R. §§ 1630.2(o)(1)(</w:t>
      </w:r>
      <w:proofErr w:type="spellStart"/>
      <w:r w:rsidRPr="006A4CD7">
        <w:rPr>
          <w:rFonts w:cs="Times New Roman"/>
          <w:szCs w:val="24"/>
        </w:rPr>
        <w:t>i</w:t>
      </w:r>
      <w:proofErr w:type="spellEnd"/>
      <w:r w:rsidRPr="006A4CD7">
        <w:rPr>
          <w:rFonts w:cs="Times New Roman"/>
          <w:szCs w:val="24"/>
        </w:rPr>
        <w:t xml:space="preserve">), (3), 1630.9(d). </w:t>
      </w:r>
      <w:r w:rsidRPr="006A4CD7">
        <w:rPr>
          <w:rFonts w:cs="Times New Roman"/>
          <w:i/>
          <w:iCs/>
          <w:szCs w:val="24"/>
        </w:rPr>
        <w:t xml:space="preserve"> See also Barnett v. U. S. Air, Inc.</w:t>
      </w:r>
      <w:r w:rsidRPr="006A4CD7">
        <w:rPr>
          <w:rFonts w:cs="Times New Roman"/>
          <w:szCs w:val="24"/>
        </w:rPr>
        <w:t>, 228 F.3d 1105, 1112-14 (9th Cir. 2000) (</w:t>
      </w:r>
      <w:proofErr w:type="spellStart"/>
      <w:r w:rsidRPr="006A4CD7">
        <w:rPr>
          <w:rFonts w:cs="Times New Roman"/>
          <w:szCs w:val="24"/>
        </w:rPr>
        <w:t>en</w:t>
      </w:r>
      <w:proofErr w:type="spellEnd"/>
      <w:r w:rsidRPr="006A4CD7">
        <w:rPr>
          <w:rFonts w:cs="Times New Roman"/>
          <w:szCs w:val="24"/>
        </w:rPr>
        <w:t xml:space="preserve">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 xml:space="preserve">See also Willis v. Pacific Maritime </w:t>
      </w:r>
      <w:proofErr w:type="spellStart"/>
      <w:r w:rsidRPr="006A4CD7">
        <w:rPr>
          <w:rFonts w:cs="Times New Roman"/>
          <w:i/>
          <w:iCs/>
          <w:szCs w:val="24"/>
        </w:rPr>
        <w:t>Ass’n</w:t>
      </w:r>
      <w:proofErr w:type="spellEnd"/>
      <w:r w:rsidRPr="006A4CD7">
        <w:rPr>
          <w:rFonts w:cs="Times New Roman"/>
          <w:i/>
          <w:iCs/>
          <w:szCs w:val="24"/>
        </w:rPr>
        <w:t>.</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2DEDDCF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w:t>
      </w:r>
    </w:p>
    <w:p w14:paraId="7ED81060" w14:textId="65209480"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 xml:space="preserve">Wellington v. Lyon </w:t>
      </w:r>
      <w:proofErr w:type="spellStart"/>
      <w:r w:rsidRPr="006A4CD7">
        <w:rPr>
          <w:rFonts w:cs="Times New Roman"/>
          <w:i/>
          <w:iCs/>
          <w:szCs w:val="24"/>
        </w:rPr>
        <w:t>Cnty</w:t>
      </w:r>
      <w:proofErr w:type="spellEnd"/>
      <w:r w:rsidRPr="006A4CD7">
        <w:rPr>
          <w:rFonts w:cs="Times New Roman"/>
          <w:i/>
          <w:iCs/>
          <w:szCs w:val="24"/>
        </w:rPr>
        <w:t>.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5EB725C9" w:rsidR="006A4CD7" w:rsidRPr="006A4CD7" w:rsidRDefault="006A4CD7" w:rsidP="00673357">
      <w:pPr>
        <w:pStyle w:val="Heading2"/>
      </w:pPr>
      <w:r w:rsidRPr="006A4CD7">
        <w:br w:type="page"/>
      </w:r>
      <w:bookmarkStart w:id="228" w:name="_Toc117512513"/>
      <w:r w:rsidRPr="006A4CD7">
        <w:lastRenderedPageBreak/>
        <w:t xml:space="preserve">12.8 </w:t>
      </w:r>
      <w:r w:rsidR="00D934FC" w:rsidRPr="00D934FC">
        <w:t>ADA—Undue Hardship</w:t>
      </w:r>
      <w:bookmarkEnd w:id="228"/>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undue hardship means an action requiring significant difficulty or expense. It takes into account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[the nature and net cost of the accommodation, accounting for tax credits or deductions and other outside funding][;]</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[the overall financial resources of the defendant's facility involved in the provision of the reasonable accommodation, the number of persons employed at such facility, the effect on expenses and resources, or the impact otherwise of such accommodation upon the operation of the facility][;]</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[the overall financial resources of the defendant's facility, the overall size of the business of a defendant's facility with respect to the number of its employees, the number, type, and location of its facilities][;]</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[the number of persons employed by defendant and the effect of accommodation][;]</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[the type of operations the defendant is involved in and the composition, structure, and functions of the work force][;]</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[the geographic separateness and administrative or fiscal relationship of the facility in question to the defendant][;]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3E5F0BE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t>
      </w:r>
    </w:p>
    <w:p w14:paraId="72C57938" w14:textId="19431A92"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 xml:space="preserve">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7444B2AA" w:rsidR="006A4CD7" w:rsidRPr="006A4CD7" w:rsidRDefault="006A4CD7" w:rsidP="00673357">
      <w:pPr>
        <w:pStyle w:val="Heading2"/>
      </w:pPr>
      <w:r w:rsidRPr="006A4CD7">
        <w:br w:type="page"/>
      </w:r>
      <w:bookmarkStart w:id="229" w:name="_Toc117512514"/>
      <w:r w:rsidRPr="006A4CD7">
        <w:lastRenderedPageBreak/>
        <w:t xml:space="preserve">12.9 </w:t>
      </w:r>
      <w:r w:rsidR="00D934FC" w:rsidRPr="00D934FC">
        <w:t>ADA—Retaliation</w:t>
      </w:r>
      <w:bookmarkEnd w:id="229"/>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325EE5EF" w:rsidR="006A4CD7" w:rsidRPr="006A4CD7" w:rsidRDefault="006A4CD7" w:rsidP="00673357">
      <w:pPr>
        <w:pStyle w:val="Heading2"/>
      </w:pPr>
      <w:r w:rsidRPr="006A4CD7">
        <w:br w:type="page"/>
      </w:r>
      <w:bookmarkStart w:id="230" w:name="_Toc117512515"/>
      <w:r w:rsidRPr="006A4CD7">
        <w:lastRenderedPageBreak/>
        <w:t xml:space="preserve">12.10 </w:t>
      </w:r>
      <w:r w:rsidR="00D934FC" w:rsidRPr="00D934FC">
        <w:t>ADA—Defenses—Business Necessity</w:t>
      </w:r>
      <w:bookmarkEnd w:id="230"/>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is uniformly applied;</w:t>
      </w:r>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is job-related;</w:t>
      </w:r>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proofErr w:type="spellStart"/>
      <w:r w:rsidRPr="006A4CD7">
        <w:rPr>
          <w:rFonts w:cs="Times New Roman"/>
          <w:i/>
          <w:iCs/>
          <w:szCs w:val="24"/>
        </w:rPr>
        <w:t>en</w:t>
      </w:r>
      <w:proofErr w:type="spellEnd"/>
      <w:r w:rsidRPr="006A4CD7">
        <w:rPr>
          <w:rFonts w:cs="Times New Roman"/>
          <w:i/>
          <w:iCs/>
          <w:szCs w:val="24"/>
        </w:rPr>
        <w:t xml:space="preserve">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 xml:space="preserve">see also </w:t>
      </w:r>
      <w:proofErr w:type="spellStart"/>
      <w:r w:rsidRPr="006A4CD7">
        <w:rPr>
          <w:rFonts w:cs="Times New Roman"/>
          <w:i/>
          <w:iCs/>
          <w:szCs w:val="24"/>
        </w:rPr>
        <w:t>Indergard</w:t>
      </w:r>
      <w:proofErr w:type="spellEnd"/>
      <w:r w:rsidRPr="006A4CD7">
        <w:rPr>
          <w:rFonts w:cs="Times New Roman"/>
          <w:i/>
          <w:iCs/>
          <w:szCs w:val="24"/>
        </w:rPr>
        <w:t xml:space="preserve">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 xml:space="preserve">Chevron U.S.A., Inc. v. </w:t>
      </w:r>
      <w:proofErr w:type="spellStart"/>
      <w:r w:rsidRPr="006A4CD7">
        <w:rPr>
          <w:rFonts w:cs="Times New Roman"/>
          <w:i/>
          <w:iCs/>
          <w:szCs w:val="24"/>
        </w:rPr>
        <w:t>Echazabal</w:t>
      </w:r>
      <w:proofErr w:type="spellEnd"/>
      <w:r w:rsidRPr="006A4CD7">
        <w:rPr>
          <w:rFonts w:cs="Times New Roman"/>
          <w:i/>
          <w:iCs/>
          <w:szCs w:val="24"/>
        </w:rPr>
        <w:t>,</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3CF0EB71" w:rsidR="006A4CD7" w:rsidRPr="006A4CD7" w:rsidRDefault="006A4CD7" w:rsidP="00673357">
      <w:pPr>
        <w:pStyle w:val="Heading2"/>
      </w:pPr>
      <w:r w:rsidRPr="006A4CD7">
        <w:br w:type="page"/>
      </w:r>
      <w:bookmarkStart w:id="231" w:name="_Toc117512516"/>
      <w:r w:rsidRPr="006A4CD7">
        <w:lastRenderedPageBreak/>
        <w:t xml:space="preserve">12.11 </w:t>
      </w:r>
      <w:r w:rsidR="00D934FC" w:rsidRPr="00D934FC">
        <w:t>ADA—Defenses—Direct Threat</w:t>
      </w:r>
      <w:bookmarkEnd w:id="231"/>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the nature and severity of the potential harm;</w:t>
      </w:r>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the duration of the potential harm;</w:t>
      </w:r>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 xml:space="preserve">School Bd. of Nassau </w:t>
      </w:r>
      <w:proofErr w:type="spellStart"/>
      <w:r w:rsidRPr="006A4CD7">
        <w:rPr>
          <w:rFonts w:cs="Times New Roman"/>
          <w:i/>
          <w:iCs/>
          <w:szCs w:val="24"/>
        </w:rPr>
        <w:t>Cnty</w:t>
      </w:r>
      <w:proofErr w:type="spellEnd"/>
      <w:r w:rsidRPr="006A4CD7">
        <w:rPr>
          <w:rFonts w:cs="Times New Roman"/>
          <w:i/>
          <w:iCs/>
          <w:szCs w:val="24"/>
        </w:rPr>
        <w:t>.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 xml:space="preserve">Mayo v. PCC </w:t>
      </w:r>
      <w:proofErr w:type="spellStart"/>
      <w:r w:rsidRPr="006A4CD7">
        <w:rPr>
          <w:rFonts w:cs="Times New Roman"/>
          <w:i/>
          <w:iCs/>
          <w:szCs w:val="24"/>
        </w:rPr>
        <w:t>Structurals</w:t>
      </w:r>
      <w:proofErr w:type="spellEnd"/>
      <w:r w:rsidRPr="006A4CD7">
        <w:rPr>
          <w:rFonts w:cs="Times New Roman"/>
          <w:i/>
          <w:iCs/>
          <w:szCs w:val="24"/>
        </w:rPr>
        <w:t>,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 xml:space="preserve">See Chevron U.S.A., Inc. v. </w:t>
      </w:r>
      <w:proofErr w:type="spellStart"/>
      <w:r w:rsidRPr="006A4CD7">
        <w:rPr>
          <w:rFonts w:cs="Times New Roman"/>
          <w:i/>
          <w:iCs/>
          <w:szCs w:val="24"/>
        </w:rPr>
        <w:t>Echazabal</w:t>
      </w:r>
      <w:proofErr w:type="spellEnd"/>
      <w:r w:rsidRPr="006A4CD7">
        <w:rPr>
          <w:rFonts w:cs="Times New Roman"/>
          <w:szCs w:val="24"/>
        </w:rPr>
        <w:t>, 536 U.S. 73, 76-77 (2002) (recognizing availability of “direct threat” defense when toxins at oil refinery would exacerbate plaintiff’s liver condition).</w:t>
      </w:r>
    </w:p>
    <w:p w14:paraId="0CE56BB2" w14:textId="030E6F7B" w:rsidR="006A4CD7" w:rsidRPr="006A4CD7" w:rsidRDefault="006A4CD7" w:rsidP="00673357">
      <w:pPr>
        <w:pStyle w:val="Heading2"/>
      </w:pPr>
      <w:r w:rsidRPr="006A4CD7">
        <w:br w:type="page"/>
      </w:r>
      <w:bookmarkStart w:id="232" w:name="_Toc117512517"/>
      <w:r w:rsidRPr="006A4CD7">
        <w:lastRenderedPageBreak/>
        <w:t xml:space="preserve">12.12 </w:t>
      </w:r>
      <w:r w:rsidR="00D934FC" w:rsidRPr="00D934FC">
        <w:t>ADA—Damages</w:t>
      </w:r>
      <w:bookmarkEnd w:id="232"/>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5966034A"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w:t>
      </w:r>
      <w:r w:rsidR="00B405D9" w:rsidRPr="006A4CD7">
        <w:rPr>
          <w:rFonts w:cs="Times New Roman"/>
          <w:szCs w:val="24"/>
        </w:rPr>
        <w:t>a (</w:t>
      </w:r>
      <w:r w:rsidRPr="006A4CD7">
        <w:rPr>
          <w:rFonts w:cs="Times New Roman"/>
          <w:szCs w:val="24"/>
        </w:rPr>
        <w:t xml:space="preserve">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amount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3A3F615E" w:rsidR="006A4CD7" w:rsidRPr="006A4CD7" w:rsidRDefault="006A4CD7" w:rsidP="00BF5CD7">
      <w:pPr>
        <w:pStyle w:val="Heading1"/>
      </w:pPr>
      <w:r w:rsidRPr="006A4CD7">
        <w:br w:type="page"/>
      </w:r>
      <w:bookmarkStart w:id="233" w:name="_Toc117512518"/>
      <w:r w:rsidRPr="006A4CD7">
        <w:lastRenderedPageBreak/>
        <w:t>13.  LABOR (INCLUDING FAIR REPRESENTATION)</w:t>
      </w:r>
      <w:bookmarkEnd w:id="233"/>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4393A27C" w:rsidR="006A4CD7" w:rsidRPr="006A4CD7" w:rsidRDefault="006A4CD7" w:rsidP="009412F2">
      <w:pPr>
        <w:autoSpaceDE w:val="0"/>
        <w:autoSpaceDN w:val="0"/>
        <w:adjustRightInd w:val="0"/>
        <w:ind w:left="900" w:hanging="900"/>
        <w:rPr>
          <w:rFonts w:cs="Times New Roman"/>
          <w:szCs w:val="24"/>
        </w:rPr>
      </w:pPr>
      <w:r w:rsidRPr="006A4CD7">
        <w:rPr>
          <w:rFonts w:cs="Times New Roman"/>
          <w:szCs w:val="24"/>
        </w:rPr>
        <w:t>13.1</w:t>
      </w:r>
      <w:r w:rsidRPr="006A4CD7">
        <w:rPr>
          <w:rFonts w:cs="Times New Roman"/>
          <w:szCs w:val="24"/>
        </w:rPr>
        <w:tab/>
        <w:t xml:space="preserve">Employee Claim Against Union </w:t>
      </w:r>
      <w:r w:rsidR="00D934FC">
        <w:rPr>
          <w:rFonts w:cs="Times New Roman"/>
          <w:szCs w:val="24"/>
        </w:rPr>
        <w:t>a</w:t>
      </w:r>
      <w:r w:rsidRPr="006A4CD7">
        <w:rPr>
          <w:rFonts w:cs="Times New Roman"/>
          <w:szCs w:val="24"/>
        </w:rPr>
        <w:t>nd/or Employer—Labor Management Relations Act (LMRA) § 301</w:t>
      </w:r>
      <w:r w:rsidR="00D934FC">
        <w:rPr>
          <w:rFonts w:cs="Times New Roman"/>
          <w:szCs w:val="24"/>
        </w:rPr>
        <w:t xml:space="preserve"> </w:t>
      </w:r>
      <w:r w:rsidR="00D934FC" w:rsidRPr="00D934FC">
        <w:rPr>
          <w:rFonts w:cs="Times New Roman"/>
          <w:szCs w:val="24"/>
        </w:rPr>
        <w:t>(29 U.S.C. § 185)</w:t>
      </w:r>
      <w:r w:rsidR="00D934FC">
        <w:rPr>
          <w:rFonts w:cs="Times New Roman"/>
          <w:szCs w:val="24"/>
        </w:rPr>
        <w:t xml:space="preserve"> </w:t>
      </w:r>
    </w:p>
    <w:p w14:paraId="012D9B94" w14:textId="2163098E" w:rsidR="006A4CD7" w:rsidRDefault="006A4CD7" w:rsidP="009412F2">
      <w:pPr>
        <w:autoSpaceDE w:val="0"/>
        <w:autoSpaceDN w:val="0"/>
        <w:adjustRightInd w:val="0"/>
        <w:ind w:left="900" w:hanging="900"/>
        <w:rPr>
          <w:rFonts w:cs="Times New Roman"/>
          <w:szCs w:val="24"/>
        </w:rPr>
      </w:pPr>
      <w:r w:rsidRPr="006A4CD7">
        <w:rPr>
          <w:rFonts w:cs="Times New Roman"/>
          <w:szCs w:val="24"/>
        </w:rPr>
        <w:t>13.2</w:t>
      </w:r>
      <w:r w:rsidRPr="006A4CD7">
        <w:rPr>
          <w:rFonts w:cs="Times New Roman"/>
          <w:szCs w:val="24"/>
        </w:rPr>
        <w:tab/>
        <w:t>LMRA § 301—Damages</w:t>
      </w:r>
      <w:r w:rsidR="00D934FC">
        <w:rPr>
          <w:rFonts w:cs="Times New Roman"/>
          <w:szCs w:val="24"/>
        </w:rPr>
        <w:t xml:space="preserve"> </w:t>
      </w:r>
      <w:r w:rsidR="00D934FC" w:rsidRPr="00D934FC">
        <w:rPr>
          <w:rFonts w:cs="Times New Roman"/>
          <w:szCs w:val="24"/>
        </w:rPr>
        <w:t>(29 U.S.C. § 185)</w:t>
      </w: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17FBD4C5" w14:textId="68B1BEE1" w:rsidR="00673357" w:rsidRPr="006A4CD7" w:rsidRDefault="006A4CD7" w:rsidP="007A6519">
      <w:pPr>
        <w:pStyle w:val="Heading2"/>
      </w:pPr>
      <w:bookmarkStart w:id="234" w:name="_Toc117512519"/>
      <w:r w:rsidRPr="006A4CD7">
        <w:lastRenderedPageBreak/>
        <w:t xml:space="preserve">13.1 </w:t>
      </w:r>
      <w:r w:rsidR="00D934FC" w:rsidRPr="00D934FC">
        <w:t>Employee Claim Against Union and/or Employer—Labor Management Relations Act (LMRA) § 301 (29 U.S.C. § 185)</w:t>
      </w:r>
      <w:bookmarkEnd w:id="234"/>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1C9A11C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that the plaintiff was discharged from employment by the employer;</w:t>
      </w:r>
    </w:p>
    <w:p w14:paraId="5DA9694B" w14:textId="77777777" w:rsidR="006A4CD7" w:rsidRPr="006A4CD7" w:rsidRDefault="006A4CD7" w:rsidP="00BE3322">
      <w:pPr>
        <w:autoSpaceDE w:val="0"/>
        <w:autoSpaceDN w:val="0"/>
        <w:adjustRightInd w:val="0"/>
        <w:ind w:left="1440" w:hanging="720"/>
        <w:rPr>
          <w:rFonts w:cs="Times New Roman"/>
          <w:szCs w:val="24"/>
        </w:rPr>
      </w:pPr>
    </w:p>
    <w:p w14:paraId="473946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such discharge was without “just cause”; and</w:t>
      </w:r>
    </w:p>
    <w:p w14:paraId="7B46F834" w14:textId="77777777" w:rsidR="006A4CD7" w:rsidRPr="006A4CD7" w:rsidRDefault="006A4CD7" w:rsidP="00BE3322">
      <w:pPr>
        <w:autoSpaceDE w:val="0"/>
        <w:autoSpaceDN w:val="0"/>
        <w:adjustRightInd w:val="0"/>
        <w:ind w:left="1440" w:hanging="720"/>
        <w:rPr>
          <w:rFonts w:cs="Times New Roman"/>
          <w:szCs w:val="24"/>
        </w:rPr>
      </w:pPr>
    </w:p>
    <w:p w14:paraId="6CACCF62"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union breached its duty to fairly represent the plaintiff’s interests under the collective bargaining agreement.</w:t>
      </w:r>
    </w:p>
    <w:p w14:paraId="3C9CE367" w14:textId="77777777" w:rsidR="006A4CD7" w:rsidRPr="006A4CD7" w:rsidRDefault="006A4CD7" w:rsidP="0060759C">
      <w:pPr>
        <w:autoSpaceDE w:val="0"/>
        <w:autoSpaceDN w:val="0"/>
        <w:adjustRightInd w:val="0"/>
        <w:rPr>
          <w:rFonts w:cs="Times New Roman"/>
          <w:szCs w:val="24"/>
        </w:rPr>
      </w:pPr>
    </w:p>
    <w:p w14:paraId="69CC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all three of the above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 elements on which the plaintiff has the burden of proof, your verdict should be for the plaintiff.  If, on the other hand, the plaintiff has failed to prove any of these elements, your verdict should be for the defendant.</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6E837E7D" w14:textId="77777777" w:rsidR="0087201A" w:rsidRDefault="006A4CD7" w:rsidP="0087201A">
      <w:pPr>
        <w:autoSpaceDE w:val="0"/>
        <w:autoSpaceDN w:val="0"/>
        <w:adjustRightInd w:val="0"/>
        <w:rPr>
          <w:rFonts w:cs="Times New Roman"/>
          <w:szCs w:val="24"/>
        </w:rPr>
      </w:pPr>
      <w:r w:rsidRPr="006A4CD7">
        <w:rPr>
          <w:rFonts w:cs="Times New Roman"/>
          <w:szCs w:val="24"/>
        </w:rPr>
        <w:tab/>
        <w:t>Breach of the duty of fair representation occurs only where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02FCA077" w14:textId="77777777" w:rsidR="0087201A" w:rsidRDefault="0087201A" w:rsidP="0087201A">
      <w:pPr>
        <w:autoSpaceDE w:val="0"/>
        <w:autoSpaceDN w:val="0"/>
        <w:adjustRightInd w:val="0"/>
        <w:rPr>
          <w:rFonts w:cs="Times New Roman"/>
          <w:szCs w:val="24"/>
        </w:rPr>
      </w:pPr>
    </w:p>
    <w:p w14:paraId="1C6940BF" w14:textId="459868E3" w:rsidR="006A4CD7" w:rsidRPr="006A4CD7" w:rsidRDefault="006A4CD7" w:rsidP="0087201A">
      <w:pPr>
        <w:autoSpaceDE w:val="0"/>
        <w:autoSpaceDN w:val="0"/>
        <w:adjustRightInd w:val="0"/>
        <w:jc w:val="center"/>
        <w:rPr>
          <w:rFonts w:cs="Times New Roman"/>
          <w:szCs w:val="24"/>
        </w:rPr>
      </w:pPr>
      <w:r w:rsidRPr="006A4CD7">
        <w:rPr>
          <w:rFonts w:cs="Times New Roman"/>
          <w:b/>
          <w:bCs/>
          <w:szCs w:val="24"/>
        </w:rPr>
        <w:t>Comment</w:t>
      </w:r>
    </w:p>
    <w:p w14:paraId="0CE58F6B" w14:textId="77777777" w:rsidR="006A4CD7" w:rsidRPr="006A4CD7" w:rsidRDefault="006A4CD7" w:rsidP="00673357"/>
    <w:p w14:paraId="6A89E6A4"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This jury instruction applies when an employee or former employee files a suit against </w:t>
      </w:r>
    </w:p>
    <w:p w14:paraId="5DBBBFE8" w14:textId="5F58BE5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either the union or employer.  It also applies in a hybrid suit against the employer and union.  A plaintiff may decide to sue one defendant and not the other but must prove the same case </w:t>
      </w:r>
      <w:r w:rsidRPr="006A4CD7">
        <w:rPr>
          <w:rFonts w:cs="Times New Roman"/>
          <w:szCs w:val="24"/>
        </w:rPr>
        <w:lastRenderedPageBreak/>
        <w:t xml:space="preserve">whether the suit is against one defendant or both.  </w:t>
      </w:r>
      <w:r w:rsidRPr="006A4CD7">
        <w:rPr>
          <w:rFonts w:cs="Times New Roman"/>
          <w:i/>
          <w:iCs/>
          <w:szCs w:val="24"/>
        </w:rPr>
        <w:t>Chauffeurs, Teamsters &amp; Helpers Local No. 391 v. Terry</w:t>
      </w:r>
      <w:r w:rsidRPr="006A4CD7">
        <w:rPr>
          <w:rFonts w:cs="Times New Roman"/>
          <w:szCs w:val="24"/>
        </w:rPr>
        <w:t>, 494 U.S. 558, 564 (1990) (explaining that most collective bargaining agreements accord finality to grievance procedures established by agreement).</w:t>
      </w:r>
    </w:p>
    <w:p w14:paraId="06BDFE6D" w14:textId="77777777" w:rsidR="006A4CD7" w:rsidRPr="006A4CD7" w:rsidRDefault="006A4CD7" w:rsidP="0060759C">
      <w:pPr>
        <w:autoSpaceDE w:val="0"/>
        <w:autoSpaceDN w:val="0"/>
        <w:adjustRightInd w:val="0"/>
        <w:rPr>
          <w:rFonts w:cs="Times New Roman"/>
          <w:szCs w:val="24"/>
        </w:rPr>
      </w:pPr>
    </w:p>
    <w:p w14:paraId="41D658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support a breach of the duty of fair representation claim, the plaintiff must prove that the employer’s action violated the terms of the collective bargaining agreement and that the union breached its duty to act honestly and in good faith and to avoid arbitrary conduct.  </w:t>
      </w:r>
      <w:r w:rsidRPr="006A4CD7">
        <w:rPr>
          <w:rFonts w:cs="Times New Roman"/>
          <w:i/>
          <w:iCs/>
          <w:szCs w:val="24"/>
        </w:rPr>
        <w:t>Id.</w:t>
      </w:r>
      <w:r w:rsidRPr="006A4CD7">
        <w:rPr>
          <w:rFonts w:cs="Times New Roman"/>
          <w:szCs w:val="24"/>
        </w:rPr>
        <w:t xml:space="preserve"> at 563; </w:t>
      </w:r>
      <w:r w:rsidRPr="006A4CD7">
        <w:rPr>
          <w:rFonts w:cs="Times New Roman"/>
          <w:i/>
          <w:iCs/>
          <w:szCs w:val="24"/>
        </w:rPr>
        <w:t>see also Hines v. Anchor Motor Freight</w:t>
      </w:r>
      <w:r w:rsidRPr="006A4CD7">
        <w:rPr>
          <w:rFonts w:cs="Times New Roman"/>
          <w:szCs w:val="24"/>
        </w:rPr>
        <w:t xml:space="preserve">, 424 U.S. 554, 564 (1976) (holding that union is always subject to complete good faith and honesty of purpose in exercise of discretion); </w:t>
      </w:r>
      <w:proofErr w:type="spellStart"/>
      <w:r w:rsidRPr="006A4CD7">
        <w:rPr>
          <w:rFonts w:cs="Times New Roman"/>
          <w:i/>
          <w:iCs/>
          <w:szCs w:val="24"/>
        </w:rPr>
        <w:t>Vaca</w:t>
      </w:r>
      <w:proofErr w:type="spellEnd"/>
      <w:r w:rsidRPr="006A4CD7">
        <w:rPr>
          <w:rFonts w:cs="Times New Roman"/>
          <w:i/>
          <w:iCs/>
          <w:szCs w:val="24"/>
        </w:rPr>
        <w:t xml:space="preserve"> v. Sipes</w:t>
      </w:r>
      <w:r w:rsidRPr="006A4CD7">
        <w:rPr>
          <w:rFonts w:cs="Times New Roman"/>
          <w:szCs w:val="24"/>
        </w:rPr>
        <w:t>, 386 U.S. 171, 177 (1967).</w:t>
      </w:r>
    </w:p>
    <w:p w14:paraId="57116D26" w14:textId="77777777" w:rsidR="006A4CD7" w:rsidRPr="006A4CD7" w:rsidRDefault="006A4CD7" w:rsidP="0060759C">
      <w:pPr>
        <w:autoSpaceDE w:val="0"/>
        <w:autoSpaceDN w:val="0"/>
        <w:adjustRightInd w:val="0"/>
        <w:rPr>
          <w:rFonts w:cs="Times New Roman"/>
          <w:szCs w:val="24"/>
        </w:rPr>
      </w:pPr>
    </w:p>
    <w:p w14:paraId="529531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 is not liable for merely negligent conduct.  </w:t>
      </w:r>
      <w:r w:rsidRPr="006A4CD7">
        <w:rPr>
          <w:rFonts w:cs="Times New Roman"/>
          <w:i/>
          <w:iCs/>
          <w:szCs w:val="24"/>
        </w:rPr>
        <w:t>See U.S. Steelworkers of Am. v. Rawson</w:t>
      </w:r>
      <w:r w:rsidRPr="006A4CD7">
        <w:rPr>
          <w:rFonts w:cs="Times New Roman"/>
          <w:szCs w:val="24"/>
        </w:rPr>
        <w:t xml:space="preserve">, 495 U.S. 362, 372-73 (1990); </w:t>
      </w:r>
      <w:proofErr w:type="spellStart"/>
      <w:r w:rsidRPr="006A4CD7">
        <w:rPr>
          <w:rFonts w:cs="Times New Roman"/>
          <w:i/>
          <w:iCs/>
          <w:szCs w:val="24"/>
        </w:rPr>
        <w:t>Slevira</w:t>
      </w:r>
      <w:proofErr w:type="spellEnd"/>
      <w:r w:rsidRPr="006A4CD7">
        <w:rPr>
          <w:rFonts w:cs="Times New Roman"/>
          <w:i/>
          <w:iCs/>
          <w:szCs w:val="24"/>
        </w:rPr>
        <w:t xml:space="preserve"> v. Western Sugar Co.</w:t>
      </w:r>
      <w:r w:rsidRPr="006A4CD7">
        <w:rPr>
          <w:rFonts w:cs="Times New Roman"/>
          <w:szCs w:val="24"/>
        </w:rPr>
        <w:t xml:space="preserve">, 200 F.3d 1218, 1221 (9th Cir. 2000).  Breach of the duty of fair representation occurs only when a union’s conduct is arbitrary, discriminatory, or in bad faith.  </w:t>
      </w:r>
      <w:r w:rsidRPr="006A4CD7">
        <w:rPr>
          <w:rFonts w:cs="Times New Roman"/>
          <w:i/>
          <w:iCs/>
          <w:szCs w:val="24"/>
        </w:rPr>
        <w:t>See id.</w:t>
      </w:r>
      <w:r w:rsidRPr="006A4CD7">
        <w:rPr>
          <w:rFonts w:cs="Times New Roman"/>
          <w:szCs w:val="24"/>
        </w:rPr>
        <w:t xml:space="preserve">  For example, “[a] union breaches its [duty of fair representation] if it ignores a meritorious grievance or processes it in a perfunctory manner.”   </w:t>
      </w:r>
      <w:r w:rsidRPr="006A4CD7">
        <w:rPr>
          <w:rFonts w:cs="Times New Roman"/>
          <w:i/>
          <w:iCs/>
          <w:szCs w:val="24"/>
        </w:rPr>
        <w:t xml:space="preserve">Conkle v. </w:t>
      </w:r>
      <w:proofErr w:type="spellStart"/>
      <w:r w:rsidRPr="006A4CD7">
        <w:rPr>
          <w:rFonts w:cs="Times New Roman"/>
          <w:i/>
          <w:iCs/>
          <w:szCs w:val="24"/>
        </w:rPr>
        <w:t>Jeong</w:t>
      </w:r>
      <w:proofErr w:type="spellEnd"/>
      <w:r w:rsidRPr="006A4CD7">
        <w:rPr>
          <w:rFonts w:cs="Times New Roman"/>
          <w:szCs w:val="24"/>
        </w:rPr>
        <w:t xml:space="preserve">, 73 F.3d 909, 916 (9th Cir. 1995) (citing </w:t>
      </w:r>
      <w:proofErr w:type="spellStart"/>
      <w:r w:rsidRPr="006A4CD7">
        <w:rPr>
          <w:rFonts w:cs="Times New Roman"/>
          <w:i/>
          <w:iCs/>
          <w:szCs w:val="24"/>
        </w:rPr>
        <w:t>Vaca</w:t>
      </w:r>
      <w:proofErr w:type="spellEnd"/>
      <w:r w:rsidRPr="006A4CD7">
        <w:rPr>
          <w:rFonts w:cs="Times New Roman"/>
          <w:szCs w:val="24"/>
        </w:rPr>
        <w:t>, 386 U.S. at 191).</w:t>
      </w:r>
    </w:p>
    <w:p w14:paraId="40A868B9" w14:textId="77777777" w:rsidR="006A4CD7" w:rsidRPr="006A4CD7" w:rsidRDefault="006A4CD7" w:rsidP="0060759C">
      <w:pPr>
        <w:autoSpaceDE w:val="0"/>
        <w:autoSpaceDN w:val="0"/>
        <w:adjustRightInd w:val="0"/>
        <w:rPr>
          <w:rFonts w:cs="Times New Roman"/>
          <w:szCs w:val="24"/>
        </w:rPr>
      </w:pPr>
    </w:p>
    <w:p w14:paraId="17C65A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union’s actions are arbitrary “only if, in light of the factual and legal landscape at the time of the union’s actions, the union’s behavior is so far outside a ‘wide range of reasonableness’ as to be ‘irrational.’” </w:t>
      </w:r>
      <w:r w:rsidRPr="006A4CD7">
        <w:rPr>
          <w:rFonts w:cs="Times New Roman"/>
          <w:i/>
          <w:iCs/>
          <w:szCs w:val="24"/>
        </w:rPr>
        <w:t xml:space="preserve">Air Line Pilots </w:t>
      </w:r>
      <w:proofErr w:type="spellStart"/>
      <w:r w:rsidRPr="006A4CD7">
        <w:rPr>
          <w:rFonts w:cs="Times New Roman"/>
          <w:i/>
          <w:iCs/>
          <w:szCs w:val="24"/>
        </w:rPr>
        <w:t>Ass’n</w:t>
      </w:r>
      <w:proofErr w:type="spellEnd"/>
      <w:r w:rsidRPr="006A4CD7">
        <w:rPr>
          <w:rFonts w:cs="Times New Roman"/>
          <w:i/>
          <w:iCs/>
          <w:szCs w:val="24"/>
        </w:rPr>
        <w:t xml:space="preserve"> v. O’Neill</w:t>
      </w:r>
      <w:r w:rsidRPr="006A4CD7">
        <w:rPr>
          <w:rFonts w:cs="Times New Roman"/>
          <w:szCs w:val="24"/>
        </w:rPr>
        <w:t xml:space="preserve">, 499 U.S. 65, 67 (1991).  </w:t>
      </w:r>
      <w:r w:rsidRPr="006A4CD7">
        <w:rPr>
          <w:rFonts w:cs="Times New Roman"/>
          <w:i/>
          <w:iCs/>
          <w:szCs w:val="24"/>
        </w:rPr>
        <w:t>See also Conkle</w:t>
      </w:r>
      <w:r w:rsidRPr="006A4CD7">
        <w:rPr>
          <w:rFonts w:cs="Times New Roman"/>
          <w:szCs w:val="24"/>
        </w:rPr>
        <w:t xml:space="preserve">, 73 F.3d at 915-16 (holding that union’s decision is arbitrary if it lacks rational basis); </w:t>
      </w:r>
      <w:r w:rsidRPr="006A4CD7">
        <w:rPr>
          <w:rFonts w:cs="Times New Roman"/>
          <w:i/>
          <w:iCs/>
          <w:szCs w:val="24"/>
        </w:rPr>
        <w:t>Johnson v. U.S. Postal Serv.</w:t>
      </w:r>
      <w:r w:rsidRPr="006A4CD7">
        <w:rPr>
          <w:rFonts w:cs="Times New Roman"/>
          <w:szCs w:val="24"/>
        </w:rPr>
        <w:t xml:space="preserve">, 756 F.2d 1461, 1465 (9th Cir. 1985) (holding that reckless disregard may constitute arbitrary conduct); </w:t>
      </w:r>
      <w:r w:rsidRPr="006A4CD7">
        <w:rPr>
          <w:rFonts w:cs="Times New Roman"/>
          <w:i/>
          <w:iCs/>
          <w:szCs w:val="24"/>
        </w:rPr>
        <w:t>Tenorio v. NLRB</w:t>
      </w:r>
      <w:r w:rsidRPr="006A4CD7">
        <w:rPr>
          <w:rFonts w:cs="Times New Roman"/>
          <w:szCs w:val="24"/>
        </w:rPr>
        <w:t>, 680 F.2d 598, 601 (9th Cir. 1982) (defining arbitrary as “egregious disregard for the right of union members”).</w:t>
      </w:r>
    </w:p>
    <w:p w14:paraId="2F7A4EB7" w14:textId="77777777" w:rsidR="006A4CD7" w:rsidRPr="006A4CD7" w:rsidRDefault="006A4CD7" w:rsidP="0060759C">
      <w:pPr>
        <w:autoSpaceDE w:val="0"/>
        <w:autoSpaceDN w:val="0"/>
        <w:adjustRightInd w:val="0"/>
        <w:rPr>
          <w:rFonts w:cs="Times New Roman"/>
          <w:szCs w:val="24"/>
        </w:rPr>
      </w:pPr>
    </w:p>
    <w:p w14:paraId="022A84B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To establish that a union acted in “bad faith,” a plaintiff must provide “substantial evidence of fraud, deceitful action, or dishonest conduct,” </w:t>
      </w:r>
      <w:r w:rsidRPr="006A4CD7">
        <w:rPr>
          <w:rFonts w:cs="Times New Roman"/>
          <w:i/>
          <w:iCs/>
          <w:szCs w:val="24"/>
        </w:rPr>
        <w:t xml:space="preserve">Humphrey v. Moore, </w:t>
      </w:r>
      <w:r w:rsidRPr="006A4CD7">
        <w:rPr>
          <w:rFonts w:cs="Times New Roman"/>
          <w:szCs w:val="24"/>
        </w:rPr>
        <w:t xml:space="preserve">375 U.S. 335, 348 (1964), or evidence that the union was motivated by personal animus toward the plaintiff.  </w:t>
      </w:r>
      <w:r w:rsidRPr="006A4CD7">
        <w:rPr>
          <w:rFonts w:cs="Times New Roman"/>
          <w:i/>
          <w:iCs/>
          <w:szCs w:val="24"/>
        </w:rPr>
        <w:t>See Conkle</w:t>
      </w:r>
      <w:r w:rsidRPr="006A4CD7">
        <w:rPr>
          <w:rFonts w:cs="Times New Roman"/>
          <w:szCs w:val="24"/>
        </w:rPr>
        <w:t>, 73 F.3d at 916 (including personal animus as basis for finding of bad faith).</w:t>
      </w:r>
    </w:p>
    <w:p w14:paraId="34325033" w14:textId="77777777" w:rsidR="00673357" w:rsidRDefault="00673357" w:rsidP="0060759C">
      <w:pPr>
        <w:autoSpaceDE w:val="0"/>
        <w:autoSpaceDN w:val="0"/>
        <w:adjustRightInd w:val="0"/>
        <w:rPr>
          <w:rFonts w:cs="Times New Roman"/>
          <w:szCs w:val="24"/>
        </w:rPr>
      </w:pPr>
    </w:p>
    <w:p w14:paraId="093B87B4" w14:textId="77777777" w:rsidR="00BE3322" w:rsidRPr="006A4CD7" w:rsidRDefault="00BE3322" w:rsidP="0060759C">
      <w:pPr>
        <w:autoSpaceDE w:val="0"/>
        <w:autoSpaceDN w:val="0"/>
        <w:adjustRightInd w:val="0"/>
        <w:rPr>
          <w:rFonts w:cs="Times New Roman"/>
          <w:szCs w:val="24"/>
        </w:rPr>
      </w:pPr>
    </w:p>
    <w:p w14:paraId="4BD1C055" w14:textId="2F88643D" w:rsidR="00673357" w:rsidRPr="006A4CD7" w:rsidRDefault="006A4CD7" w:rsidP="00673357">
      <w:pPr>
        <w:pStyle w:val="Heading2"/>
      </w:pPr>
      <w:r w:rsidRPr="006A4CD7">
        <w:br w:type="page"/>
      </w:r>
      <w:bookmarkStart w:id="235" w:name="_Toc117512520"/>
      <w:r w:rsidRPr="006A4CD7">
        <w:lastRenderedPageBreak/>
        <w:t>13.2 LMRA § 301—Damages</w:t>
      </w:r>
      <w:r w:rsidR="00673357">
        <w:t xml:space="preserve"> </w:t>
      </w:r>
      <w:r w:rsidRPr="006A4CD7">
        <w:t>(29 U.S.C. § 185)</w:t>
      </w:r>
      <w:bookmarkEnd w:id="235"/>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0F04A0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proofErr w:type="spellStart"/>
      <w:r w:rsidRPr="006A4CD7">
        <w:rPr>
          <w:rFonts w:cs="Times New Roman"/>
          <w:i/>
          <w:iCs/>
          <w:szCs w:val="24"/>
        </w:rPr>
        <w:t>Vaca</w:t>
      </w:r>
      <w:proofErr w:type="spellEnd"/>
      <w:r w:rsidRPr="006A4CD7">
        <w:rPr>
          <w:rFonts w:cs="Times New Roman"/>
          <w:i/>
          <w:iCs/>
          <w:szCs w:val="24"/>
        </w:rPr>
        <w:t xml:space="preserve">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on the basis of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 xml:space="preserve">See </w:t>
      </w:r>
      <w:proofErr w:type="spellStart"/>
      <w:r w:rsidRPr="006A4CD7">
        <w:rPr>
          <w:rFonts w:cs="Times New Roman"/>
          <w:i/>
          <w:iCs/>
          <w:szCs w:val="24"/>
        </w:rPr>
        <w:t>Aguinaga</w:t>
      </w:r>
      <w:proofErr w:type="spellEnd"/>
      <w:r w:rsidRPr="006A4CD7">
        <w:rPr>
          <w:rFonts w:cs="Times New Roman"/>
          <w:i/>
          <w:iCs/>
          <w:szCs w:val="24"/>
        </w:rPr>
        <w:t xml:space="preserve">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as a result of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 xml:space="preserve">See, e.g., </w:t>
      </w:r>
      <w:proofErr w:type="spellStart"/>
      <w:r w:rsidRPr="006A4CD7">
        <w:rPr>
          <w:rFonts w:cs="Times New Roman"/>
          <w:i/>
          <w:iCs/>
          <w:szCs w:val="24"/>
        </w:rPr>
        <w:t>Aguinaga</w:t>
      </w:r>
      <w:proofErr w:type="spellEnd"/>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304BD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union affirmatively causes the employer to breach the collective bargaining agreement, or where the union and employer actively participate in each other’s breach, joint and several liability, as opposed to apportionment, may be appropriate. </w:t>
      </w:r>
      <w:r w:rsidRPr="006A4CD7">
        <w:rPr>
          <w:rFonts w:cs="Times New Roman"/>
          <w:i/>
          <w:iCs/>
          <w:szCs w:val="24"/>
        </w:rPr>
        <w:t xml:space="preserve">See </w:t>
      </w:r>
      <w:proofErr w:type="spellStart"/>
      <w:r w:rsidRPr="006A4CD7">
        <w:rPr>
          <w:rFonts w:cs="Times New Roman"/>
          <w:i/>
          <w:iCs/>
          <w:szCs w:val="24"/>
        </w:rPr>
        <w:t>Aguinaga</w:t>
      </w:r>
      <w:proofErr w:type="spellEnd"/>
      <w:r w:rsidRPr="006A4CD7">
        <w:rPr>
          <w:rFonts w:cs="Times New Roman"/>
          <w:szCs w:val="24"/>
        </w:rPr>
        <w:t xml:space="preserve">, 993 F.2d at 1475; </w:t>
      </w:r>
      <w:r w:rsidRPr="006A4CD7">
        <w:rPr>
          <w:rFonts w:cs="Times New Roman"/>
          <w:i/>
          <w:iCs/>
          <w:szCs w:val="24"/>
        </w:rPr>
        <w:t>Bennett v. Local Union No. 66</w:t>
      </w:r>
      <w:r w:rsidRPr="006A4CD7">
        <w:rPr>
          <w:rFonts w:cs="Times New Roman"/>
          <w:szCs w:val="24"/>
        </w:rPr>
        <w:t>, 958 F.2d 1429, 1440–41 (7th Cir. 1992).</w:t>
      </w:r>
    </w:p>
    <w:p w14:paraId="6909DE06" w14:textId="77777777" w:rsidR="006A4CD7" w:rsidRPr="006A4CD7" w:rsidRDefault="006A4CD7" w:rsidP="0060759C">
      <w:pPr>
        <w:autoSpaceDE w:val="0"/>
        <w:autoSpaceDN w:val="0"/>
        <w:adjustRightInd w:val="0"/>
        <w:rPr>
          <w:rFonts w:cs="Times New Roman"/>
          <w:szCs w:val="24"/>
        </w:rPr>
      </w:pPr>
    </w:p>
    <w:p w14:paraId="3A978C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5.1 (Damages—Proof) regarding causation.</w:t>
      </w:r>
    </w:p>
    <w:p w14:paraId="62F9FCE2" w14:textId="77777777" w:rsidR="006A4CD7" w:rsidRPr="006A4CD7" w:rsidRDefault="006A4CD7" w:rsidP="0060759C">
      <w:pPr>
        <w:autoSpaceDE w:val="0"/>
        <w:autoSpaceDN w:val="0"/>
        <w:adjustRightInd w:val="0"/>
        <w:rPr>
          <w:rFonts w:cs="Times New Roman"/>
          <w:szCs w:val="24"/>
        </w:rPr>
      </w:pPr>
    </w:p>
    <w:p w14:paraId="2B675D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Attorneys’ fees and awards for costs incurred in suing the union may be awarded as compensatory damages for a breach of the duty to represent.  </w:t>
      </w:r>
      <w:proofErr w:type="spellStart"/>
      <w:r w:rsidRPr="006A4CD7">
        <w:rPr>
          <w:rFonts w:cs="Times New Roman"/>
          <w:i/>
          <w:iCs/>
          <w:szCs w:val="24"/>
        </w:rPr>
        <w:t>Dutrisac</w:t>
      </w:r>
      <w:proofErr w:type="spellEnd"/>
      <w:r w:rsidRPr="006A4CD7">
        <w:rPr>
          <w:rFonts w:cs="Times New Roman"/>
          <w:i/>
          <w:iCs/>
          <w:szCs w:val="24"/>
        </w:rPr>
        <w:t xml:space="preserve"> v. Caterpillar Tractor Co.</w:t>
      </w:r>
      <w:r w:rsidRPr="006A4CD7">
        <w:rPr>
          <w:rFonts w:cs="Times New Roman"/>
          <w:szCs w:val="24"/>
        </w:rPr>
        <w:t xml:space="preserve">, 749 F.2d 1270 (9th Cir. 1983) (holding that attorneys’ fees are in fact compensatory damages for breach of duty to represent). When an employee proves both a breach of the duty of fair representation and a violation of the collective bargaining agreement, the union must pay attorneys’ fees incurred by the employee in his suit against the employer and the union.  </w:t>
      </w:r>
      <w:r w:rsidRPr="006A4CD7">
        <w:rPr>
          <w:rFonts w:cs="Times New Roman"/>
          <w:i/>
          <w:iCs/>
          <w:szCs w:val="24"/>
        </w:rPr>
        <w:t>See, e.g., Zuniga v. United Can Co.</w:t>
      </w:r>
      <w:r w:rsidRPr="006A4CD7">
        <w:rPr>
          <w:rFonts w:cs="Times New Roman"/>
          <w:szCs w:val="24"/>
        </w:rPr>
        <w:t>, 812 F.2d 443, 451-52, 455 (9th Cir. 1987) (attributing wrongfully-denied sick leave benefits to employer, and attorneys’ fees to union).</w:t>
      </w:r>
    </w:p>
    <w:p w14:paraId="377A7A20" w14:textId="77777777" w:rsidR="006A4CD7" w:rsidRPr="006A4CD7" w:rsidRDefault="006A4CD7" w:rsidP="0060759C">
      <w:pPr>
        <w:autoSpaceDE w:val="0"/>
        <w:autoSpaceDN w:val="0"/>
        <w:adjustRightInd w:val="0"/>
        <w:rPr>
          <w:rFonts w:cs="Times New Roman"/>
          <w:szCs w:val="24"/>
        </w:rPr>
      </w:pPr>
    </w:p>
    <w:p w14:paraId="70ABD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damages are apportioned between the employer and union according to the damage caused by each.  However, joint and several liability may be appropriate where the employer and union actively participated in each other’s breach.  </w:t>
      </w:r>
      <w:r w:rsidRPr="006A4CD7">
        <w:rPr>
          <w:rFonts w:cs="Times New Roman"/>
          <w:i/>
          <w:iCs/>
          <w:szCs w:val="24"/>
        </w:rPr>
        <w:t>Lewis v. Tuscan Dairy Farms, Inc.,</w:t>
      </w:r>
      <w:r w:rsidRPr="006A4CD7">
        <w:rPr>
          <w:rFonts w:cs="Times New Roman"/>
          <w:szCs w:val="24"/>
        </w:rPr>
        <w:t xml:space="preserve"> 25 F.3d 1138, 1145-46 (2d Cir. 1994); </w:t>
      </w:r>
      <w:proofErr w:type="spellStart"/>
      <w:r w:rsidRPr="006A4CD7">
        <w:rPr>
          <w:rFonts w:cs="Times New Roman"/>
          <w:i/>
          <w:iCs/>
          <w:szCs w:val="24"/>
        </w:rPr>
        <w:t>Aguinaga</w:t>
      </w:r>
      <w:proofErr w:type="spellEnd"/>
      <w:r w:rsidRPr="006A4CD7">
        <w:rPr>
          <w:rFonts w:cs="Times New Roman"/>
          <w:szCs w:val="24"/>
        </w:rPr>
        <w:t>, 993 F.2d at 1474-75.</w:t>
      </w:r>
    </w:p>
    <w:p w14:paraId="0C8FAC74" w14:textId="77777777" w:rsidR="006A4CD7" w:rsidRPr="006A4CD7" w:rsidRDefault="006A4CD7" w:rsidP="00673357"/>
    <w:p w14:paraId="7ED79E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r w:rsidRPr="006A4CD7">
        <w:rPr>
          <w:rFonts w:cs="Times New Roman"/>
          <w:szCs w:val="24"/>
        </w:rPr>
        <w:lastRenderedPageBreak/>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34BE21AA" w14:textId="1A993E1A" w:rsidR="006A4CD7" w:rsidRPr="006A4CD7" w:rsidRDefault="006A4CD7" w:rsidP="00BF5CD7">
      <w:pPr>
        <w:pStyle w:val="Heading1"/>
      </w:pPr>
      <w:r w:rsidRPr="006A4CD7">
        <w:br w:type="page"/>
      </w:r>
      <w:bookmarkStart w:id="236" w:name="_Toc117512521"/>
      <w:r w:rsidRPr="006A4CD7">
        <w:lastRenderedPageBreak/>
        <w:t>14.  ANTITRUST</w:t>
      </w:r>
      <w:bookmarkEnd w:id="236"/>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D50E982"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w:t>
      </w:r>
      <w:proofErr w:type="spellStart"/>
      <w:r w:rsidRPr="006A4CD7">
        <w:rPr>
          <w:rFonts w:cs="Times New Roman"/>
          <w:szCs w:val="24"/>
        </w:rPr>
        <w:t>ch.</w:t>
      </w:r>
      <w:proofErr w:type="spellEnd"/>
      <w:r w:rsidRPr="006A4CD7">
        <w:rPr>
          <w:rFonts w:cs="Times New Roman"/>
          <w:szCs w:val="24"/>
        </w:rPr>
        <w:t xml:space="preserve"> 79, 79.01–79.08 (</w:t>
      </w:r>
      <w:r w:rsidRPr="006A4CD7">
        <w:rPr>
          <w:rFonts w:cs="Times New Roman"/>
          <w:i/>
          <w:iCs/>
          <w:szCs w:val="24"/>
        </w:rPr>
        <w:t>Restraint of Trade</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80, 80.01–80.03 (</w:t>
      </w:r>
      <w:r w:rsidRPr="006A4CD7">
        <w:rPr>
          <w:rFonts w:cs="Times New Roman"/>
          <w:i/>
          <w:iCs/>
          <w:szCs w:val="24"/>
        </w:rPr>
        <w:t>Monopolization</w:t>
      </w:r>
      <w:r w:rsidRPr="006A4CD7">
        <w:rPr>
          <w:rFonts w:cs="Times New Roman"/>
          <w:szCs w:val="24"/>
        </w:rPr>
        <w:t xml:space="preserve">); </w:t>
      </w:r>
      <w:proofErr w:type="spellStart"/>
      <w:r w:rsidRPr="006A4CD7">
        <w:rPr>
          <w:rFonts w:cs="Times New Roman"/>
          <w:szCs w:val="24"/>
        </w:rPr>
        <w:t>ch.</w:t>
      </w:r>
      <w:proofErr w:type="spellEnd"/>
      <w:r w:rsidRPr="006A4CD7">
        <w:rPr>
          <w:rFonts w:cs="Times New Roman"/>
          <w:szCs w:val="24"/>
        </w:rPr>
        <w:t xml:space="preserve"> 81,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4002E940" w:rsidR="006A4CD7" w:rsidRPr="006A4CD7" w:rsidRDefault="006A4CD7" w:rsidP="00BF5CD7">
      <w:pPr>
        <w:pStyle w:val="Heading1"/>
      </w:pPr>
      <w:bookmarkStart w:id="237" w:name="_15._TRADEMARK"/>
      <w:bookmarkEnd w:id="237"/>
      <w:r w:rsidRPr="006A4CD7">
        <w:br w:type="page"/>
      </w:r>
      <w:bookmarkStart w:id="238" w:name="_Toc117512522"/>
      <w:r w:rsidRPr="006A4CD7">
        <w:lastRenderedPageBreak/>
        <w:t>15. TRADEMARK</w:t>
      </w:r>
      <w:bookmarkEnd w:id="238"/>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292E95C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r w:rsidR="00D934FC">
        <w:rPr>
          <w:rFonts w:cs="Times New Roman"/>
          <w:szCs w:val="24"/>
        </w:rPr>
        <w:t xml:space="preserve"> </w:t>
      </w:r>
      <w:r w:rsidR="00D934FC" w:rsidRPr="00D934FC">
        <w:rPr>
          <w:rFonts w:cs="Times New Roman"/>
          <w:szCs w:val="24"/>
        </w:rPr>
        <w:t>(15 U.S.C. § 1127)</w:t>
      </w:r>
    </w:p>
    <w:p w14:paraId="4C113C2D" w14:textId="418E7D8A"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r w:rsidR="00D934FC">
        <w:rPr>
          <w:rFonts w:cs="Times New Roman"/>
          <w:szCs w:val="24"/>
        </w:rPr>
        <w:t xml:space="preserve"> </w:t>
      </w:r>
      <w:r w:rsidR="00D934FC" w:rsidRPr="00D934FC">
        <w:rPr>
          <w:rFonts w:cs="Times New Roman"/>
          <w:szCs w:val="24"/>
        </w:rPr>
        <w:t>(15 U.S.C. § 1125(</w:t>
      </w:r>
      <w:r w:rsidR="00F9611C">
        <w:rPr>
          <w:rFonts w:cs="Times New Roman"/>
          <w:szCs w:val="24"/>
        </w:rPr>
        <w:t>a</w:t>
      </w:r>
      <w:r w:rsidR="00D934FC" w:rsidRPr="00D934FC">
        <w:rPr>
          <w:rFonts w:cs="Times New Roman"/>
          <w:szCs w:val="24"/>
        </w:rPr>
        <w:t>))</w:t>
      </w:r>
    </w:p>
    <w:p w14:paraId="4C3E78B7" w14:textId="3DA95B1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r w:rsidR="00D934FC">
        <w:rPr>
          <w:rFonts w:cs="Times New Roman"/>
          <w:szCs w:val="24"/>
        </w:rPr>
        <w:t xml:space="preserve"> </w:t>
      </w:r>
      <w:r w:rsidR="00D934FC" w:rsidRPr="00D934FC">
        <w:rPr>
          <w:rFonts w:cs="Times New Roman"/>
          <w:szCs w:val="24"/>
        </w:rPr>
        <w:t>(15 U.S.C. § 1127)</w:t>
      </w:r>
    </w:p>
    <w:p w14:paraId="13A9F3AD" w14:textId="5CBBE75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r w:rsidR="00D934FC">
        <w:rPr>
          <w:rFonts w:cs="Times New Roman"/>
          <w:szCs w:val="24"/>
        </w:rPr>
        <w:t xml:space="preserve"> </w:t>
      </w:r>
      <w:r w:rsidR="00D934FC" w:rsidRPr="00D934FC">
        <w:rPr>
          <w:rFonts w:cs="Times New Roman"/>
          <w:szCs w:val="24"/>
        </w:rPr>
        <w:t>(15 U.S.C. §§ 1114(1), 1125(</w:t>
      </w:r>
      <w:r w:rsidR="00F9611C">
        <w:rPr>
          <w:rFonts w:cs="Times New Roman"/>
          <w:szCs w:val="24"/>
        </w:rPr>
        <w:t>a</w:t>
      </w:r>
      <w:r w:rsidR="00D934FC" w:rsidRPr="00D934FC">
        <w:rPr>
          <w:rFonts w:cs="Times New Roman"/>
          <w:szCs w:val="24"/>
        </w:rPr>
        <w:t>))</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3DEF419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r w:rsidR="003B01C3">
        <w:rPr>
          <w:rFonts w:cs="Times New Roman"/>
          <w:szCs w:val="24"/>
        </w:rPr>
        <w:t xml:space="preserve"> </w:t>
      </w:r>
      <w:r w:rsidR="003B01C3" w:rsidRPr="00D934FC">
        <w:rPr>
          <w:rFonts w:cs="Times New Roman"/>
          <w:szCs w:val="24"/>
        </w:rPr>
        <w:t>(15 U.S.C. § 1</w:t>
      </w:r>
      <w:r w:rsidR="003B01C3">
        <w:rPr>
          <w:rFonts w:cs="Times New Roman"/>
          <w:szCs w:val="24"/>
        </w:rPr>
        <w:t>060</w:t>
      </w:r>
      <w:r w:rsidR="003B01C3" w:rsidRPr="00D934FC">
        <w:rPr>
          <w:rFonts w:cs="Times New Roman"/>
          <w:szCs w:val="24"/>
        </w:rPr>
        <w:t>)</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proofErr w:type="spellStart"/>
      <w:r w:rsidRPr="006A4CD7">
        <w:rPr>
          <w:rFonts w:cs="Times New Roman"/>
          <w:i/>
          <w:iCs/>
          <w:szCs w:val="24"/>
        </w:rPr>
        <w:t>Sleekcraft</w:t>
      </w:r>
      <w:proofErr w:type="spellEnd"/>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1B0F2CE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r w:rsidR="003B01C3">
        <w:rPr>
          <w:rFonts w:cs="Times New Roman"/>
          <w:szCs w:val="24"/>
        </w:rPr>
        <w:t xml:space="preserve"> </w:t>
      </w:r>
      <w:r w:rsidR="003B01C3" w:rsidRPr="00D934FC">
        <w:rPr>
          <w:rFonts w:cs="Times New Roman"/>
          <w:szCs w:val="24"/>
        </w:rPr>
        <w:t>(15 U.S.C. § 11</w:t>
      </w:r>
      <w:r w:rsidR="003B01C3">
        <w:rPr>
          <w:rFonts w:cs="Times New Roman"/>
          <w:szCs w:val="24"/>
        </w:rPr>
        <w:t>15(b)(5))</w:t>
      </w:r>
    </w:p>
    <w:p w14:paraId="1CC74084" w14:textId="0A1B16C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w:t>
      </w:r>
      <w:r w:rsidR="0087201A" w:rsidRPr="006A4CD7">
        <w:rPr>
          <w:rFonts w:cs="Times New Roman"/>
          <w:szCs w:val="24"/>
        </w:rPr>
        <w:t>— “</w:t>
      </w:r>
      <w:r w:rsidRPr="006A4CD7">
        <w:rPr>
          <w:rFonts w:cs="Times New Roman"/>
          <w:szCs w:val="24"/>
        </w:rPr>
        <w:t>Classic” Fair Use</w:t>
      </w:r>
      <w:r w:rsidR="003B01C3">
        <w:rPr>
          <w:rFonts w:cs="Times New Roman"/>
          <w:szCs w:val="24"/>
        </w:rPr>
        <w:t xml:space="preserve"> </w:t>
      </w:r>
      <w:r w:rsidR="003B01C3" w:rsidRPr="00D934FC">
        <w:rPr>
          <w:rFonts w:cs="Times New Roman"/>
          <w:szCs w:val="24"/>
        </w:rPr>
        <w:t>(15 U.S.C. § 11</w:t>
      </w:r>
      <w:r w:rsidR="003B01C3">
        <w:rPr>
          <w:rFonts w:cs="Times New Roman"/>
          <w:szCs w:val="24"/>
        </w:rPr>
        <w:t>15(b)(4)</w:t>
      </w:r>
      <w:r w:rsidR="003B01C3" w:rsidRPr="00D934FC">
        <w:rPr>
          <w:rFonts w:cs="Times New Roman"/>
          <w:szCs w:val="24"/>
        </w:rPr>
        <w:t>)</w:t>
      </w:r>
    </w:p>
    <w:p w14:paraId="2302D2BC" w14:textId="0055224A" w:rsid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5D111239" w14:textId="570E4B8D" w:rsidR="009E6FE5" w:rsidRPr="006A4CD7" w:rsidRDefault="009E6FE5" w:rsidP="0060759C">
      <w:pPr>
        <w:autoSpaceDE w:val="0"/>
        <w:autoSpaceDN w:val="0"/>
        <w:adjustRightInd w:val="0"/>
        <w:ind w:left="900" w:hanging="900"/>
        <w:rPr>
          <w:rFonts w:cs="Times New Roman"/>
          <w:szCs w:val="24"/>
        </w:rPr>
      </w:pPr>
      <w:r>
        <w:rPr>
          <w:rFonts w:cs="Times New Roman"/>
          <w:szCs w:val="24"/>
        </w:rPr>
        <w:t>15.2</w:t>
      </w:r>
      <w:r w:rsidR="00A57FF2">
        <w:rPr>
          <w:rFonts w:cs="Times New Roman"/>
          <w:szCs w:val="24"/>
        </w:rPr>
        <w:t>5A</w:t>
      </w:r>
      <w:r>
        <w:rPr>
          <w:rFonts w:cs="Times New Roman"/>
          <w:szCs w:val="24"/>
        </w:rPr>
        <w:tab/>
        <w:t>Defenses</w:t>
      </w:r>
      <w:r w:rsidRPr="006A4CD7">
        <w:rPr>
          <w:rFonts w:cs="Times New Roman"/>
          <w:szCs w:val="24"/>
        </w:rPr>
        <w:t>—</w:t>
      </w:r>
      <w:r>
        <w:rPr>
          <w:rFonts w:cs="Times New Roman"/>
          <w:szCs w:val="24"/>
        </w:rPr>
        <w:t>First Sale</w:t>
      </w:r>
    </w:p>
    <w:p w14:paraId="3E5B346A" w14:textId="5F10402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A57FF2">
        <w:rPr>
          <w:rFonts w:cs="Times New Roman"/>
          <w:szCs w:val="24"/>
        </w:rPr>
        <w:t>6</w:t>
      </w:r>
      <w:r w:rsidRPr="006A4CD7">
        <w:rPr>
          <w:rFonts w:cs="Times New Roman"/>
          <w:szCs w:val="24"/>
        </w:rPr>
        <w:tab/>
        <w:t>Trademark Damages—Actual or Statutory Notice</w:t>
      </w:r>
      <w:r w:rsidR="003B01C3">
        <w:rPr>
          <w:rFonts w:cs="Times New Roman"/>
          <w:szCs w:val="24"/>
        </w:rPr>
        <w:t xml:space="preserve"> </w:t>
      </w:r>
      <w:r w:rsidR="003B01C3" w:rsidRPr="00D934FC">
        <w:rPr>
          <w:rFonts w:cs="Times New Roman"/>
          <w:szCs w:val="24"/>
        </w:rPr>
        <w:t>(15 U.S.C. § 11</w:t>
      </w:r>
      <w:r w:rsidR="003B01C3">
        <w:rPr>
          <w:rFonts w:cs="Times New Roman"/>
          <w:szCs w:val="24"/>
        </w:rPr>
        <w:t>11</w:t>
      </w:r>
      <w:r w:rsidR="003B01C3" w:rsidRPr="00D934FC">
        <w:rPr>
          <w:rFonts w:cs="Times New Roman"/>
          <w:szCs w:val="24"/>
        </w:rPr>
        <w:t>)</w:t>
      </w:r>
    </w:p>
    <w:p w14:paraId="4BF6903D" w14:textId="387A6C8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A57FF2">
        <w:rPr>
          <w:rFonts w:cs="Times New Roman"/>
          <w:szCs w:val="24"/>
        </w:rPr>
        <w:t>7</w:t>
      </w:r>
      <w:r w:rsidRPr="006A4CD7">
        <w:rPr>
          <w:rFonts w:cs="Times New Roman"/>
          <w:szCs w:val="24"/>
        </w:rPr>
        <w:tab/>
        <w:t>Trademark Damages—Plaintiff’s Actual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4D0843CF" w14:textId="1629471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00A57FF2">
        <w:rPr>
          <w:rFonts w:cs="Times New Roman"/>
          <w:szCs w:val="24"/>
        </w:rPr>
        <w:t>8</w:t>
      </w:r>
      <w:r w:rsidRPr="006A4CD7">
        <w:rPr>
          <w:rFonts w:cs="Times New Roman"/>
          <w:szCs w:val="24"/>
        </w:rPr>
        <w:tab/>
        <w:t>Trademark Damages—Plaintiff's Statutory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(c) and (d)</w:t>
      </w:r>
      <w:r w:rsidR="003B01C3" w:rsidRPr="00D934FC">
        <w:rPr>
          <w:rFonts w:cs="Times New Roman"/>
          <w:szCs w:val="24"/>
        </w:rPr>
        <w:t>)</w:t>
      </w:r>
    </w:p>
    <w:p w14:paraId="511E3942" w14:textId="2456B0B8"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w:t>
      </w:r>
      <w:r w:rsidR="00A57FF2">
        <w:rPr>
          <w:rFonts w:cs="Times New Roman"/>
          <w:szCs w:val="24"/>
        </w:rPr>
        <w:t>29</w:t>
      </w:r>
      <w:r w:rsidRPr="006A4CD7">
        <w:rPr>
          <w:rFonts w:cs="Times New Roman"/>
          <w:szCs w:val="24"/>
        </w:rPr>
        <w:tab/>
        <w:t>Trademark Damages—Defendant’s Profits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0F8789BF" w14:textId="4F8B4682"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00A57FF2">
        <w:rPr>
          <w:rFonts w:cs="Times New Roman"/>
          <w:szCs w:val="24"/>
        </w:rPr>
        <w:t>0</w:t>
      </w:r>
      <w:r w:rsidRPr="006A4CD7">
        <w:rPr>
          <w:rFonts w:cs="Times New Roman"/>
          <w:szCs w:val="24"/>
        </w:rPr>
        <w:tab/>
        <w:t>Trademark Dilution</w:t>
      </w:r>
      <w:r w:rsidR="003B01C3">
        <w:rPr>
          <w:rFonts w:cs="Times New Roman"/>
          <w:szCs w:val="24"/>
        </w:rPr>
        <w:t xml:space="preserve"> </w:t>
      </w:r>
      <w:r w:rsidR="003B01C3" w:rsidRPr="00D934FC">
        <w:rPr>
          <w:rFonts w:cs="Times New Roman"/>
          <w:szCs w:val="24"/>
        </w:rPr>
        <w:t>(15 U.S.C. § 11</w:t>
      </w:r>
      <w:r w:rsidR="003B01C3">
        <w:rPr>
          <w:rFonts w:cs="Times New Roman"/>
          <w:szCs w:val="24"/>
        </w:rPr>
        <w:t>25(c)</w:t>
      </w:r>
      <w:r w:rsidR="003B01C3" w:rsidRPr="00D934FC">
        <w:rPr>
          <w:rFonts w:cs="Times New Roman"/>
          <w:szCs w:val="24"/>
        </w:rPr>
        <w:t>)</w:t>
      </w:r>
    </w:p>
    <w:p w14:paraId="160B9284" w14:textId="4185CB18" w:rsidR="006A4CD7" w:rsidRPr="006A4CD7" w:rsidRDefault="006A4CD7" w:rsidP="00F9611C">
      <w:pPr>
        <w:autoSpaceDE w:val="0"/>
        <w:autoSpaceDN w:val="0"/>
        <w:adjustRightInd w:val="0"/>
        <w:ind w:left="900" w:hanging="900"/>
        <w:rPr>
          <w:rFonts w:cs="Times New Roman"/>
          <w:szCs w:val="24"/>
        </w:rPr>
      </w:pPr>
      <w:r w:rsidRPr="006A4CD7">
        <w:rPr>
          <w:rFonts w:cs="Times New Roman"/>
          <w:szCs w:val="24"/>
        </w:rPr>
        <w:t>15.3</w:t>
      </w:r>
      <w:r w:rsidR="00A57FF2">
        <w:rPr>
          <w:rFonts w:cs="Times New Roman"/>
          <w:szCs w:val="24"/>
        </w:rPr>
        <w:t>1</w:t>
      </w:r>
      <w:r w:rsidRPr="006A4CD7">
        <w:rPr>
          <w:rFonts w:cs="Times New Roman"/>
          <w:szCs w:val="24"/>
        </w:rPr>
        <w:tab/>
        <w:t>Anti-Cybersquatting</w:t>
      </w:r>
      <w:r w:rsidR="003B01C3">
        <w:rPr>
          <w:rFonts w:cs="Times New Roman"/>
          <w:szCs w:val="24"/>
        </w:rPr>
        <w:t xml:space="preserve"> </w:t>
      </w:r>
      <w:r w:rsidR="003B01C3" w:rsidRPr="00D934FC">
        <w:rPr>
          <w:rFonts w:cs="Times New Roman"/>
          <w:szCs w:val="24"/>
        </w:rPr>
        <w:t>(15 U.S.C. § 11</w:t>
      </w:r>
      <w:r w:rsidR="003B01C3">
        <w:rPr>
          <w:rFonts w:cs="Times New Roman"/>
          <w:szCs w:val="24"/>
        </w:rPr>
        <w:t>25(d)</w:t>
      </w:r>
      <w:r w:rsidR="003B01C3" w:rsidRPr="00D934FC">
        <w:rPr>
          <w:rFonts w:cs="Times New Roman"/>
          <w:szCs w:val="24"/>
        </w:rPr>
        <w:t>)</w:t>
      </w:r>
    </w:p>
    <w:p w14:paraId="23B54078" w14:textId="77777777" w:rsidR="00F9611C" w:rsidRDefault="00F9611C" w:rsidP="0060759C">
      <w:pPr>
        <w:autoSpaceDE w:val="0"/>
        <w:autoSpaceDN w:val="0"/>
        <w:adjustRightInd w:val="0"/>
        <w:jc w:val="center"/>
        <w:rPr>
          <w:rFonts w:cs="Times New Roman"/>
          <w:szCs w:val="24"/>
        </w:rPr>
      </w:pPr>
    </w:p>
    <w:p w14:paraId="13FC913E" w14:textId="67E93889" w:rsidR="00673357" w:rsidRPr="0087201A" w:rsidRDefault="0087201A" w:rsidP="0087201A">
      <w:pPr>
        <w:spacing w:after="160" w:line="259" w:lineRule="auto"/>
        <w:jc w:val="center"/>
        <w:rPr>
          <w:rFonts w:cs="Times New Roman"/>
          <w:szCs w:val="24"/>
        </w:rPr>
      </w:pPr>
      <w:r w:rsidRPr="0087201A">
        <w:rPr>
          <w:rFonts w:cs="Times New Roman"/>
          <w:szCs w:val="24"/>
        </w:rPr>
        <w:t>____________________</w:t>
      </w:r>
      <w:r w:rsidR="00673357" w:rsidRPr="0087201A">
        <w:rPr>
          <w:rFonts w:cs="Times New Roman"/>
          <w:szCs w:val="24"/>
        </w:rPr>
        <w:br w:type="page"/>
      </w:r>
    </w:p>
    <w:p w14:paraId="5B5CB5DD" w14:textId="6E18AC9C" w:rsidR="006A4CD7" w:rsidRPr="006A4CD7" w:rsidRDefault="006A4CD7" w:rsidP="00673357">
      <w:pPr>
        <w:pStyle w:val="Heading2"/>
      </w:pPr>
      <w:bookmarkStart w:id="239" w:name="_Toc117512523"/>
      <w:r w:rsidRPr="006A4CD7">
        <w:lastRenderedPageBreak/>
        <w:t xml:space="preserve">15.1 </w:t>
      </w:r>
      <w:r w:rsidR="00D934FC" w:rsidRPr="00D934FC">
        <w:t>Preliminary Instruction—Trademark</w:t>
      </w:r>
      <w:bookmarkEnd w:id="239"/>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286BB43E"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exclude </w:t>
      </w:r>
    </w:p>
    <w:p w14:paraId="4CDCD19B" w14:textId="3A60A376"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trademark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insert other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17444F0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w:t>
      </w:r>
    </w:p>
    <w:p w14:paraId="28CFF642" w14:textId="77777777" w:rsidR="00922594" w:rsidRDefault="00922594" w:rsidP="0060759C">
      <w:pPr>
        <w:autoSpaceDE w:val="0"/>
        <w:autoSpaceDN w:val="0"/>
        <w:adjustRightInd w:val="0"/>
        <w:rPr>
          <w:rFonts w:cs="Times New Roman"/>
          <w:szCs w:val="24"/>
        </w:rPr>
      </w:pPr>
    </w:p>
    <w:p w14:paraId="0C9367F9" w14:textId="4D2714B2" w:rsidR="006A4CD7" w:rsidRDefault="006A4CD7" w:rsidP="0060759C">
      <w:pPr>
        <w:autoSpaceDE w:val="0"/>
        <w:autoSpaceDN w:val="0"/>
        <w:adjustRightInd w:val="0"/>
        <w:rPr>
          <w:rFonts w:cs="Times New Roman"/>
          <w:szCs w:val="24"/>
        </w:rPr>
      </w:pPr>
      <w:r w:rsidRPr="006A4CD7">
        <w:rPr>
          <w:rFonts w:cs="Times New Roman"/>
          <w:szCs w:val="24"/>
        </w:rPr>
        <w:lastRenderedPageBreak/>
        <w:t xml:space="preserve">“certification mark” may be substituted. </w:t>
      </w:r>
    </w:p>
    <w:p w14:paraId="6F51DEE2" w14:textId="77777777" w:rsidR="00922594" w:rsidRPr="006A4CD7" w:rsidRDefault="00922594"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A5B421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w:t>
      </w:r>
      <w:r w:rsidR="0087201A" w:rsidRPr="006A4CD7">
        <w:rPr>
          <w:rFonts w:cs="Times New Roman"/>
          <w:szCs w:val="24"/>
        </w:rPr>
        <w:t>in</w:t>
      </w:r>
      <w:r w:rsidRPr="006A4CD7">
        <w:rPr>
          <w:rFonts w:cs="Times New Roman"/>
          <w:szCs w:val="24"/>
        </w:rPr>
        <w:t xml:space="preserve">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4C324D50" w:rsidR="006A4CD7" w:rsidRPr="006A4CD7" w:rsidRDefault="006A4CD7" w:rsidP="00673357">
      <w:pPr>
        <w:pStyle w:val="Heading2"/>
      </w:pPr>
      <w:r w:rsidRPr="006A4CD7">
        <w:br w:type="page"/>
      </w:r>
      <w:bookmarkStart w:id="240" w:name="_Toc117512524"/>
      <w:r w:rsidRPr="006A4CD7">
        <w:lastRenderedPageBreak/>
        <w:t xml:space="preserve">15.2 </w:t>
      </w:r>
      <w:r w:rsidR="00D934FC" w:rsidRPr="00D934FC">
        <w:t>Definition—Trademark (15 U.S.C. § 1127)</w:t>
      </w:r>
      <w:bookmarkEnd w:id="240"/>
    </w:p>
    <w:p w14:paraId="7528AE37" w14:textId="77777777" w:rsidR="006A4CD7" w:rsidRPr="006A4CD7" w:rsidRDefault="006A4CD7" w:rsidP="00673357"/>
    <w:p w14:paraId="34B06E1D" w14:textId="7ACC3581" w:rsidR="006A4CD7" w:rsidRDefault="006A4CD7" w:rsidP="006964C1">
      <w:r w:rsidRPr="006A4CD7">
        <w:tab/>
        <w:t>A trademark is any word, name, symbol, device</w:t>
      </w:r>
      <w:r w:rsidR="003B01C3">
        <w:t xml:space="preserve"> </w:t>
      </w:r>
      <w:r w:rsidRPr="006A4CD7">
        <w:t xml:space="preserv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phrase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word or sign, entitles it to protection.  </w:t>
      </w:r>
      <w:r w:rsidRPr="006A4CD7">
        <w:rPr>
          <w:i/>
          <w:iCs/>
        </w:rPr>
        <w:t xml:space="preserve">See </w:t>
      </w:r>
      <w:proofErr w:type="spellStart"/>
      <w:r w:rsidRPr="006A4CD7">
        <w:rPr>
          <w:i/>
          <w:iCs/>
        </w:rPr>
        <w:t>Qualitex</w:t>
      </w:r>
      <w:proofErr w:type="spellEnd"/>
      <w:r w:rsidRPr="006A4CD7">
        <w:rPr>
          <w:i/>
          <w:iCs/>
        </w:rPr>
        <w:t xml:space="preserve">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DD96B8F" w14:textId="1678B5DD"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“Generally speaking, a service mark is a distinctive mark used in connection with the sale or advertising of services </w:t>
      </w:r>
      <w:r w:rsidR="0087201A" w:rsidRPr="006A4CD7">
        <w:rPr>
          <w:rFonts w:cs="Times New Roman"/>
          <w:szCs w:val="24"/>
        </w:rPr>
        <w:t>. . ..</w:t>
      </w:r>
      <w:r w:rsidRPr="006A4CD7">
        <w:rPr>
          <w:rFonts w:cs="Times New Roman"/>
          <w:szCs w:val="24"/>
        </w:rPr>
        <w:t xml:space="preserve">” </w:t>
      </w:r>
      <w:r w:rsidRPr="006A4CD7">
        <w:rPr>
          <w:rFonts w:cs="Times New Roman"/>
          <w:i/>
          <w:iCs/>
          <w:szCs w:val="24"/>
        </w:rPr>
        <w:t>American Int’l Group v. American Int’l Bank</w:t>
      </w:r>
      <w:r w:rsidRPr="006A4CD7">
        <w:rPr>
          <w:rFonts w:cs="Times New Roman"/>
          <w:szCs w:val="24"/>
        </w:rPr>
        <w:t xml:space="preserve">, 926 F.2d 829, 830 n.1 (9th Cir. 1991). </w:t>
      </w: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lastRenderedPageBreak/>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Robi</w:t>
      </w:r>
      <w:proofErr w:type="spellEnd"/>
      <w:r w:rsidRPr="006A4CD7">
        <w:rPr>
          <w:rFonts w:cs="Times New Roman"/>
          <w:i/>
          <w:iCs/>
          <w:szCs w:val="24"/>
        </w:rPr>
        <w:t xml:space="preserve">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lastRenderedPageBreak/>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08B23ADC" w14:textId="4F4B1350" w:rsidR="006A4CD7" w:rsidRDefault="006A4CD7" w:rsidP="007A6519">
      <w:pPr>
        <w:pStyle w:val="Heading2"/>
      </w:pPr>
      <w:r w:rsidRPr="006A4CD7">
        <w:br w:type="page"/>
      </w:r>
      <w:bookmarkStart w:id="241" w:name="_Toc117512525"/>
      <w:r w:rsidRPr="006A4CD7">
        <w:lastRenderedPageBreak/>
        <w:t xml:space="preserve">15.3 </w:t>
      </w:r>
      <w:r w:rsidR="00D934FC" w:rsidRPr="00D934FC">
        <w:t>Definition—Trade Dress (15 U.S.C. § 1125(</w:t>
      </w:r>
      <w:r w:rsidR="00D934FC">
        <w:t>a</w:t>
      </w:r>
      <w:r w:rsidR="00D934FC" w:rsidRPr="00D934FC">
        <w:t>))</w:t>
      </w:r>
      <w:bookmarkEnd w:id="241"/>
      <w:r w:rsidRPr="006A4CD7">
        <w:t xml:space="preserve"> </w:t>
      </w:r>
    </w:p>
    <w:p w14:paraId="17885858" w14:textId="77777777" w:rsidR="00D934FC" w:rsidRPr="00D934FC" w:rsidRDefault="00D934FC" w:rsidP="00D934FC"/>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DC013E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w:t>
      </w:r>
      <w:r w:rsidR="0087201A" w:rsidRPr="006A4CD7">
        <w:rPr>
          <w:rFonts w:cs="Times New Roman"/>
          <w:szCs w:val="24"/>
        </w:rPr>
        <w:t>distinctiveness,</w:t>
      </w:r>
      <w:r w:rsidRPr="006A4CD7">
        <w:rPr>
          <w:rFonts w:cs="Times New Roman"/>
          <w:szCs w:val="24"/>
        </w:rPr>
        <w:t xml:space="preserve">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proofErr w:type="spellStart"/>
      <w:r w:rsidRPr="006A4CD7">
        <w:rPr>
          <w:rFonts w:cs="Times New Roman"/>
          <w:i/>
          <w:iCs/>
          <w:szCs w:val="24"/>
        </w:rPr>
        <w:t>Traffix</w:t>
      </w:r>
      <w:proofErr w:type="spellEnd"/>
      <w:r w:rsidRPr="006A4CD7">
        <w:rPr>
          <w:rFonts w:cs="Times New Roman"/>
          <w:i/>
          <w:iCs/>
          <w:szCs w:val="24"/>
        </w:rPr>
        <w:t xml:space="preserve">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w:t>
      </w:r>
      <w:r w:rsidR="003B01C3">
        <w:rPr>
          <w:rFonts w:cs="Times New Roman"/>
          <w:szCs w:val="24"/>
        </w:rPr>
        <w:t>,</w:t>
      </w:r>
      <w:r w:rsidRPr="006A4CD7">
        <w:rPr>
          <w:rFonts w:cs="Times New Roman"/>
          <w:szCs w:val="24"/>
        </w:rPr>
        <w:t xml:space="preserve">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Depending on the particular good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53A0731C" w14:textId="77777777" w:rsidR="009412F2"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manner in which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trade </w:t>
      </w:r>
    </w:p>
    <w:p w14:paraId="2D5A6F59" w14:textId="47EC69B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lastRenderedPageBreak/>
        <w:t xml:space="preserve">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proofErr w:type="spellStart"/>
      <w:r w:rsidRPr="006A4CD7">
        <w:rPr>
          <w:rFonts w:cs="Times New Roman"/>
          <w:i/>
          <w:iCs/>
          <w:szCs w:val="24"/>
        </w:rPr>
        <w:t>Millenium</w:t>
      </w:r>
      <w:proofErr w:type="spellEnd"/>
      <w:r w:rsidRPr="006A4CD7">
        <w:rPr>
          <w:rFonts w:cs="Times New Roman"/>
          <w:i/>
          <w:iCs/>
          <w:szCs w:val="24"/>
        </w:rPr>
        <w:t xml:space="preserve"> Labs., Inc. v. </w:t>
      </w:r>
      <w:proofErr w:type="spellStart"/>
      <w:r w:rsidRPr="006A4CD7">
        <w:rPr>
          <w:rFonts w:cs="Times New Roman"/>
          <w:i/>
          <w:iCs/>
          <w:szCs w:val="24"/>
        </w:rPr>
        <w:t>Ameritox</w:t>
      </w:r>
      <w:proofErr w:type="spellEnd"/>
      <w:r w:rsidRPr="006A4CD7">
        <w:rPr>
          <w:rFonts w:cs="Times New Roman"/>
          <w:i/>
          <w:iCs/>
          <w:szCs w:val="24"/>
        </w:rPr>
        <w:t>,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w:t>
      </w:r>
      <w:proofErr w:type="spellStart"/>
      <w:r w:rsidRPr="006A4CD7">
        <w:rPr>
          <w:rFonts w:cs="Times New Roman"/>
          <w:i/>
          <w:iCs/>
          <w:szCs w:val="24"/>
        </w:rPr>
        <w:t>Meville</w:t>
      </w:r>
      <w:proofErr w:type="spellEnd"/>
      <w:r w:rsidRPr="006A4CD7">
        <w:rPr>
          <w:rFonts w:cs="Times New Roman"/>
          <w:i/>
          <w:iCs/>
          <w:szCs w:val="24"/>
        </w:rPr>
        <w:t xml:space="preserv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In this case, you will hear evidence about the manner in which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 xml:space="preserve">Clicks Billiards Inc. v. </w:t>
      </w:r>
      <w:proofErr w:type="spellStart"/>
      <w:r w:rsidRPr="006A4CD7">
        <w:rPr>
          <w:rFonts w:cs="Times New Roman"/>
          <w:i/>
          <w:iCs/>
          <w:szCs w:val="24"/>
        </w:rPr>
        <w:t>Sixshooters</w:t>
      </w:r>
      <w:proofErr w:type="spellEnd"/>
      <w:r w:rsidRPr="006A4CD7">
        <w:rPr>
          <w:rFonts w:cs="Times New Roman"/>
          <w:i/>
          <w:iCs/>
          <w:szCs w:val="24"/>
        </w:rPr>
        <w:t xml:space="preserve"> Inc</w:t>
      </w:r>
      <w:r w:rsidRPr="006A4CD7">
        <w:rPr>
          <w:rFonts w:cs="Times New Roman"/>
          <w:szCs w:val="24"/>
        </w:rPr>
        <w:t>., 251 F.3d 1252, 1258-59 (9th Cir. 2001) (providing definition of trade dress).</w:t>
      </w:r>
    </w:p>
    <w:p w14:paraId="5738A37D" w14:textId="1FC1817C" w:rsidR="003964B4" w:rsidRDefault="006A4CD7" w:rsidP="007A6519">
      <w:pPr>
        <w:pStyle w:val="Heading2"/>
      </w:pPr>
      <w:r w:rsidRPr="006A4CD7">
        <w:br w:type="page"/>
      </w:r>
      <w:bookmarkStart w:id="242" w:name="_Toc117512526"/>
      <w:r w:rsidRPr="006A4CD7">
        <w:lastRenderedPageBreak/>
        <w:t xml:space="preserve">15.4 </w:t>
      </w:r>
      <w:r w:rsidR="00D934FC" w:rsidRPr="00D934FC">
        <w:t>Definition—Trade Name/Commercial Name</w:t>
      </w:r>
      <w:bookmarkEnd w:id="242"/>
      <w:r w:rsidR="00D934FC" w:rsidRPr="00D934FC">
        <w:t xml:space="preserve"> </w:t>
      </w:r>
    </w:p>
    <w:p w14:paraId="78B51578" w14:textId="78940139" w:rsidR="006A4CD7" w:rsidRPr="006964C1" w:rsidRDefault="00D934FC" w:rsidP="007A6519">
      <w:pPr>
        <w:pStyle w:val="Heading2"/>
      </w:pPr>
      <w:bookmarkStart w:id="243" w:name="_Toc117512527"/>
      <w:r w:rsidRPr="00D934FC">
        <w:t>(15 U.S.C. § 1127)</w:t>
      </w:r>
      <w:bookmarkEnd w:id="243"/>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business as a whole.  In contrast, trademarks and service marks are designed to identify and distinguish a company’s goods and services…As a practical matter, courts are rarely called upon to distinguish between trade names, trademarks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w:t>
      </w:r>
      <w:proofErr w:type="spellStart"/>
      <w:r w:rsidRPr="006A4CD7">
        <w:rPr>
          <w:rFonts w:cs="Times New Roman"/>
          <w:i/>
          <w:iCs/>
          <w:szCs w:val="24"/>
        </w:rPr>
        <w:t>Accuride</w:t>
      </w:r>
      <w:proofErr w:type="spellEnd"/>
      <w:r w:rsidRPr="006A4CD7">
        <w:rPr>
          <w:rFonts w:cs="Times New Roman"/>
          <w:i/>
          <w:iCs/>
          <w:szCs w:val="24"/>
        </w:rPr>
        <w:t xml:space="preserve"> Int’l v. </w:t>
      </w:r>
      <w:proofErr w:type="spellStart"/>
      <w:r w:rsidRPr="006A4CD7">
        <w:rPr>
          <w:rFonts w:cs="Times New Roman"/>
          <w:i/>
          <w:iCs/>
          <w:szCs w:val="24"/>
        </w:rPr>
        <w:t>Accuride</w:t>
      </w:r>
      <w:proofErr w:type="spellEnd"/>
      <w:r w:rsidRPr="006A4CD7">
        <w:rPr>
          <w:rFonts w:cs="Times New Roman"/>
          <w:i/>
          <w:iCs/>
          <w:szCs w:val="24"/>
        </w:rPr>
        <w:t xml:space="preserv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0FC4362F" w14:textId="0FC62856" w:rsidR="003964B4" w:rsidRDefault="006A4CD7" w:rsidP="006964C1">
      <w:pPr>
        <w:pStyle w:val="Heading2"/>
      </w:pPr>
      <w:r w:rsidRPr="006A4CD7">
        <w:br w:type="page"/>
      </w:r>
      <w:bookmarkStart w:id="244" w:name="_Toc117512528"/>
      <w:r w:rsidRPr="006A4CD7">
        <w:lastRenderedPageBreak/>
        <w:t xml:space="preserve">15.5 </w:t>
      </w:r>
      <w:r w:rsidR="002D3E69" w:rsidRPr="002D3E69">
        <w:t>Trademark Liability—Theories and Policies</w:t>
      </w:r>
      <w:bookmarkEnd w:id="244"/>
      <w:r w:rsidR="007A6519">
        <w:t xml:space="preserve"> </w:t>
      </w:r>
    </w:p>
    <w:p w14:paraId="699E2F76" w14:textId="3B33F0AC" w:rsidR="006A4CD7" w:rsidRPr="006A4CD7" w:rsidRDefault="006A4CD7" w:rsidP="006964C1">
      <w:pPr>
        <w:pStyle w:val="Heading2"/>
      </w:pPr>
      <w:bookmarkStart w:id="245" w:name="_Toc117512529"/>
      <w:r w:rsidRPr="006A4CD7">
        <w:t>(15 U.S.C. §§ 1114(1), 1125(a))</w:t>
      </w:r>
      <w:bookmarkEnd w:id="245"/>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vary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infringing plaintiff’s registered trademark rights, by using a trademark in a manner likely to cause confusion among consumers;</w:t>
      </w:r>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unfairly competing, by using a trademark in a manner likely to cause confusion as to the origin or quality of plaintiff’s goods;</w:t>
      </w:r>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goods;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infringing plaintiff’s trade name, by using similar corporate, business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6FBDF949" w:rsidR="006A4CD7" w:rsidRDefault="006A4CD7" w:rsidP="006964C1">
      <w:r w:rsidRPr="006A4CD7">
        <w:rPr>
          <w:rFonts w:ascii="VEYYM C+ Times New Roman," w:hAnsi="VEYYM C+ Times New Roman," w:cs="VEYYM C+ Times New Roman,"/>
        </w:rPr>
        <w:tab/>
      </w:r>
      <w:r w:rsidRPr="006A4CD7">
        <w:t>“The limited purpose of trademark protections set forth in the Lanham Trade-Mark Act, is to ‘avoid confusion in the marketplace’ by allowing a trademark owner to ‘</w:t>
      </w:r>
      <w:r w:rsidR="009412F2" w:rsidRPr="006A4CD7">
        <w:t>prevent [</w:t>
      </w:r>
      <w:r w:rsidRPr="006A4CD7">
        <w:t xml:space="preserve"> ] others from duping consumers into buying a product they mistakenly believe is sponsored by the trademark owner.’”  </w:t>
      </w:r>
      <w:r w:rsidRPr="006A4CD7">
        <w:rPr>
          <w:i/>
          <w:iCs/>
        </w:rPr>
        <w:t>Mattel, Inc. v. Walking Mountain Productions</w:t>
      </w:r>
      <w:r w:rsidRPr="006A4CD7">
        <w:t xml:space="preserve">,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(citations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39BB409D" w:rsidR="006A4CD7" w:rsidRPr="0087201A"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87201A">
        <w:rPr>
          <w:rFonts w:cs="Times New Roman"/>
          <w:szCs w:val="24"/>
        </w:rPr>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87201A">
        <w:rPr>
          <w:rFonts w:cs="Times New Roman"/>
          <w:i/>
          <w:iCs/>
          <w:szCs w:val="24"/>
        </w:rPr>
        <w:t>See Harper House Inc. v. Thomas Nelson, Inc</w:t>
      </w:r>
      <w:r w:rsidRPr="0087201A">
        <w:rPr>
          <w:rFonts w:cs="Times New Roman"/>
          <w:szCs w:val="24"/>
        </w:rPr>
        <w:t>., 889 F.2d 197 (9th Cir. 1989);</w:t>
      </w:r>
      <w:r w:rsidRPr="0087201A">
        <w:rPr>
          <w:rFonts w:cs="Times New Roman"/>
          <w:i/>
          <w:iCs/>
          <w:szCs w:val="24"/>
        </w:rPr>
        <w:t xml:space="preserve"> U-Haul Int’l v. </w:t>
      </w:r>
      <w:proofErr w:type="spellStart"/>
      <w:r w:rsidRPr="0087201A">
        <w:rPr>
          <w:rFonts w:cs="Times New Roman"/>
          <w:i/>
          <w:iCs/>
          <w:szCs w:val="24"/>
        </w:rPr>
        <w:t>Jartran</w:t>
      </w:r>
      <w:proofErr w:type="spellEnd"/>
      <w:r w:rsidRPr="0087201A">
        <w:rPr>
          <w:rFonts w:cs="Times New Roman"/>
          <w:i/>
          <w:iCs/>
          <w:szCs w:val="24"/>
        </w:rPr>
        <w:t>, Inc</w:t>
      </w:r>
      <w:r w:rsidRPr="0087201A">
        <w:rPr>
          <w:rFonts w:cs="Times New Roman"/>
          <w:szCs w:val="24"/>
        </w:rPr>
        <w:t xml:space="preserve">., 601 </w:t>
      </w:r>
      <w:proofErr w:type="spellStart"/>
      <w:r w:rsidRPr="0087201A">
        <w:rPr>
          <w:rFonts w:cs="Times New Roman"/>
          <w:szCs w:val="24"/>
        </w:rPr>
        <w:t>F.Supp</w:t>
      </w:r>
      <w:proofErr w:type="spellEnd"/>
      <w:r w:rsidRPr="0087201A">
        <w:rPr>
          <w:rFonts w:cs="Times New Roman"/>
          <w:szCs w:val="24"/>
        </w:rPr>
        <w:t xml:space="preserve">. 1140 (D. Ariz. 1984), </w:t>
      </w:r>
      <w:r w:rsidRPr="0087201A">
        <w:rPr>
          <w:rFonts w:cs="Times New Roman"/>
          <w:i/>
          <w:iCs/>
          <w:szCs w:val="24"/>
        </w:rPr>
        <w:t xml:space="preserve">aff’d in part, modified in part &amp; </w:t>
      </w:r>
      <w:proofErr w:type="spellStart"/>
      <w:r w:rsidRPr="0087201A">
        <w:rPr>
          <w:rFonts w:cs="Times New Roman"/>
          <w:i/>
          <w:iCs/>
          <w:szCs w:val="24"/>
        </w:rPr>
        <w:t>rev’d</w:t>
      </w:r>
      <w:proofErr w:type="spellEnd"/>
      <w:r w:rsidRPr="0087201A">
        <w:rPr>
          <w:rFonts w:cs="Times New Roman"/>
          <w:i/>
          <w:iCs/>
          <w:szCs w:val="24"/>
        </w:rPr>
        <w:t xml:space="preserve"> in part,</w:t>
      </w:r>
      <w:r w:rsidRPr="0087201A">
        <w:rPr>
          <w:rFonts w:cs="Times New Roman"/>
          <w:szCs w:val="24"/>
        </w:rPr>
        <w:t xml:space="preserve"> 793 F.2d 1034 (9th Cir. 1986).  Elements required for a false advertising claim, cognizable under 15 U.S.C. § 1125(a)(1)(B), are set forth in </w:t>
      </w:r>
      <w:r w:rsidRPr="0087201A">
        <w:rPr>
          <w:rFonts w:cs="Times New Roman"/>
          <w:i/>
          <w:iCs/>
          <w:szCs w:val="24"/>
        </w:rPr>
        <w:t>Rice v. Fox Broadcasting Co</w:t>
      </w:r>
      <w:r w:rsidRPr="0087201A">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6A4CD7">
        <w:rPr>
          <w:i/>
          <w:iCs/>
        </w:rPr>
        <w:t>Marketquest</w:t>
      </w:r>
      <w:proofErr w:type="spellEnd"/>
      <w:r w:rsidRPr="006A4CD7">
        <w:rPr>
          <w:i/>
          <w:iCs/>
        </w:rPr>
        <w:t xml:space="preserve">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64F2EFF7" w14:textId="22E3A204" w:rsidR="003964B4" w:rsidRDefault="006A4CD7" w:rsidP="006964C1">
      <w:pPr>
        <w:pStyle w:val="Heading2"/>
      </w:pPr>
      <w:r w:rsidRPr="006A4CD7">
        <w:br w:type="page"/>
      </w:r>
      <w:bookmarkStart w:id="246" w:name="_Toc117512530"/>
      <w:r w:rsidRPr="006A4CD7">
        <w:lastRenderedPageBreak/>
        <w:t xml:space="preserve">15.6 </w:t>
      </w:r>
      <w:r w:rsidR="002D3E69" w:rsidRPr="002D3E69">
        <w:t>Infringement—Elements and Burden of Proof—Trademark</w:t>
      </w:r>
      <w:bookmarkEnd w:id="246"/>
      <w:r w:rsidR="007A6519">
        <w:t xml:space="preserve"> </w:t>
      </w:r>
    </w:p>
    <w:p w14:paraId="5A8CCD85" w14:textId="14F0CC4C" w:rsidR="006A4CD7" w:rsidRPr="006A4CD7" w:rsidRDefault="006A4CD7" w:rsidP="006964C1">
      <w:pPr>
        <w:pStyle w:val="Heading2"/>
      </w:pPr>
      <w:bookmarkStart w:id="247" w:name="_Toc117512531"/>
      <w:r w:rsidRPr="006A4CD7">
        <w:t>(15 U.S.C. § 1114(1))</w:t>
      </w:r>
      <w:bookmarkEnd w:id="247"/>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is a valid, protectable trademark;</w:t>
      </w:r>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term </w:t>
      </w:r>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38EB71C3"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w:t>
      </w:r>
      <w:proofErr w:type="spellStart"/>
      <w:r w:rsidR="00622F00" w:rsidRPr="00622F00">
        <w:rPr>
          <w:rFonts w:cs="Times New Roman"/>
          <w:i/>
          <w:iCs/>
          <w:szCs w:val="24"/>
        </w:rPr>
        <w:t>Arcona</w:t>
      </w:r>
      <w:proofErr w:type="spellEnd"/>
      <w:r w:rsidR="00622F00" w:rsidRPr="00622F00">
        <w:rPr>
          <w:rFonts w:cs="Times New Roman"/>
          <w:i/>
          <w:iCs/>
          <w:szCs w:val="24"/>
        </w:rPr>
        <w:t>,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plaintiff’s.  In cases involving confusion “on the part of someone other than the purchaser” that occurs after the point of sale, the third numbered element may be modified to make reference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Consult the following instructions in order to explain the elements identified by this instruction:  Instruction 15.8 (Infringement—Elements–Presumed Validity and Ownership– Registered Trademark) Instruction 15.13 (Infringement—Elements–Ownership–Generally); Instruction 15.18 (Infringement—Likelihood of Confusion—Factors—</w:t>
      </w:r>
      <w:proofErr w:type="spellStart"/>
      <w:r w:rsidRPr="006A4CD7">
        <w:rPr>
          <w:i/>
          <w:iCs/>
        </w:rPr>
        <w:t>Sleekcraft</w:t>
      </w:r>
      <w:proofErr w:type="spellEnd"/>
      <w:r w:rsidRPr="006A4CD7">
        <w:t xml:space="preserve"> Test). </w:t>
      </w:r>
    </w:p>
    <w:p w14:paraId="0FD441C0" w14:textId="77777777" w:rsidR="00046A0C" w:rsidRPr="006A4CD7" w:rsidRDefault="00046A0C" w:rsidP="00046A0C"/>
    <w:p w14:paraId="5CEB2549" w14:textId="77777777" w:rsidR="006A4CD7" w:rsidRDefault="006A4CD7" w:rsidP="00046A0C">
      <w:r w:rsidRPr="006A4CD7">
        <w:lastRenderedPageBreak/>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 xml:space="preserve">Tie Tech, Inc. v. </w:t>
      </w:r>
      <w:proofErr w:type="spellStart"/>
      <w:r w:rsidRPr="006A4CD7">
        <w:rPr>
          <w:i/>
          <w:iCs/>
        </w:rPr>
        <w:t>Kinedyne</w:t>
      </w:r>
      <w:proofErr w:type="spellEnd"/>
      <w:r w:rsidRPr="006A4CD7">
        <w:rPr>
          <w:i/>
          <w:iCs/>
        </w:rPr>
        <w:t xml:space="preserv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Although 15 U.S.C. § 1114(1) provides protection only to registered marks and 15 U.S.C. § 1125(a)(1) protects against infringement of unregistered and registered marks, trade dress and false advertising, the Ninth Circuit has explained that “[d]</w:t>
      </w:r>
      <w:proofErr w:type="spellStart"/>
      <w:r w:rsidRPr="006A4CD7">
        <w:t>espite</w:t>
      </w:r>
      <w:proofErr w:type="spellEnd"/>
      <w:r w:rsidRPr="006A4CD7">
        <w:t xml:space="preserve"> these differences, the analysis [for infringement] under the two provisions is sometimes identical.”  </w:t>
      </w:r>
      <w:r w:rsidRPr="006A4CD7">
        <w:rPr>
          <w:i/>
          <w:iCs/>
        </w:rPr>
        <w:t>Brookfield Communications, Inc., v. West Coast Entertainment Corp.</w:t>
      </w:r>
      <w:r w:rsidRPr="006A4CD7">
        <w:t>, 174 F.3d 1036, 1046-47 n.8 (9th Cir. 1999) (noting that trademark infringement elements under either §1114 or §1125(a) involve plaintiff showing (1) that defendant used mark confusingly similar to (2) valid, protectable trademark (3) that was owned by plaintiff).</w:t>
      </w:r>
    </w:p>
    <w:p w14:paraId="65B0ABD6" w14:textId="45BD0F9A" w:rsidR="00622F00" w:rsidRDefault="00622F00" w:rsidP="00046A0C"/>
    <w:p w14:paraId="010C5F24" w14:textId="52AA9389"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4E5A8379" w:rsidR="006A4CD7" w:rsidRPr="006A4CD7" w:rsidRDefault="006A4CD7" w:rsidP="00046A0C">
      <w:pPr>
        <w:pStyle w:val="Heading2"/>
      </w:pPr>
      <w:r w:rsidRPr="006A4CD7">
        <w:br w:type="page"/>
      </w:r>
      <w:bookmarkStart w:id="248" w:name="_Toc117512532"/>
      <w:r w:rsidRPr="006A4CD7">
        <w:lastRenderedPageBreak/>
        <w:t xml:space="preserve">15.7 </w:t>
      </w:r>
      <w:r w:rsidR="002D3E69" w:rsidRPr="002D3E69">
        <w:t>Infringement—Elements and Burden of Proof—Trade Dress</w:t>
      </w:r>
      <w:r w:rsidR="007A6519">
        <w:t xml:space="preserve"> </w:t>
      </w:r>
      <w:r w:rsidRPr="006A4CD7">
        <w:t>(15 U.S.C. § 1125(a)(1))</w:t>
      </w:r>
      <w:bookmarkEnd w:id="248"/>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distinctive;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dress;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similar to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proofErr w:type="spellStart"/>
      <w:r w:rsidRPr="006A4CD7">
        <w:rPr>
          <w:i/>
          <w:iCs/>
        </w:rPr>
        <w:t>Sleekcraft</w:t>
      </w:r>
      <w:proofErr w:type="spellEnd"/>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xml:space="preserve">,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(citations omitted); </w:t>
      </w:r>
      <w:r w:rsidRPr="006A4CD7">
        <w:rPr>
          <w:i/>
          <w:iCs/>
        </w:rPr>
        <w:t xml:space="preserve">Talking Rain Beverage Co. Inc. v. South Beach Beverage Co., </w:t>
      </w:r>
      <w:r w:rsidRPr="006A4CD7">
        <w:t xml:space="preserve">349 F.3d 601, 603 (9th Cir. 2003) (citing as elements of proof necessary to show infringement of bottle design: “(1) </w:t>
      </w:r>
      <w:proofErr w:type="spellStart"/>
      <w:r w:rsidRPr="006A4CD7">
        <w:t>nonfunctionality</w:t>
      </w:r>
      <w:proofErr w:type="spellEnd"/>
      <w:r w:rsidRPr="006A4CD7">
        <w:t>, (2) distinctiveness and (3) likelihood of confusion”).</w:t>
      </w:r>
    </w:p>
    <w:p w14:paraId="5E38B313" w14:textId="77777777" w:rsidR="00046A0C" w:rsidRPr="006A4CD7" w:rsidRDefault="00046A0C" w:rsidP="00046A0C"/>
    <w:p w14:paraId="403ADB9C" w14:textId="77777777" w:rsidR="006A4CD7" w:rsidRPr="00DC7DA5" w:rsidRDefault="006A4CD7" w:rsidP="00046A0C">
      <w:pPr>
        <w:rPr>
          <w:rFonts w:cs="Times New Roman"/>
        </w:rPr>
      </w:pPr>
      <w:r w:rsidRPr="006A4CD7">
        <w:rPr>
          <w:rFonts w:ascii="TimesNewRomanPS-BoldMT" w:hAnsi="TimesNewRomanPS-BoldMT" w:cs="TimesNewRomanPS-BoldMT"/>
          <w:color w:val="010101"/>
        </w:rPr>
        <w:tab/>
      </w:r>
      <w:r w:rsidRPr="00DC7DA5">
        <w:rPr>
          <w:rFonts w:cs="Times New Roman"/>
          <w:color w:val="010101"/>
        </w:rPr>
        <w:t>“It is not necessary for plaintiff in a trademark or unfair competition case to prove any past or present actual damages since one of the major benefits of injunctive relief is that it can be</w:t>
      </w:r>
      <w:r w:rsidRPr="006A4CD7">
        <w:rPr>
          <w:rFonts w:ascii="TimesNewRomanPS-BoldMT" w:hAnsi="TimesNewRomanPS-BoldMT" w:cs="TimesNewRomanPS-BoldMT"/>
          <w:color w:val="010101"/>
        </w:rPr>
        <w:t xml:space="preserve"> </w:t>
      </w:r>
      <w:r w:rsidRPr="00DC7DA5">
        <w:rPr>
          <w:rFonts w:cs="Times New Roman"/>
          <w:color w:val="010101"/>
        </w:rPr>
        <w:t xml:space="preserve">obtained prior to actual damage so as to prevent that damage from occurring.”  5 </w:t>
      </w:r>
      <w:r w:rsidRPr="00DC7DA5">
        <w:rPr>
          <w:rFonts w:cs="Times New Roman"/>
          <w:smallCaps/>
        </w:rPr>
        <w:t>Thomas McCarthy, Trademarks And Unfair Competition</w:t>
      </w:r>
      <w:r w:rsidRPr="00DC7DA5">
        <w:rPr>
          <w:rFonts w:cs="Times New Roman"/>
        </w:rPr>
        <w:t xml:space="preserve"> </w:t>
      </w:r>
      <w:r w:rsidRPr="00DC7DA5">
        <w:rPr>
          <w:rFonts w:cs="Times New Roman"/>
          <w:color w:val="010101"/>
        </w:rPr>
        <w:t>§ 30:2 (4th ed. 2015)</w:t>
      </w:r>
      <w:r w:rsidRPr="00DC7DA5">
        <w:rPr>
          <w:rFonts w:cs="Times New Roman"/>
        </w:rPr>
        <w:t>.</w:t>
      </w:r>
    </w:p>
    <w:p w14:paraId="1E269FA3" w14:textId="638D23E8" w:rsidR="00046A0C" w:rsidRPr="006A4CD7" w:rsidRDefault="006A4CD7" w:rsidP="00BF342F">
      <w:pPr>
        <w:pStyle w:val="Heading2"/>
      </w:pPr>
      <w:r w:rsidRPr="006A4CD7">
        <w:br w:type="page"/>
      </w:r>
      <w:bookmarkStart w:id="249" w:name="_Toc117512533"/>
      <w:r w:rsidRPr="006A4CD7">
        <w:lastRenderedPageBreak/>
        <w:t xml:space="preserve">15.8 </w:t>
      </w:r>
      <w:r w:rsidR="002D3E69" w:rsidRPr="002D3E69">
        <w:t xml:space="preserve">Infringement—Elements—Presumed Validity and Ownership—Registered Trademark </w:t>
      </w:r>
      <w:r w:rsidRPr="006A4CD7">
        <w:t>(15 U.S.C. §§ 1057, 1065 and 1115)</w:t>
      </w:r>
      <w:bookmarkEnd w:id="249"/>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insert number of instruction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321EE54"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w:t>
      </w:r>
      <w:r w:rsidR="00DC7DA5" w:rsidRPr="00250316">
        <w:rPr>
          <w:rFonts w:cs="Times New Roman"/>
          <w:szCs w:val="24"/>
        </w:rPr>
        <w:t>]] of</w:t>
      </w:r>
      <w:r w:rsidRPr="00250316">
        <w:rPr>
          <w:rFonts w:cs="Times New Roman"/>
          <w:szCs w:val="24"/>
        </w:rPr>
        <w:t xml:space="preserve">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insert number of instruction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520EA0DF" w14:textId="77777777" w:rsidR="00B853AA"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w:t>
      </w:r>
    </w:p>
    <w:p w14:paraId="4CCFF278" w14:textId="7417D9E2" w:rsidR="007A5BA1" w:rsidRPr="00250316" w:rsidRDefault="007A5BA1" w:rsidP="007A5BA1">
      <w:pPr>
        <w:autoSpaceDE w:val="0"/>
        <w:autoSpaceDN w:val="0"/>
        <w:adjustRightInd w:val="0"/>
        <w:rPr>
          <w:rFonts w:cs="Times New Roman"/>
          <w:szCs w:val="24"/>
        </w:rPr>
      </w:pPr>
      <w:r w:rsidRPr="00250316">
        <w:rPr>
          <w:rFonts w:cs="Times New Roman"/>
          <w:szCs w:val="24"/>
        </w:rPr>
        <w:t xml:space="preserve">modification to the instruction should be made as indicated in the supplementary section of these comments, below.  Under the Lanham Act, the evidentiary effect of registration varies depending </w:t>
      </w:r>
      <w:r w:rsidRPr="00250316">
        <w:rPr>
          <w:rFonts w:cs="Times New Roman"/>
          <w:szCs w:val="24"/>
        </w:rPr>
        <w:lastRenderedPageBreak/>
        <w:t xml:space="preserve">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w:t>
      </w:r>
      <w:proofErr w:type="spellStart"/>
      <w:r w:rsidRPr="00250316">
        <w:rPr>
          <w:rFonts w:cs="Times New Roman"/>
          <w:i/>
          <w:iCs/>
          <w:szCs w:val="24"/>
        </w:rPr>
        <w:t>Fils</w:t>
      </w:r>
      <w:proofErr w:type="spellEnd"/>
      <w:r w:rsidRPr="00250316">
        <w:rPr>
          <w:rFonts w:cs="Times New Roman"/>
          <w:i/>
          <w:iCs/>
          <w:szCs w:val="24"/>
        </w:rPr>
        <w:t xml:space="preserve">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 xml:space="preserve">Tie Tech, Inc. v. </w:t>
      </w:r>
      <w:proofErr w:type="spellStart"/>
      <w:r w:rsidRPr="00250316">
        <w:rPr>
          <w:rFonts w:cs="Times New Roman"/>
          <w:i/>
          <w:iCs/>
          <w:szCs w:val="24"/>
        </w:rPr>
        <w:t>Kinedyne</w:t>
      </w:r>
      <w:proofErr w:type="spellEnd"/>
      <w:r w:rsidRPr="00250316">
        <w:rPr>
          <w:rFonts w:cs="Times New Roman"/>
          <w:i/>
          <w:iCs/>
          <w:szCs w:val="24"/>
        </w:rPr>
        <w:t xml:space="preserv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xml:space="preserve">,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(summary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timely filed affidavit of continuous use), a registration is considered “</w:t>
      </w:r>
      <w:proofErr w:type="spellStart"/>
      <w:r w:rsidRPr="00250316">
        <w:rPr>
          <w:rFonts w:cs="Times New Roman"/>
          <w:szCs w:val="24"/>
        </w:rPr>
        <w:t>incontestible</w:t>
      </w:r>
      <w:proofErr w:type="spellEnd"/>
      <w:r w:rsidRPr="00250316">
        <w:rPr>
          <w:rFonts w:cs="Times New Roman"/>
          <w:szCs w:val="24"/>
        </w:rPr>
        <w:t xml:space="preserv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w:t>
      </w:r>
      <w:proofErr w:type="spellStart"/>
      <w:r w:rsidRPr="00250316">
        <w:rPr>
          <w:rFonts w:cs="Times New Roman"/>
          <w:szCs w:val="24"/>
        </w:rPr>
        <w:t>incontestible</w:t>
      </w:r>
      <w:proofErr w:type="spellEnd"/>
      <w:r w:rsidRPr="00250316">
        <w:rPr>
          <w:rFonts w:cs="Times New Roman"/>
          <w:szCs w:val="24"/>
        </w:rPr>
        <w:t xml:space="preserv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w:t>
      </w:r>
      <w:proofErr w:type="spellStart"/>
      <w:r w:rsidRPr="00250316">
        <w:rPr>
          <w:rFonts w:cs="Times New Roman"/>
          <w:i/>
          <w:iCs/>
          <w:szCs w:val="24"/>
        </w:rPr>
        <w:t>eBAY</w:t>
      </w:r>
      <w:proofErr w:type="spellEnd"/>
      <w:r w:rsidRPr="00250316">
        <w:rPr>
          <w:rFonts w:cs="Times New Roman"/>
          <w:i/>
          <w:iCs/>
          <w:szCs w:val="24"/>
        </w:rPr>
        <w:t>,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6EDBF306" w14:textId="163E68E6" w:rsidR="009412F2"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following </w:t>
      </w:r>
    </w:p>
    <w:p w14:paraId="1BEACC79" w14:textId="07071E2D" w:rsidR="007A5BA1" w:rsidRDefault="007A5BA1" w:rsidP="007A5BA1">
      <w:pPr>
        <w:autoSpaceDE w:val="0"/>
        <w:autoSpaceDN w:val="0"/>
        <w:adjustRightInd w:val="0"/>
        <w:rPr>
          <w:rFonts w:cs="Times New Roman"/>
          <w:szCs w:val="24"/>
        </w:rPr>
      </w:pPr>
      <w:r w:rsidRPr="00250316">
        <w:rPr>
          <w:rFonts w:cs="Times New Roman"/>
          <w:szCs w:val="24"/>
        </w:rPr>
        <w:t xml:space="preserve">paragraph should be added in lieu of the fifth paragraph: </w:t>
      </w:r>
    </w:p>
    <w:p w14:paraId="371D5487" w14:textId="77777777" w:rsidR="009412F2" w:rsidRPr="00250316" w:rsidRDefault="009412F2"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lastRenderedPageBreak/>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C0F33D" w:rsidR="007A5BA1"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40406C90" w14:textId="77777777" w:rsidR="00DC7DA5" w:rsidRPr="00250316" w:rsidRDefault="00DC7DA5" w:rsidP="007A5BA1">
      <w:pPr>
        <w:autoSpaceDE w:val="0"/>
        <w:autoSpaceDN w:val="0"/>
        <w:adjustRightInd w:val="0"/>
        <w:rPr>
          <w:rFonts w:cs="Times New Roman"/>
          <w:szCs w:val="24"/>
        </w:rPr>
      </w:pP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Incontestability Exceptions and Defenses:</w:t>
      </w:r>
      <w:r w:rsidRPr="00250316">
        <w:rPr>
          <w:rFonts w:cs="Times New Roman"/>
          <w:szCs w:val="24"/>
        </w:rPr>
        <w:t xml:space="preserve"> If one of the exceptions to </w:t>
      </w:r>
      <w:proofErr w:type="spellStart"/>
      <w:r w:rsidRPr="00250316">
        <w:rPr>
          <w:rFonts w:cs="Times New Roman"/>
          <w:szCs w:val="24"/>
        </w:rPr>
        <w:t>incontestible</w:t>
      </w:r>
      <w:proofErr w:type="spellEnd"/>
      <w:r w:rsidRPr="00250316">
        <w:rPr>
          <w:rFonts w:cs="Times New Roman"/>
          <w:szCs w:val="24"/>
        </w:rPr>
        <w:t xml:space="preserv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becomes simply a contestable </w:t>
      </w:r>
      <w:r w:rsidRPr="00250316">
        <w:rPr>
          <w:rFonts w:cs="Times New Roman"/>
          <w:szCs w:val="24"/>
        </w:rPr>
        <w:lastRenderedPageBreak/>
        <w:t xml:space="preserve">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fact-finder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 xml:space="preserve">See Vuitton et </w:t>
      </w:r>
      <w:proofErr w:type="spellStart"/>
      <w:r w:rsidRPr="00250316">
        <w:rPr>
          <w:rFonts w:cs="Times New Roman"/>
          <w:i/>
          <w:iCs/>
          <w:szCs w:val="24"/>
        </w:rPr>
        <w:t>Fils</w:t>
      </w:r>
      <w:proofErr w:type="spellEnd"/>
      <w:r w:rsidRPr="00250316">
        <w:rPr>
          <w:rFonts w:cs="Times New Roman"/>
          <w:i/>
          <w:iCs/>
          <w:szCs w:val="24"/>
        </w:rPr>
        <w:t xml:space="preserve"> S.A. v. J. Young Enterprises, Inc</w:t>
      </w:r>
      <w:r w:rsidRPr="00250316">
        <w:rPr>
          <w:rFonts w:cs="Times New Roman"/>
          <w:szCs w:val="24"/>
        </w:rPr>
        <w:t xml:space="preserve">., 644 F.2d 769, 775 (9th Cir. 1981). </w:t>
      </w:r>
      <w:r w:rsidRPr="00250316">
        <w:rPr>
          <w:rFonts w:cs="Times New Roman"/>
          <w:i/>
          <w:iCs/>
          <w:szCs w:val="24"/>
        </w:rPr>
        <w:t xml:space="preserve"> See also </w:t>
      </w:r>
      <w:proofErr w:type="spellStart"/>
      <w:r w:rsidRPr="00250316">
        <w:rPr>
          <w:rFonts w:cs="Times New Roman"/>
          <w:i/>
          <w:iCs/>
          <w:szCs w:val="24"/>
        </w:rPr>
        <w:t>Maktab</w:t>
      </w:r>
      <w:proofErr w:type="spellEnd"/>
      <w:r w:rsidRPr="00250316">
        <w:rPr>
          <w:rFonts w:cs="Times New Roman"/>
          <w:i/>
          <w:iCs/>
          <w:szCs w:val="24"/>
        </w:rPr>
        <w:t xml:space="preserve"> </w:t>
      </w:r>
      <w:proofErr w:type="spellStart"/>
      <w:r w:rsidRPr="00250316">
        <w:rPr>
          <w:rFonts w:cs="Times New Roman"/>
          <w:i/>
          <w:iCs/>
          <w:szCs w:val="24"/>
        </w:rPr>
        <w:t>Tarighe</w:t>
      </w:r>
      <w:proofErr w:type="spellEnd"/>
      <w:r w:rsidRPr="00250316">
        <w:rPr>
          <w:rFonts w:cs="Times New Roman"/>
          <w:i/>
          <w:iCs/>
          <w:szCs w:val="24"/>
        </w:rPr>
        <w:t xml:space="preserve"> </w:t>
      </w:r>
      <w:proofErr w:type="spellStart"/>
      <w:r w:rsidRPr="00250316">
        <w:rPr>
          <w:rFonts w:cs="Times New Roman"/>
          <w:i/>
          <w:iCs/>
          <w:szCs w:val="24"/>
        </w:rPr>
        <w:t>Oveyssi</w:t>
      </w:r>
      <w:proofErr w:type="spellEnd"/>
      <w:r w:rsidRPr="00250316">
        <w:rPr>
          <w:rFonts w:cs="Times New Roman"/>
          <w:i/>
          <w:iCs/>
          <w:szCs w:val="24"/>
        </w:rPr>
        <w:t xml:space="preserve"> Shah </w:t>
      </w:r>
      <w:proofErr w:type="spellStart"/>
      <w:r w:rsidRPr="00250316">
        <w:rPr>
          <w:rFonts w:cs="Times New Roman"/>
          <w:i/>
          <w:iCs/>
          <w:szCs w:val="24"/>
        </w:rPr>
        <w:t>Maghsoudi</w:t>
      </w:r>
      <w:proofErr w:type="spellEnd"/>
      <w:r w:rsidRPr="00250316">
        <w:rPr>
          <w:rFonts w:cs="Times New Roman"/>
          <w:i/>
          <w:iCs/>
          <w:szCs w:val="24"/>
        </w:rPr>
        <w:t xml:space="preserve"> v. </w:t>
      </w:r>
      <w:proofErr w:type="spellStart"/>
      <w:r w:rsidRPr="00250316">
        <w:rPr>
          <w:rFonts w:cs="Times New Roman"/>
          <w:i/>
          <w:iCs/>
          <w:szCs w:val="24"/>
        </w:rPr>
        <w:t>Kianfar</w:t>
      </w:r>
      <w:proofErr w:type="spellEnd"/>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is able to show 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lastRenderedPageBreak/>
        <w:tab/>
      </w:r>
      <w:r w:rsidRPr="00250316">
        <w:rPr>
          <w:rFonts w:cs="Times New Roman"/>
          <w:b/>
          <w:bCs/>
          <w:szCs w:val="24"/>
        </w:rPr>
        <w:t xml:space="preserve">C. Undisputed </w:t>
      </w:r>
      <w:proofErr w:type="spellStart"/>
      <w:r w:rsidRPr="00250316">
        <w:rPr>
          <w:rFonts w:cs="Times New Roman"/>
          <w:b/>
          <w:bCs/>
          <w:szCs w:val="24"/>
        </w:rPr>
        <w:t>Incontestible</w:t>
      </w:r>
      <w:proofErr w:type="spellEnd"/>
      <w:r w:rsidRPr="00250316">
        <w:rPr>
          <w:rFonts w:cs="Times New Roman"/>
          <w:b/>
          <w:bCs/>
          <w:szCs w:val="24"/>
        </w:rPr>
        <w:t xml:space="preserv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30E1B7ED" w:rsidR="007A5BA1"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E59CF58" w14:textId="77777777" w:rsidR="00197473" w:rsidRPr="001E3CA7" w:rsidRDefault="00197473" w:rsidP="007A5BA1">
      <w:pPr>
        <w:rPr>
          <w:rFonts w:cs="Times New Roman"/>
          <w:szCs w:val="24"/>
        </w:rPr>
      </w:pPr>
    </w:p>
    <w:p w14:paraId="27641F4F" w14:textId="77777777" w:rsidR="00197473" w:rsidRDefault="00197473" w:rsidP="007A5BA1">
      <w:pPr>
        <w:spacing w:after="160" w:line="259" w:lineRule="auto"/>
        <w:jc w:val="right"/>
        <w:rPr>
          <w:rFonts w:cs="Times New Roman"/>
          <w:i/>
          <w:iCs/>
          <w:szCs w:val="24"/>
        </w:rPr>
      </w:pPr>
    </w:p>
    <w:p w14:paraId="5D6809CE" w14:textId="3674516A"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2786308A" w:rsidR="006A4CD7" w:rsidRPr="006A4CD7" w:rsidRDefault="006A4CD7" w:rsidP="00046A0C">
      <w:pPr>
        <w:pStyle w:val="Heading2"/>
      </w:pPr>
      <w:r w:rsidRPr="006A4CD7">
        <w:br w:type="page"/>
      </w:r>
      <w:bookmarkStart w:id="250" w:name="_Toc117512534"/>
      <w:r w:rsidRPr="006A4CD7">
        <w:lastRenderedPageBreak/>
        <w:t xml:space="preserve">15.9 </w:t>
      </w:r>
      <w:r w:rsidR="002D3E69" w:rsidRPr="002D3E69">
        <w:t>Infringement—Elements—Validity—Unregistered Marks</w:t>
      </w:r>
      <w:bookmarkEnd w:id="250"/>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insert number of instruction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138B4B68"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r>
      <w:r w:rsidR="00197473" w:rsidRPr="006A4CD7">
        <w:rPr>
          <w:rFonts w:cs="Times New Roman"/>
          <w:szCs w:val="24"/>
        </w:rPr>
        <w:t>descriptive but</w:t>
      </w:r>
      <w:r w:rsidRPr="006A4CD7">
        <w:rPr>
          <w:rFonts w:cs="Times New Roman"/>
          <w:szCs w:val="24"/>
        </w:rPr>
        <w:t xml:space="preserve">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insert number of instruction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similar to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w:t>
      </w:r>
      <w:proofErr w:type="spellStart"/>
      <w:r w:rsidRPr="006A4CD7">
        <w:rPr>
          <w:rFonts w:cs="Times New Roman"/>
          <w:i/>
          <w:iCs/>
          <w:szCs w:val="24"/>
        </w:rPr>
        <w:t>Transgo</w:t>
      </w:r>
      <w:proofErr w:type="spellEnd"/>
      <w:r w:rsidRPr="006A4CD7">
        <w:rPr>
          <w:rFonts w:cs="Times New Roman"/>
          <w:i/>
          <w:iCs/>
          <w:szCs w:val="24"/>
        </w:rPr>
        <w:t xml:space="preserve">, Inc. v. </w:t>
      </w:r>
      <w:proofErr w:type="spellStart"/>
      <w:r w:rsidRPr="006A4CD7">
        <w:rPr>
          <w:rFonts w:cs="Times New Roman"/>
          <w:i/>
          <w:iCs/>
          <w:szCs w:val="24"/>
        </w:rPr>
        <w:t>Ajac</w:t>
      </w:r>
      <w:proofErr w:type="spellEnd"/>
      <w:r w:rsidRPr="006A4CD7">
        <w:rPr>
          <w:rFonts w:cs="Times New Roman"/>
          <w:i/>
          <w:iCs/>
          <w:szCs w:val="24"/>
        </w:rPr>
        <w:t xml:space="preserve">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0B7055EC" w14:textId="6366E11A" w:rsidR="006A4CD7" w:rsidRPr="006A4CD7" w:rsidRDefault="006A4CD7" w:rsidP="00BF342F">
      <w:pPr>
        <w:pStyle w:val="Heading2"/>
      </w:pPr>
      <w:r w:rsidRPr="006A4CD7">
        <w:br w:type="page"/>
      </w:r>
      <w:bookmarkStart w:id="251" w:name="_Toc117512535"/>
      <w:r w:rsidRPr="006A4CD7">
        <w:lastRenderedPageBreak/>
        <w:t xml:space="preserve">15.10 </w:t>
      </w:r>
      <w:r w:rsidR="002D3E69" w:rsidRPr="002D3E69">
        <w:t>Infringement—Elements—Validity—Unregistered Mark—Distinctiveness</w:t>
      </w:r>
      <w:bookmarkEnd w:id="251"/>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instruction regarding </w:t>
      </w:r>
      <w:proofErr w:type="spellStart"/>
      <w:r w:rsidRPr="006A4CD7">
        <w:rPr>
          <w:rFonts w:cs="Times New Roman"/>
          <w:i/>
          <w:iCs/>
          <w:szCs w:val="24"/>
          <w:u w:val="single"/>
        </w:rPr>
        <w:t>Skeekcraft</w:t>
      </w:r>
      <w:proofErr w:type="spellEnd"/>
      <w:r w:rsidRPr="006A4CD7">
        <w:rPr>
          <w:rFonts w:cs="Times New Roman"/>
          <w:i/>
          <w:iCs/>
          <w:szCs w:val="24"/>
          <w:u w:val="single"/>
        </w:rPr>
        <w:t xml:space="preserve">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order to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278305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w:t>
      </w:r>
      <w:r w:rsidR="00DD082F">
        <w:rPr>
          <w:rFonts w:cs="Times New Roman"/>
          <w:szCs w:val="24"/>
        </w:rPr>
        <w:t>five</w:t>
      </w:r>
      <w:r w:rsidRPr="006A4CD7">
        <w:rPr>
          <w:rFonts w:cs="Times New Roman"/>
          <w:szCs w:val="24"/>
        </w:rPr>
        <w:t xml:space="preserve"> categories according to their relative [strength] [distinctiveness]. These f</w:t>
      </w:r>
      <w:r w:rsidR="00DD082F">
        <w:rPr>
          <w:rFonts w:cs="Times New Roman"/>
          <w:szCs w:val="24"/>
        </w:rPr>
        <w:t>ive</w:t>
      </w:r>
      <w:r w:rsidRPr="006A4CD7">
        <w:rPr>
          <w:rFonts w:cs="Times New Roman"/>
          <w:szCs w:val="24"/>
        </w:rPr>
        <w:t xml:space="preserve"> categories are, in order of strength or distinctiveness: arbitrary (which is inherently distinctive), </w:t>
      </w:r>
      <w:r w:rsidR="00DD082F" w:rsidRPr="00AC0284">
        <w:rPr>
          <w:rFonts w:cs="Times New Roman"/>
          <w:szCs w:val="24"/>
        </w:rPr>
        <w:t>fanciful (also inherently distinctive),</w:t>
      </w:r>
      <w:r w:rsidR="00DD082F">
        <w:rPr>
          <w:rFonts w:cs="Times New Roman"/>
          <w:szCs w:val="24"/>
        </w:rPr>
        <w:t xml:space="preserve"> </w:t>
      </w:r>
      <w:r w:rsidRPr="006A4CD7">
        <w:rPr>
          <w:rFonts w:cs="Times New Roman"/>
          <w:szCs w:val="24"/>
        </w:rPr>
        <w:t>suggestive (also inherently distinctive), descriptive (which is protected only if it acquires in consumers’ minds a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2C87683D"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trademarks is arbitrary trademarks. They are considered strong marks and are clearly protectable. They involve the arbitrary use of a word to designate the source of a [product] [service]. Such a trademark is a word that in no way describes or has any relevance to the particular [product] [service] it is meant to identify. It may be a common word used in an unfamiliar way. </w:t>
      </w:r>
    </w:p>
    <w:p w14:paraId="261980ED" w14:textId="77777777" w:rsidR="006A4CD7" w:rsidRPr="006A4CD7" w:rsidRDefault="006A4CD7" w:rsidP="0060759C">
      <w:pPr>
        <w:autoSpaceDE w:val="0"/>
        <w:autoSpaceDN w:val="0"/>
        <w:adjustRightInd w:val="0"/>
        <w:rPr>
          <w:rFonts w:cs="Times New Roman"/>
          <w:szCs w:val="24"/>
        </w:rPr>
      </w:pPr>
    </w:p>
    <w:p w14:paraId="2E744C1D" w14:textId="77777777" w:rsidR="0090770F" w:rsidRDefault="006A4CD7" w:rsidP="0060759C">
      <w:pPr>
        <w:autoSpaceDE w:val="0"/>
        <w:autoSpaceDN w:val="0"/>
        <w:adjustRightInd w:val="0"/>
        <w:rPr>
          <w:rFonts w:cs="Times New Roman"/>
          <w:szCs w:val="24"/>
        </w:rPr>
      </w:pPr>
      <w:r w:rsidRPr="006A4CD7">
        <w:rPr>
          <w:rFonts w:cs="Times New Roman"/>
          <w:szCs w:val="24"/>
        </w:rPr>
        <w:tab/>
        <w:t xml:space="preserve">For instance, the common word “apple” became a strong and inherently distinctive trademark when used by a company to identify the personal computers that company sold.  The </w:t>
      </w:r>
      <w:r w:rsidRPr="006A4CD7">
        <w:rPr>
          <w:rFonts w:cs="Times New Roman"/>
          <w:szCs w:val="24"/>
        </w:rPr>
        <w:lastRenderedPageBreak/>
        <w:t>company’s use of the word “apple” was arbitrary because “apple” did not describe and was not related to what the computer was, its components, ingredients, quality, or characteristics.  “Apple” was being used in an arbitrary way to designate for consumers that the computer comes from a particular manufacturer or source.</w:t>
      </w:r>
    </w:p>
    <w:p w14:paraId="0626B694" w14:textId="77777777" w:rsidR="0090770F" w:rsidRDefault="0090770F" w:rsidP="0060759C">
      <w:pPr>
        <w:autoSpaceDE w:val="0"/>
        <w:autoSpaceDN w:val="0"/>
        <w:adjustRightInd w:val="0"/>
        <w:rPr>
          <w:rFonts w:cs="Times New Roman"/>
          <w:szCs w:val="24"/>
        </w:rPr>
      </w:pPr>
    </w:p>
    <w:p w14:paraId="1636FE6C" w14:textId="77777777" w:rsidR="0090770F" w:rsidRPr="00AC0284" w:rsidRDefault="0090770F" w:rsidP="0090770F">
      <w:pPr>
        <w:autoSpaceDE w:val="0"/>
        <w:autoSpaceDN w:val="0"/>
        <w:adjustRightInd w:val="0"/>
        <w:ind w:firstLine="720"/>
        <w:rPr>
          <w:rFonts w:cs="Times New Roman"/>
          <w:b/>
          <w:bCs/>
          <w:szCs w:val="24"/>
        </w:rPr>
      </w:pPr>
      <w:r w:rsidRPr="00AC0284">
        <w:rPr>
          <w:rFonts w:cs="Times New Roman"/>
          <w:b/>
          <w:bCs/>
          <w:szCs w:val="24"/>
        </w:rPr>
        <w:t>Fanciful (or Coined) Trademarks</w:t>
      </w:r>
      <w:r w:rsidRPr="00AC0284">
        <w:rPr>
          <w:rFonts w:cs="Times New Roman"/>
          <w:szCs w:val="24"/>
        </w:rPr>
        <w:t>. The next category is fanciful (or coined) trademarks.</w:t>
      </w:r>
    </w:p>
    <w:p w14:paraId="56CB209E" w14:textId="77777777" w:rsidR="0090770F" w:rsidRPr="00AC0284" w:rsidRDefault="0090770F" w:rsidP="0090770F">
      <w:pPr>
        <w:autoSpaceDE w:val="0"/>
        <w:autoSpaceDN w:val="0"/>
        <w:adjustRightInd w:val="0"/>
        <w:rPr>
          <w:rFonts w:cs="Times New Roman"/>
          <w:szCs w:val="24"/>
        </w:rPr>
      </w:pPr>
      <w:r w:rsidRPr="00AC0284">
        <w:rPr>
          <w:rFonts w:cs="Times New Roman"/>
          <w:szCs w:val="24"/>
        </w:rPr>
        <w:t>These trademarks are also inherently distinctive and have the same level of strength as arbitrary marks.  They are therefore automatically protectable.  Fanciful trademarks involve the use of a fanciful or fictitious word to designate the source of a [product] [service]. Such a trademark is a</w:t>
      </w:r>
      <w:r w:rsidRPr="00AC0284">
        <w:rPr>
          <w:rFonts w:cs="Times New Roman"/>
          <w:color w:val="D13337"/>
          <w:szCs w:val="24"/>
        </w:rPr>
        <w:t xml:space="preserve"> </w:t>
      </w:r>
      <w:r w:rsidRPr="00AC0284">
        <w:rPr>
          <w:rFonts w:cs="Times New Roman"/>
          <w:szCs w:val="24"/>
        </w:rPr>
        <w:t>word that in no way describes or has any relevance to the particular [product] [service] it is</w:t>
      </w:r>
    </w:p>
    <w:p w14:paraId="49AF2DC2" w14:textId="77777777" w:rsidR="0090770F" w:rsidRPr="00AC0284" w:rsidRDefault="0090770F" w:rsidP="0090770F">
      <w:pPr>
        <w:autoSpaceDE w:val="0"/>
        <w:autoSpaceDN w:val="0"/>
        <w:adjustRightInd w:val="0"/>
        <w:rPr>
          <w:rFonts w:cs="Times New Roman"/>
          <w:szCs w:val="24"/>
        </w:rPr>
      </w:pPr>
      <w:r w:rsidRPr="00AC0284">
        <w:rPr>
          <w:rFonts w:cs="Times New Roman"/>
          <w:szCs w:val="24"/>
        </w:rPr>
        <w:t>meant to identify.</w:t>
      </w:r>
      <w:r w:rsidRPr="00AC0284">
        <w:rPr>
          <w:rFonts w:cs="Times New Roman"/>
          <w:color w:val="D13337"/>
          <w:szCs w:val="24"/>
        </w:rPr>
        <w:t xml:space="preserve">  </w:t>
      </w:r>
      <w:r w:rsidRPr="00AC0284">
        <w:rPr>
          <w:rFonts w:cs="Times New Roman"/>
          <w:szCs w:val="24"/>
        </w:rPr>
        <w:t>It is a newly created (coined) word, which is used solely as a trademark.  For instance, the fanciful trademark “Google” is a strong and inherently distinctive trademark, identifying a prominent technology company.  “Google” is a coined word that had no meaning or application prior to its use as the name of this company.</w:t>
      </w:r>
    </w:p>
    <w:p w14:paraId="63EE5633" w14:textId="30C99009" w:rsidR="006A4CD7" w:rsidRPr="006A4CD7" w:rsidRDefault="006A4CD7" w:rsidP="0090770F">
      <w:pPr>
        <w:autoSpaceDE w:val="0"/>
        <w:autoSpaceDN w:val="0"/>
        <w:adjustRightInd w:val="0"/>
      </w:pPr>
      <w:r w:rsidRPr="006A4CD7">
        <w:rPr>
          <w:rFonts w:cs="Times New Roman"/>
          <w:szCs w:val="24"/>
        </w:rPr>
        <w:t xml:space="preserve"> </w:t>
      </w:r>
    </w:p>
    <w:p w14:paraId="496DC309" w14:textId="32E6F7DC"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w:t>
      </w:r>
      <w:r w:rsidR="0090770F">
        <w:rPr>
          <w:rFonts w:cs="Times New Roman"/>
          <w:szCs w:val="24"/>
        </w:rPr>
        <w:t>third</w:t>
      </w:r>
      <w:r w:rsidRPr="006A4CD7">
        <w:rPr>
          <w:rFonts w:cs="Times New Roman"/>
          <w:szCs w:val="24"/>
        </w:rPr>
        <w:t xml:space="preserve"> category is suggestive trademarks. These trademarks are inherently distinctive but are considered weaker than arbitrary </w:t>
      </w:r>
      <w:r w:rsidR="0090770F">
        <w:rPr>
          <w:rFonts w:cs="Times New Roman"/>
          <w:szCs w:val="24"/>
        </w:rPr>
        <w:t xml:space="preserve">and fanciful </w:t>
      </w:r>
      <w:r w:rsidRPr="006A4CD7">
        <w:rPr>
          <w:rFonts w:cs="Times New Roman"/>
          <w:szCs w:val="24"/>
        </w:rPr>
        <w:t xml:space="preserve">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4F8472F5"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w:t>
      </w:r>
      <w:r w:rsidR="0090770F">
        <w:rPr>
          <w:rFonts w:cs="Times New Roman"/>
          <w:szCs w:val="24"/>
        </w:rPr>
        <w:t>fourth</w:t>
      </w:r>
      <w:r w:rsidRPr="006A4CD7">
        <w:rPr>
          <w:rFonts w:cs="Times New Roman"/>
          <w:szCs w:val="24"/>
        </w:rPr>
        <w:t xml:space="preserve">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instance, the word “apple” is descriptive when used in the trademark “</w:t>
      </w:r>
      <w:proofErr w:type="spellStart"/>
      <w:r w:rsidRPr="006A4CD7">
        <w:rPr>
          <w:rFonts w:cs="Times New Roman"/>
          <w:szCs w:val="24"/>
        </w:rPr>
        <w:t>CranApple</w:t>
      </w:r>
      <w:proofErr w:type="spellEnd"/>
      <w:r w:rsidRPr="006A4CD7">
        <w:rPr>
          <w:rFonts w:cs="Times New Roman"/>
          <w:szCs w:val="24"/>
        </w:rPr>
        <w:t xml:space="preserv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w:t>
      </w:r>
      <w:proofErr w:type="spellStart"/>
      <w:r w:rsidRPr="006A4CD7">
        <w:rPr>
          <w:rFonts w:cs="Times New Roman"/>
          <w:szCs w:val="24"/>
        </w:rPr>
        <w:t>CranApple</w:t>
      </w:r>
      <w:proofErr w:type="spellEnd"/>
      <w:r w:rsidRPr="006A4CD7">
        <w:rPr>
          <w:rFonts w:cs="Times New Roman"/>
          <w:szCs w:val="24"/>
        </w:rPr>
        <w:t xml:space="preserv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180A3EB7" w:rsidR="006A4CD7" w:rsidRPr="00DC7DA5"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lastRenderedPageBreak/>
        <w:tab/>
      </w:r>
      <w:r w:rsidRPr="00DC7DA5">
        <w:rPr>
          <w:rFonts w:cs="Times New Roman"/>
          <w:b/>
          <w:bCs/>
          <w:szCs w:val="24"/>
        </w:rPr>
        <w:t>Generic Names</w:t>
      </w:r>
      <w:r w:rsidRPr="00DC7DA5">
        <w:rPr>
          <w:rFonts w:cs="Times New Roman"/>
          <w:szCs w:val="24"/>
        </w:rPr>
        <w:t>. The f</w:t>
      </w:r>
      <w:r w:rsidR="0090770F">
        <w:rPr>
          <w:rFonts w:cs="Times New Roman"/>
          <w:szCs w:val="24"/>
        </w:rPr>
        <w:t>ifth and final</w:t>
      </w:r>
      <w:r w:rsidRPr="00DC7DA5">
        <w:rPr>
          <w:rFonts w:cs="Times New Roman"/>
          <w:szCs w:val="24"/>
        </w:rPr>
        <w:t xml:space="preserve"> 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DC7DA5" w:rsidRDefault="006A4CD7" w:rsidP="0060759C">
      <w:pPr>
        <w:autoSpaceDE w:val="0"/>
        <w:autoSpaceDN w:val="0"/>
        <w:adjustRightInd w:val="0"/>
        <w:rPr>
          <w:rFonts w:cs="Times New Roman"/>
          <w:szCs w:val="24"/>
        </w:rPr>
      </w:pPr>
    </w:p>
    <w:p w14:paraId="77081559" w14:textId="77777777" w:rsidR="009412F2" w:rsidRDefault="006A4CD7" w:rsidP="0060759C">
      <w:pPr>
        <w:autoSpaceDE w:val="0"/>
        <w:autoSpaceDN w:val="0"/>
        <w:adjustRightInd w:val="0"/>
        <w:rPr>
          <w:rFonts w:cs="Times New Roman"/>
          <w:szCs w:val="24"/>
        </w:rPr>
      </w:pPr>
      <w:r w:rsidRPr="00DC7DA5">
        <w:rPr>
          <w:rFonts w:cs="Times New Roman"/>
          <w:szCs w:val="24"/>
        </w:rPr>
        <w:tab/>
        <w:t xml:space="preserve">If the primary significance of the alleged mark is to name the type of [product] [service] rather than the [manufacturer] [provider], the term is a generic name and cannot be a valid </w:t>
      </w:r>
    </w:p>
    <w:p w14:paraId="55B55958" w14:textId="7B409103" w:rsidR="006A4CD7" w:rsidRPr="00DC7DA5" w:rsidRDefault="006A4CD7" w:rsidP="0060759C">
      <w:pPr>
        <w:autoSpaceDE w:val="0"/>
        <w:autoSpaceDN w:val="0"/>
        <w:adjustRightInd w:val="0"/>
        <w:rPr>
          <w:rFonts w:cs="Times New Roman"/>
          <w:szCs w:val="24"/>
        </w:rPr>
      </w:pPr>
      <w:r w:rsidRPr="00DC7DA5">
        <w:rPr>
          <w:rFonts w:cs="Times New Roman"/>
          <w:szCs w:val="24"/>
        </w:rPr>
        <w:t>trademark.  If the majority of [relevant] consumers would understand the term</w:t>
      </w:r>
      <w:r w:rsidRPr="006A4CD7">
        <w:rPr>
          <w:rFonts w:ascii="VEYYM C+ Times New Roman," w:hAnsi="VEYYM C+ Times New Roman," w:cs="VEYYM C+ Times New Roman,"/>
          <w:szCs w:val="24"/>
        </w:rPr>
        <w:t xml:space="preserve"> to name the type </w:t>
      </w:r>
      <w:r w:rsidRPr="00DC7DA5">
        <w:rPr>
          <w:rFonts w:cs="Times New Roman"/>
          <w:szCs w:val="24"/>
        </w:rPr>
        <w:t xml:space="preserve">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particular source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is considered to be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insert number of instruction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3EC61B9C" w14:textId="66D5548C"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w:t>
      </w:r>
      <w:r w:rsidRPr="006A4CD7">
        <w:rPr>
          <w:rFonts w:cs="Times New Roman"/>
          <w:szCs w:val="24"/>
        </w:rPr>
        <w:lastRenderedPageBreak/>
        <w:t xml:space="preserve">instruction refers to the court’s instruction to the jury that sets out the factors of the </w:t>
      </w:r>
      <w:proofErr w:type="spellStart"/>
      <w:r w:rsidRPr="006A4CD7">
        <w:rPr>
          <w:rFonts w:cs="Times New Roman"/>
          <w:i/>
          <w:iCs/>
          <w:szCs w:val="24"/>
        </w:rPr>
        <w:t>Sleekcraft</w:t>
      </w:r>
      <w:proofErr w:type="spellEnd"/>
      <w:r w:rsidRPr="006A4CD7">
        <w:rPr>
          <w:rFonts w:cs="Times New Roman"/>
          <w:szCs w:val="24"/>
        </w:rPr>
        <w:t xml:space="preserve"> test for likelihood of confusion, Instruction 15.18 (Infringement—Likelihood of Confusion—Factors—</w:t>
      </w:r>
      <w:proofErr w:type="spellStart"/>
      <w:r w:rsidRPr="006A4CD7">
        <w:rPr>
          <w:rFonts w:cs="Times New Roman"/>
          <w:i/>
          <w:iCs/>
          <w:szCs w:val="24"/>
        </w:rPr>
        <w:t>Sleekcraft</w:t>
      </w:r>
      <w:proofErr w:type="spellEnd"/>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(Infringement—Elements and Burden of Proof—Trademark).</w:t>
      </w:r>
    </w:p>
    <w:p w14:paraId="3CA21C96" w14:textId="77777777" w:rsidR="009412F2" w:rsidRPr="006A4CD7" w:rsidRDefault="009412F2"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081F8D5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r w:rsidR="00FE411B" w:rsidRPr="001D64F2">
        <w:rPr>
          <w:rFonts w:cs="Times New Roman"/>
          <w:i/>
          <w:iCs/>
          <w:szCs w:val="24"/>
        </w:rPr>
        <w:t xml:space="preserve">Surfvivor Media, Inc. v. Survivor </w:t>
      </w:r>
      <w:r w:rsidR="00FE411B" w:rsidRPr="001D64F2">
        <w:rPr>
          <w:rFonts w:cs="Times New Roman"/>
          <w:szCs w:val="24"/>
        </w:rPr>
        <w:t xml:space="preserve">Productions, 406 F.3d 625, 631-32 (9th Cir. 2005) (noting that trademarks are divided into five categories: arbitrary, fanciful, suggestive, descriptive, and generic).  </w:t>
      </w:r>
      <w:r w:rsidR="00FE411B" w:rsidRPr="001D64F2">
        <w:rPr>
          <w:rFonts w:cs="Times New Roman"/>
          <w:i/>
          <w:iCs/>
          <w:szCs w:val="24"/>
        </w:rPr>
        <w:t xml:space="preserve">See also </w:t>
      </w:r>
      <w:r w:rsidRPr="006A4CD7">
        <w:rPr>
          <w:rFonts w:cs="Times New Roman"/>
          <w:i/>
          <w:iCs/>
          <w:szCs w:val="24"/>
        </w:rPr>
        <w:t>KP Permanent Make-Up, Inc. v. Lasting Impression I, Inc</w:t>
      </w:r>
      <w:r w:rsidRPr="006A4CD7">
        <w:rPr>
          <w:rFonts w:cs="Times New Roman"/>
          <w:szCs w:val="24"/>
        </w:rPr>
        <w:t xml:space="preserve">., 328 F.3d 1061, 1067 (9th Cir. 2003) </w:t>
      </w:r>
      <w:r w:rsidR="00FC4B36" w:rsidRPr="00B20B66">
        <w:rPr>
          <w:rFonts w:cs="Times New Roman"/>
          <w:szCs w:val="24"/>
        </w:rPr>
        <w:t>(</w:t>
      </w:r>
      <w:r w:rsidR="00FC4B36">
        <w:rPr>
          <w:rFonts w:cs="Times New Roman"/>
          <w:szCs w:val="24"/>
        </w:rPr>
        <w:t>noting that trademark categories of arbitrary and fanciful</w:t>
      </w:r>
      <w:r w:rsidRPr="006A4CD7">
        <w:rPr>
          <w:rFonts w:cs="Times New Roman"/>
          <w:szCs w:val="24"/>
        </w:rPr>
        <w:t xml:space="preserve"> </w:t>
      </w:r>
      <w:r w:rsidR="00FC4B36">
        <w:rPr>
          <w:rFonts w:cs="Times New Roman"/>
          <w:szCs w:val="24"/>
        </w:rPr>
        <w:t>“</w:t>
      </w:r>
      <w:r w:rsidRPr="006A4CD7">
        <w:rPr>
          <w:rFonts w:cs="Times New Roman"/>
          <w:szCs w:val="24"/>
        </w:rPr>
        <w:t xml:space="preserve">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346E6C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w:t>
      </w:r>
      <w:r w:rsidR="00DC7DA5" w:rsidRPr="006A4CD7">
        <w:rPr>
          <w:rFonts w:cs="Times New Roman"/>
          <w:szCs w:val="24"/>
        </w:rPr>
        <w:t>meaning and</w:t>
      </w:r>
      <w:r w:rsidRPr="006A4CD7">
        <w:rPr>
          <w:rFonts w:cs="Times New Roman"/>
          <w:szCs w:val="24"/>
        </w:rPr>
        <w:t xml:space="preserve">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w:t>
      </w:r>
      <w:r w:rsidRPr="006A4CD7">
        <w:rPr>
          <w:rFonts w:cs="Times New Roman"/>
          <w:i/>
          <w:iCs/>
          <w:szCs w:val="24"/>
        </w:rPr>
        <w:lastRenderedPageBreak/>
        <w:t xml:space="preserve">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316A92F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w:t>
      </w:r>
      <w:r w:rsidR="00197473" w:rsidRPr="006A4CD7">
        <w:rPr>
          <w:rFonts w:cs="Times New Roman"/>
          <w:szCs w:val="24"/>
        </w:rPr>
        <w:t>involves</w:t>
      </w:r>
      <w:r w:rsidRPr="006A4CD7">
        <w:rPr>
          <w:rFonts w:cs="Times New Roman"/>
          <w:szCs w:val="24"/>
        </w:rPr>
        <w:t xml:space="preserve"> an aspect of a product that is physically and functionally inseparable from the product as a whole, that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529 U.S. at 215 (“[C]</w:t>
      </w:r>
      <w:proofErr w:type="spellStart"/>
      <w:r w:rsidRPr="006A4CD7">
        <w:rPr>
          <w:rFonts w:cs="Times New Roman"/>
          <w:szCs w:val="24"/>
        </w:rPr>
        <w:t>ourts</w:t>
      </w:r>
      <w:proofErr w:type="spellEnd"/>
      <w:r w:rsidRPr="006A4CD7">
        <w:rPr>
          <w:rFonts w:cs="Times New Roman"/>
          <w:szCs w:val="24"/>
        </w:rPr>
        <w:t xml:space="preserve">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particular source of the product and distinguish it from other products. </w:t>
      </w:r>
      <w:r w:rsidRPr="006A4CD7">
        <w:rPr>
          <w:rFonts w:cs="Times New Roman"/>
          <w:i/>
          <w:iCs/>
          <w:szCs w:val="24"/>
        </w:rPr>
        <w:t xml:space="preserve">See International Jensen, Inc. v. </w:t>
      </w:r>
      <w:proofErr w:type="spellStart"/>
      <w:r w:rsidRPr="006A4CD7">
        <w:rPr>
          <w:rFonts w:cs="Times New Roman"/>
          <w:i/>
          <w:iCs/>
          <w:szCs w:val="24"/>
        </w:rPr>
        <w:t>Metrosound</w:t>
      </w:r>
      <w:proofErr w:type="spellEnd"/>
      <w:r w:rsidRPr="006A4CD7">
        <w:rPr>
          <w:rFonts w:cs="Times New Roman"/>
          <w:i/>
          <w:iCs/>
          <w:szCs w:val="24"/>
        </w:rPr>
        <w:t xml:space="preserve">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 xml:space="preserve">See, e.g., Continental Laboratory Products, Inc. v. </w:t>
      </w:r>
      <w:proofErr w:type="spellStart"/>
      <w:r w:rsidRPr="006A4CD7">
        <w:rPr>
          <w:rFonts w:cs="Times New Roman"/>
          <w:i/>
          <w:iCs/>
          <w:szCs w:val="24"/>
        </w:rPr>
        <w:t>Medax</w:t>
      </w:r>
      <w:proofErr w:type="spellEnd"/>
      <w:r w:rsidRPr="006A4CD7">
        <w:rPr>
          <w:rFonts w:cs="Times New Roman"/>
          <w:i/>
          <w:iCs/>
          <w:szCs w:val="24"/>
        </w:rPr>
        <w:t xml:space="preserve">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65663703" w14:textId="77777777" w:rsidR="009412F2" w:rsidRDefault="006A4CD7" w:rsidP="00197473">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whether or not that source is </w:t>
      </w:r>
    </w:p>
    <w:p w14:paraId="2DFFEE14" w14:textId="1D5958B7" w:rsidR="006A4CD7" w:rsidRDefault="006A4CD7" w:rsidP="00197473">
      <w:pPr>
        <w:autoSpaceDE w:val="0"/>
        <w:autoSpaceDN w:val="0"/>
        <w:adjustRightInd w:val="0"/>
        <w:ind w:left="720"/>
        <w:rPr>
          <w:rFonts w:cs="Times New Roman"/>
          <w:szCs w:val="24"/>
        </w:rPr>
      </w:pPr>
      <w:r w:rsidRPr="006A4CD7">
        <w:rPr>
          <w:rFonts w:cs="Times New Roman"/>
          <w:szCs w:val="24"/>
        </w:rPr>
        <w:t xml:space="preserve">known to the consumer. Inherently distinctive trade dress helps consumers identify the product, distinguishing the plaintiff’s product from that produced by others, such as the defendant. </w:t>
      </w:r>
    </w:p>
    <w:p w14:paraId="07AD2A2B" w14:textId="77777777" w:rsidR="009412F2" w:rsidRPr="006A4CD7" w:rsidRDefault="009412F2" w:rsidP="00197473">
      <w:pPr>
        <w:autoSpaceDE w:val="0"/>
        <w:autoSpaceDN w:val="0"/>
        <w:adjustRightInd w:val="0"/>
        <w:ind w:left="72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descriptive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particular maker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particular maker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58C7B2"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w:t>
      </w:r>
      <w:r w:rsidR="00197473" w:rsidRPr="006A4CD7">
        <w:rPr>
          <w:rFonts w:cs="Times New Roman"/>
          <w:szCs w:val="24"/>
        </w:rPr>
        <w:t>textbook</w:t>
      </w:r>
      <w:r w:rsidRPr="006A4CD7">
        <w:rPr>
          <w:rFonts w:cs="Times New Roman"/>
          <w:szCs w:val="24"/>
        </w:rPr>
        <w:t xml:space="preserve">. The </w:t>
      </w:r>
      <w:r w:rsidR="00197473" w:rsidRPr="006A4CD7">
        <w:rPr>
          <w:rFonts w:cs="Times New Roman"/>
          <w:szCs w:val="24"/>
        </w:rPr>
        <w:t>textbook</w:t>
      </w:r>
      <w:r w:rsidRPr="006A4CD7">
        <w:rPr>
          <w:rFonts w:cs="Times New Roman"/>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new and previously unknown shape. It is totally </w:t>
      </w:r>
      <w:r w:rsidRPr="006A4CD7">
        <w:rPr>
          <w:rFonts w:cs="Times New Roman"/>
          <w:szCs w:val="24"/>
        </w:rPr>
        <w:lastRenderedPageBreak/>
        <w:t xml:space="preserve">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21E9713D"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w:t>
      </w:r>
      <w:r w:rsidR="00FC4B36">
        <w:rPr>
          <w:rFonts w:cs="Times New Roman"/>
          <w:i/>
          <w:iCs/>
          <w:szCs w:val="24"/>
        </w:rPr>
        <w:t>2</w:t>
      </w:r>
    </w:p>
    <w:p w14:paraId="6BBFE2DD" w14:textId="77777777" w:rsidR="0073585E" w:rsidRPr="006A4CD7" w:rsidRDefault="0073585E" w:rsidP="0060759C">
      <w:pPr>
        <w:autoSpaceDE w:val="0"/>
        <w:autoSpaceDN w:val="0"/>
        <w:adjustRightInd w:val="0"/>
        <w:jc w:val="right"/>
        <w:rPr>
          <w:rFonts w:cs="Times New Roman"/>
          <w:szCs w:val="24"/>
        </w:rPr>
      </w:pPr>
    </w:p>
    <w:p w14:paraId="3B6F2921" w14:textId="70148BD3" w:rsidR="0073585E" w:rsidRDefault="006A4CD7" w:rsidP="00BF342F">
      <w:pPr>
        <w:pStyle w:val="Heading2"/>
      </w:pPr>
      <w:r w:rsidRPr="006A4CD7">
        <w:br w:type="page"/>
      </w:r>
      <w:bookmarkStart w:id="252" w:name="_Toc117512536"/>
      <w:r w:rsidRPr="006A4CD7">
        <w:lastRenderedPageBreak/>
        <w:t xml:space="preserve">15.11 </w:t>
      </w:r>
      <w:r w:rsidR="002D3E69" w:rsidRPr="002D3E69">
        <w:t>Infringement—Elements—Validity—Distinctiveness—Secondary Meaning</w:t>
      </w:r>
      <w:bookmarkEnd w:id="252"/>
    </w:p>
    <w:p w14:paraId="32899FBF" w14:textId="77777777" w:rsidR="006A4CD7" w:rsidRPr="006A4CD7" w:rsidRDefault="006A4CD7" w:rsidP="00EA4DDD"/>
    <w:p w14:paraId="64C2242C"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determined in Instruction [</w:t>
      </w:r>
      <w:r w:rsidRPr="006A4CD7">
        <w:rPr>
          <w:rFonts w:cs="Times New Roman"/>
          <w:i/>
          <w:iCs/>
          <w:szCs w:val="24"/>
          <w:u w:val="single"/>
        </w:rPr>
        <w:t>insert number of instruction e.g. 15.10]</w:t>
      </w:r>
      <w:r w:rsidRPr="006A4CD7">
        <w:rPr>
          <w:rFonts w:cs="Times New Roman"/>
          <w:szCs w:val="24"/>
        </w:rPr>
        <w:t xml:space="preserve"> that [</w:t>
      </w:r>
      <w:r w:rsidRPr="006A4CD7">
        <w:rPr>
          <w:rFonts w:cs="Times New Roman"/>
          <w:i/>
          <w:iCs/>
          <w:szCs w:val="24"/>
          <w:u w:val="single"/>
        </w:rPr>
        <w:t>identify plaintiff’s claimed trademark</w:t>
      </w:r>
      <w:r w:rsidRPr="006A4CD7">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06F29842" w14:textId="77777777" w:rsidR="006A4CD7" w:rsidRPr="006A4CD7" w:rsidRDefault="006A4CD7" w:rsidP="0060759C">
      <w:pPr>
        <w:autoSpaceDE w:val="0"/>
        <w:autoSpaceDN w:val="0"/>
        <w:adjustRightInd w:val="0"/>
        <w:rPr>
          <w:rFonts w:cs="Times New Roman"/>
          <w:szCs w:val="24"/>
        </w:rPr>
      </w:pPr>
    </w:p>
    <w:p w14:paraId="23C7E1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6A4CD7">
        <w:rPr>
          <w:rFonts w:cs="Times New Roman"/>
          <w:i/>
          <w:iCs/>
          <w:szCs w:val="24"/>
          <w:u w:val="single"/>
        </w:rPr>
        <w:t>identify the alleged trademark</w:t>
      </w:r>
      <w:r w:rsidRPr="006A4CD7">
        <w:rPr>
          <w:rFonts w:cs="Times New Roman"/>
          <w:szCs w:val="24"/>
        </w:rPr>
        <w:t xml:space="preserve">] with a single source, in order to find that it has acquired secondary meaning. </w:t>
      </w:r>
    </w:p>
    <w:p w14:paraId="462327A5" w14:textId="77777777" w:rsidR="006A4CD7" w:rsidRPr="006A4CD7" w:rsidRDefault="006A4CD7" w:rsidP="0060759C">
      <w:pPr>
        <w:autoSpaceDE w:val="0"/>
        <w:autoSpaceDN w:val="0"/>
        <w:adjustRightInd w:val="0"/>
        <w:rPr>
          <w:rFonts w:cs="Times New Roman"/>
          <w:szCs w:val="24"/>
        </w:rPr>
      </w:pPr>
    </w:p>
    <w:p w14:paraId="4DB4C2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you are determining whether [</w:t>
      </w:r>
      <w:r w:rsidRPr="006A4CD7">
        <w:rPr>
          <w:rFonts w:cs="Times New Roman"/>
          <w:i/>
          <w:iCs/>
          <w:szCs w:val="24"/>
          <w:u w:val="single"/>
        </w:rPr>
        <w:t>describe symbol or term</w:t>
      </w:r>
      <w:r w:rsidRPr="006A4CD7">
        <w:rPr>
          <w:rFonts w:cs="Times New Roman"/>
          <w:szCs w:val="24"/>
        </w:rPr>
        <w:t xml:space="preserve">] has acquired a secondary meaning, consider the following factors: </w:t>
      </w:r>
    </w:p>
    <w:p w14:paraId="2A9A69BC" w14:textId="77777777" w:rsidR="006A4CD7" w:rsidRPr="006A4CD7" w:rsidRDefault="006A4CD7" w:rsidP="0060759C">
      <w:pPr>
        <w:autoSpaceDE w:val="0"/>
        <w:autoSpaceDN w:val="0"/>
        <w:adjustRightInd w:val="0"/>
        <w:rPr>
          <w:rFonts w:cs="Times New Roman"/>
          <w:szCs w:val="24"/>
        </w:rPr>
      </w:pPr>
    </w:p>
    <w:p w14:paraId="00D7185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Pr="006A4CD7">
        <w:rPr>
          <w:rFonts w:cs="Times New Roman"/>
          <w:szCs w:val="24"/>
        </w:rPr>
        <w:tab/>
        <w:t>Consumer Perception.  Whether the people who purchase the [product] [service] that bears the claimed trademark associate the trademark with the [owner] [assignee] [licensee];</w:t>
      </w:r>
    </w:p>
    <w:p w14:paraId="56CD2FD9" w14:textId="77777777" w:rsidR="006A4CD7" w:rsidRPr="006A4CD7" w:rsidRDefault="006A4CD7" w:rsidP="00BE3322">
      <w:pPr>
        <w:autoSpaceDE w:val="0"/>
        <w:autoSpaceDN w:val="0"/>
        <w:adjustRightInd w:val="0"/>
        <w:ind w:left="1440" w:hanging="720"/>
        <w:rPr>
          <w:rFonts w:cs="Times New Roman"/>
          <w:szCs w:val="24"/>
        </w:rPr>
      </w:pPr>
    </w:p>
    <w:p w14:paraId="18B16FC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Pr="006A4CD7">
        <w:rPr>
          <w:rFonts w:cs="Times New Roman"/>
          <w:szCs w:val="24"/>
        </w:rPr>
        <w:tab/>
        <w:t xml:space="preserve">Advertisement.  To what degree and in what manner the [owner] [assignee] [licensee] may have advertised under the claimed trademark; </w:t>
      </w:r>
    </w:p>
    <w:p w14:paraId="6A1AD3DA" w14:textId="77777777" w:rsidR="006A4CD7" w:rsidRPr="006A4CD7" w:rsidRDefault="006A4CD7" w:rsidP="00BE3322">
      <w:pPr>
        <w:autoSpaceDE w:val="0"/>
        <w:autoSpaceDN w:val="0"/>
        <w:adjustRightInd w:val="0"/>
        <w:ind w:left="1440" w:hanging="720"/>
        <w:rPr>
          <w:rFonts w:cs="Times New Roman"/>
          <w:szCs w:val="24"/>
        </w:rPr>
      </w:pPr>
    </w:p>
    <w:p w14:paraId="223E3DD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Pr="006A4CD7">
        <w:rPr>
          <w:rFonts w:cs="Times New Roman"/>
          <w:szCs w:val="24"/>
        </w:rPr>
        <w:tab/>
        <w:t>Demonstrated Utility.  Whether the [owner] [assignee] [licensee] successfully used this trademark to increase the sales of its [product] [service];</w:t>
      </w:r>
    </w:p>
    <w:p w14:paraId="48D84829" w14:textId="77777777" w:rsidR="006A4CD7" w:rsidRPr="006A4CD7" w:rsidRDefault="006A4CD7" w:rsidP="00BE3322">
      <w:pPr>
        <w:autoSpaceDE w:val="0"/>
        <w:autoSpaceDN w:val="0"/>
        <w:adjustRightInd w:val="0"/>
        <w:ind w:left="1440" w:hanging="720"/>
        <w:rPr>
          <w:rFonts w:cs="Times New Roman"/>
          <w:szCs w:val="24"/>
        </w:rPr>
      </w:pPr>
    </w:p>
    <w:p w14:paraId="2C5536EB"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Pr="006A4CD7">
        <w:rPr>
          <w:rFonts w:cs="Times New Roman"/>
          <w:szCs w:val="24"/>
        </w:rPr>
        <w:tab/>
        <w:t>Extent of Use.  The length of time and manner in which the [owner] [assignee] [licensee] used the claimed trademark;</w:t>
      </w:r>
    </w:p>
    <w:p w14:paraId="5C28B008" w14:textId="77777777" w:rsidR="00EA4DDD" w:rsidRDefault="00EA4DDD" w:rsidP="00BE3322">
      <w:pPr>
        <w:ind w:left="1440" w:hanging="720"/>
      </w:pPr>
    </w:p>
    <w:p w14:paraId="1FF61ADE"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Pr="006A4CD7">
        <w:rPr>
          <w:rFonts w:ascii="VEYYM C+ Times New Roman," w:hAnsi="VEYYM C+ Times New Roman," w:cs="VEYYM C+ Times New Roman,"/>
          <w:szCs w:val="24"/>
        </w:rPr>
        <w:tab/>
      </w:r>
      <w:r w:rsidRPr="006A4CD7">
        <w:rPr>
          <w:rFonts w:cs="Times New Roman"/>
          <w:szCs w:val="24"/>
        </w:rPr>
        <w:t xml:space="preserve">Exclusivity.  Whether the [owner’ s] [assignee’ s] [licensee’ s] use of the claimed trademark was exclusive; </w:t>
      </w:r>
    </w:p>
    <w:p w14:paraId="3F718912" w14:textId="77777777" w:rsidR="006A4CD7" w:rsidRPr="006A4CD7" w:rsidRDefault="006A4CD7" w:rsidP="00BE3322">
      <w:pPr>
        <w:autoSpaceDE w:val="0"/>
        <w:autoSpaceDN w:val="0"/>
        <w:adjustRightInd w:val="0"/>
        <w:ind w:left="1440" w:hanging="720"/>
        <w:rPr>
          <w:rFonts w:cs="Times New Roman"/>
          <w:szCs w:val="24"/>
        </w:rPr>
      </w:pPr>
    </w:p>
    <w:p w14:paraId="01A449E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6</w:t>
      </w:r>
      <w:r w:rsidR="00BE3322">
        <w:rPr>
          <w:rFonts w:cs="Times New Roman"/>
          <w:szCs w:val="24"/>
        </w:rPr>
        <w:t>.</w:t>
      </w:r>
      <w:r w:rsidRPr="006A4CD7">
        <w:rPr>
          <w:rFonts w:cs="Times New Roman"/>
          <w:szCs w:val="24"/>
        </w:rPr>
        <w:tab/>
        <w:t xml:space="preserve">Copying.  Whether the defendant intentionally copied the [[owner’ s] [assignee’s] [licensee’ s]] trademark; </w:t>
      </w:r>
    </w:p>
    <w:p w14:paraId="16B354D8" w14:textId="77777777" w:rsidR="006A4CD7" w:rsidRPr="006A4CD7" w:rsidRDefault="006A4CD7" w:rsidP="00BE3322">
      <w:pPr>
        <w:autoSpaceDE w:val="0"/>
        <w:autoSpaceDN w:val="0"/>
        <w:adjustRightInd w:val="0"/>
        <w:ind w:left="1440" w:hanging="720"/>
        <w:rPr>
          <w:rFonts w:cs="Times New Roman"/>
          <w:szCs w:val="24"/>
        </w:rPr>
      </w:pPr>
    </w:p>
    <w:p w14:paraId="78CAB1F7"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7</w:t>
      </w:r>
      <w:r w:rsidR="00BE3322">
        <w:rPr>
          <w:rFonts w:cs="Times New Roman"/>
          <w:szCs w:val="24"/>
        </w:rPr>
        <w:t>.</w:t>
      </w:r>
      <w:r w:rsidRPr="006A4CD7">
        <w:rPr>
          <w:rFonts w:cs="Times New Roman"/>
          <w:szCs w:val="24"/>
        </w:rPr>
        <w:tab/>
        <w:t xml:space="preserve">Actual Confusion.  Whether the defendant’s use of the plaintiff’s trademark has led to actual confusion among a significant number of consumers; and </w:t>
      </w:r>
    </w:p>
    <w:p w14:paraId="131A51B9" w14:textId="77777777" w:rsidR="00EA4DDD" w:rsidRDefault="00EA4DDD" w:rsidP="00BE3322">
      <w:pPr>
        <w:ind w:left="1440" w:hanging="720"/>
      </w:pPr>
    </w:p>
    <w:p w14:paraId="73BDE12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8</w:t>
      </w:r>
      <w:r w:rsidR="00BE3322">
        <w:rPr>
          <w:rFonts w:cs="Times New Roman"/>
          <w:szCs w:val="24"/>
        </w:rPr>
        <w:t>.</w:t>
      </w:r>
      <w:r w:rsidRPr="006A4CD7">
        <w:rPr>
          <w:rFonts w:cs="Times New Roman"/>
          <w:szCs w:val="24"/>
        </w:rPr>
        <w:tab/>
        <w:t>[</w:t>
      </w:r>
      <w:r w:rsidRPr="006A4CD7">
        <w:rPr>
          <w:rFonts w:cs="Times New Roman"/>
          <w:i/>
          <w:iCs/>
          <w:szCs w:val="24"/>
          <w:u w:val="single"/>
        </w:rPr>
        <w:t>Insert any other factors that bear on secondary meaning</w:t>
      </w:r>
      <w:r w:rsidRPr="006A4CD7">
        <w:rPr>
          <w:rFonts w:cs="Times New Roman"/>
          <w:szCs w:val="24"/>
        </w:rPr>
        <w:t xml:space="preserve">]. </w:t>
      </w:r>
    </w:p>
    <w:p w14:paraId="56745350" w14:textId="77777777" w:rsidR="006A4CD7" w:rsidRPr="006A4CD7" w:rsidRDefault="006A4CD7" w:rsidP="0060759C">
      <w:pPr>
        <w:autoSpaceDE w:val="0"/>
        <w:autoSpaceDN w:val="0"/>
        <w:adjustRightInd w:val="0"/>
        <w:rPr>
          <w:rFonts w:cs="Times New Roman"/>
          <w:szCs w:val="24"/>
        </w:rPr>
      </w:pPr>
    </w:p>
    <w:p w14:paraId="47AD077E" w14:textId="77777777" w:rsidR="006A4CD7" w:rsidRDefault="006A4CD7" w:rsidP="0060759C">
      <w:pPr>
        <w:autoSpaceDE w:val="0"/>
        <w:autoSpaceDN w:val="0"/>
        <w:adjustRightInd w:val="0"/>
        <w:rPr>
          <w:rFonts w:cs="Times New Roman"/>
          <w:szCs w:val="24"/>
        </w:rPr>
      </w:pPr>
      <w:r w:rsidRPr="006A4CD7">
        <w:rPr>
          <w:rFonts w:cs="Times New Roman"/>
          <w:szCs w:val="24"/>
        </w:rPr>
        <w:t>The presence or absence of any particular factor should not necessarily resolve whether [</w:t>
      </w:r>
      <w:r w:rsidRPr="006A4CD7">
        <w:rPr>
          <w:rFonts w:cs="Times New Roman"/>
          <w:i/>
          <w:iCs/>
          <w:szCs w:val="24"/>
          <w:u w:val="single"/>
        </w:rPr>
        <w:t>identify the alleged trademark</w:t>
      </w:r>
      <w:r w:rsidRPr="006A4CD7">
        <w:rPr>
          <w:rFonts w:cs="Times New Roman"/>
          <w:szCs w:val="24"/>
          <w:u w:val="single"/>
        </w:rPr>
        <w:t>]</w:t>
      </w:r>
      <w:r w:rsidRPr="006A4CD7">
        <w:rPr>
          <w:rFonts w:cs="Times New Roman"/>
          <w:szCs w:val="24"/>
        </w:rPr>
        <w:t xml:space="preserve"> has acquired secondary meaning.</w:t>
      </w:r>
    </w:p>
    <w:p w14:paraId="54054809" w14:textId="77777777" w:rsidR="00EA4DDD" w:rsidRPr="006A4CD7" w:rsidRDefault="00EA4DDD" w:rsidP="0060759C">
      <w:pPr>
        <w:autoSpaceDE w:val="0"/>
        <w:autoSpaceDN w:val="0"/>
        <w:adjustRightInd w:val="0"/>
        <w:rPr>
          <w:rFonts w:cs="Times New Roman"/>
          <w:szCs w:val="24"/>
        </w:rPr>
      </w:pPr>
    </w:p>
    <w:p w14:paraId="69A964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Descriptive marks are protectable only to the extent you find they acquired distinctiveness [through secondary meaning] [[by the public coming to associate the mark with </w:t>
      </w:r>
      <w:r w:rsidRPr="006A4CD7">
        <w:rPr>
          <w:rFonts w:cs="Times New Roman"/>
          <w:szCs w:val="24"/>
        </w:rPr>
        <w:lastRenderedPageBreak/>
        <w:t xml:space="preserve">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2277C311" w14:textId="77777777" w:rsidR="006A4CD7" w:rsidRPr="006A4CD7" w:rsidRDefault="006A4CD7" w:rsidP="0060759C">
      <w:pPr>
        <w:autoSpaceDE w:val="0"/>
        <w:autoSpaceDN w:val="0"/>
        <w:adjustRightInd w:val="0"/>
        <w:rPr>
          <w:rFonts w:cs="Times New Roman"/>
          <w:szCs w:val="24"/>
        </w:rPr>
      </w:pPr>
    </w:p>
    <w:p w14:paraId="678338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that the </w:t>
      </w:r>
      <w:r w:rsidRPr="006A4CD7">
        <w:rPr>
          <w:rFonts w:cs="Times New Roman"/>
          <w:szCs w:val="24"/>
          <w:u w:val="single"/>
        </w:rPr>
        <w:t>[</w:t>
      </w:r>
      <w:r w:rsidRPr="006A4CD7">
        <w:rPr>
          <w:rFonts w:cs="Times New Roman"/>
          <w:i/>
          <w:iCs/>
          <w:szCs w:val="24"/>
          <w:u w:val="single"/>
        </w:rPr>
        <w:t>identify plaintiff’s trademark</w:t>
      </w:r>
      <w:r w:rsidRPr="006A4CD7">
        <w:rPr>
          <w:rFonts w:cs="Times New Roman"/>
          <w:szCs w:val="24"/>
        </w:rPr>
        <w:t>] has acquired a secondary meaning.] [The defendant has the burden of proving that the [</w:t>
      </w:r>
      <w:r w:rsidRPr="006A4CD7">
        <w:rPr>
          <w:rFonts w:cs="Times New Roman"/>
          <w:i/>
          <w:iCs/>
          <w:szCs w:val="24"/>
          <w:u w:val="single"/>
        </w:rPr>
        <w:t>identify plaintiff’s trademark</w:t>
      </w:r>
      <w:r w:rsidRPr="006A4CD7">
        <w:rPr>
          <w:rFonts w:cs="Times New Roman"/>
          <w:szCs w:val="24"/>
        </w:rPr>
        <w:t xml:space="preserve">] lacks a secondary meaning.] </w:t>
      </w:r>
    </w:p>
    <w:p w14:paraId="301C1BE3" w14:textId="77777777" w:rsidR="006A4CD7" w:rsidRPr="006A4CD7" w:rsidRDefault="006A4CD7" w:rsidP="0060759C">
      <w:pPr>
        <w:autoSpaceDE w:val="0"/>
        <w:autoSpaceDN w:val="0"/>
        <w:adjustRightInd w:val="0"/>
        <w:rPr>
          <w:rFonts w:cs="Times New Roman"/>
          <w:szCs w:val="24"/>
        </w:rPr>
      </w:pPr>
    </w:p>
    <w:p w14:paraId="41669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mere fact that the plaintiff is using [</w:t>
      </w:r>
      <w:r w:rsidRPr="006A4CD7">
        <w:rPr>
          <w:rFonts w:cs="Times New Roman"/>
          <w:i/>
          <w:iCs/>
          <w:szCs w:val="24"/>
          <w:u w:val="single"/>
        </w:rPr>
        <w:t>describe symbol or term</w:t>
      </w:r>
      <w:r w:rsidRPr="006A4CD7">
        <w:rPr>
          <w:rFonts w:cs="Times New Roman"/>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17D1C084"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4D340D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76AB353" w14:textId="77777777" w:rsidR="006A4CD7" w:rsidRPr="006A4CD7" w:rsidRDefault="006A4CD7" w:rsidP="00EA4DDD"/>
    <w:p w14:paraId="736E345E"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test for secondary meaning is the same whether for product configuration or trade dress or trademark cases. </w:t>
      </w:r>
      <w:r w:rsidRPr="006A4CD7">
        <w:rPr>
          <w:rFonts w:cs="Times New Roman"/>
          <w:i/>
          <w:iCs/>
          <w:szCs w:val="24"/>
        </w:rPr>
        <w:t xml:space="preserve">See Avery Dennison Corp. v. </w:t>
      </w:r>
      <w:proofErr w:type="spellStart"/>
      <w:r w:rsidRPr="006A4CD7">
        <w:rPr>
          <w:rFonts w:cs="Times New Roman"/>
          <w:i/>
          <w:iCs/>
          <w:szCs w:val="24"/>
        </w:rPr>
        <w:t>Sumpton</w:t>
      </w:r>
      <w:proofErr w:type="spellEnd"/>
      <w:r w:rsidRPr="006A4CD7">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6A4CD7">
        <w:rPr>
          <w:rFonts w:cs="Times New Roman"/>
          <w:i/>
          <w:iCs/>
          <w:szCs w:val="24"/>
        </w:rPr>
        <w:t xml:space="preserve"> See Self–Realization Fellowship Church v. Ananda</w:t>
      </w:r>
      <w:r w:rsidRPr="006A4CD7">
        <w:rPr>
          <w:rFonts w:cs="Times New Roman"/>
          <w:szCs w:val="24"/>
        </w:rPr>
        <w:t xml:space="preserve">, 59 F.3d 902, 910-12 (9th Cir. 1995) (finding that plaintiff’s unregistered mark was descriptive and lacked secondary meaning, and therefore, was invalid).  </w:t>
      </w:r>
      <w:r w:rsidRPr="006A4CD7">
        <w:rPr>
          <w:rFonts w:cs="Times New Roman"/>
          <w:i/>
          <w:iCs/>
          <w:szCs w:val="24"/>
        </w:rPr>
        <w:t>See also Filipino Yellow Pages. v. Asian Journal Publications</w:t>
      </w:r>
      <w:r w:rsidRPr="006A4CD7">
        <w:rPr>
          <w:rFonts w:cs="Times New Roman"/>
          <w:szCs w:val="24"/>
        </w:rPr>
        <w:t xml:space="preserve">, 198 F.3d 1143, 1151–52 (9th Cir. 1999). </w:t>
      </w:r>
    </w:p>
    <w:p w14:paraId="65DBE359" w14:textId="77777777" w:rsidR="006A4CD7" w:rsidRPr="006A4CD7" w:rsidRDefault="006A4CD7" w:rsidP="0060759C">
      <w:pPr>
        <w:autoSpaceDE w:val="0"/>
        <w:autoSpaceDN w:val="0"/>
        <w:adjustRightInd w:val="0"/>
        <w:rPr>
          <w:rFonts w:cs="Times New Roman"/>
          <w:szCs w:val="24"/>
        </w:rPr>
      </w:pPr>
    </w:p>
    <w:p w14:paraId="380C2924" w14:textId="77777777" w:rsidR="00964CAD" w:rsidRDefault="006A4CD7" w:rsidP="0060759C">
      <w:pPr>
        <w:autoSpaceDE w:val="0"/>
        <w:autoSpaceDN w:val="0"/>
        <w:adjustRightInd w:val="0"/>
        <w:rPr>
          <w:rFonts w:cs="Times New Roman"/>
          <w:szCs w:val="24"/>
        </w:rPr>
      </w:pPr>
      <w:r w:rsidRPr="006A4CD7">
        <w:rPr>
          <w:rFonts w:cs="Times New Roman"/>
          <w:szCs w:val="24"/>
        </w:rPr>
        <w:tab/>
        <w:t xml:space="preserve">Failure to list actual confusion as one of the factors the jury should have considered in determining whether the plaintiff had established secondary meaning was not harmless error. </w:t>
      </w:r>
      <w:r w:rsidRPr="006A4CD7">
        <w:rPr>
          <w:rFonts w:cs="Times New Roman"/>
          <w:i/>
          <w:iCs/>
          <w:szCs w:val="24"/>
        </w:rPr>
        <w:t xml:space="preserve"> See </w:t>
      </w:r>
      <w:proofErr w:type="spellStart"/>
      <w:r w:rsidRPr="006A4CD7">
        <w:rPr>
          <w:rFonts w:cs="Times New Roman"/>
          <w:i/>
          <w:iCs/>
          <w:szCs w:val="24"/>
        </w:rPr>
        <w:t>Adray</w:t>
      </w:r>
      <w:proofErr w:type="spellEnd"/>
      <w:r w:rsidRPr="006A4CD7">
        <w:rPr>
          <w:rFonts w:cs="Times New Roman"/>
          <w:i/>
          <w:iCs/>
          <w:szCs w:val="24"/>
        </w:rPr>
        <w:t xml:space="preserve"> v. </w:t>
      </w:r>
      <w:proofErr w:type="spellStart"/>
      <w:r w:rsidRPr="006A4CD7">
        <w:rPr>
          <w:rFonts w:cs="Times New Roman"/>
          <w:i/>
          <w:iCs/>
          <w:szCs w:val="24"/>
        </w:rPr>
        <w:t>Adry</w:t>
      </w:r>
      <w:proofErr w:type="spellEnd"/>
      <w:r w:rsidRPr="006A4CD7">
        <w:rPr>
          <w:rFonts w:cs="Times New Roman"/>
          <w:i/>
          <w:iCs/>
          <w:szCs w:val="24"/>
        </w:rPr>
        <w:t>-Mart, Inc.</w:t>
      </w:r>
      <w:r w:rsidRPr="006A4CD7">
        <w:rPr>
          <w:rFonts w:cs="Times New Roman"/>
          <w:szCs w:val="24"/>
        </w:rPr>
        <w:t xml:space="preserve">, 76 F.3d 984, 987 (9th Cir. 1995).  </w:t>
      </w:r>
      <w:r w:rsidRPr="006A4CD7">
        <w:rPr>
          <w:rFonts w:cs="Times New Roman"/>
          <w:i/>
          <w:iCs/>
          <w:szCs w:val="24"/>
        </w:rPr>
        <w:t>See also Committee for Idaho’s High Desert, Inc. v. Yost</w:t>
      </w:r>
      <w:r w:rsidRPr="006A4CD7">
        <w:rPr>
          <w:rFonts w:cs="Times New Roman"/>
          <w:szCs w:val="24"/>
        </w:rPr>
        <w:t>, 92 F.3d 814, 822-23 (9th Cir. 1996) (using in trade name dispute four factors cited in this instruction, not including actual confusion factor).</w:t>
      </w:r>
    </w:p>
    <w:p w14:paraId="37F58A22" w14:textId="77777777" w:rsidR="00964CAD" w:rsidRDefault="00964CAD" w:rsidP="0060759C">
      <w:pPr>
        <w:autoSpaceDE w:val="0"/>
        <w:autoSpaceDN w:val="0"/>
        <w:adjustRightInd w:val="0"/>
        <w:rPr>
          <w:rFonts w:cs="Times New Roman"/>
          <w:szCs w:val="24"/>
        </w:rPr>
      </w:pPr>
    </w:p>
    <w:p w14:paraId="3FADA812" w14:textId="61C0FBE9" w:rsidR="006A4CD7" w:rsidRPr="006A4CD7" w:rsidRDefault="00964CAD" w:rsidP="00964CAD">
      <w:pPr>
        <w:autoSpaceDE w:val="0"/>
        <w:autoSpaceDN w:val="0"/>
        <w:adjustRightInd w:val="0"/>
        <w:ind w:firstLine="720"/>
        <w:rPr>
          <w:rFonts w:cs="Times New Roman"/>
          <w:szCs w:val="24"/>
        </w:rPr>
      </w:pPr>
      <w:r w:rsidRPr="00F00D11">
        <w:rPr>
          <w:rFonts w:cs="Times New Roman"/>
          <w:szCs w:val="24"/>
        </w:rPr>
        <w:t>“[P]roof of copying strongly supports an inference of secondary meaning.”</w:t>
      </w:r>
      <w:r>
        <w:rPr>
          <w:rFonts w:cs="Times New Roman"/>
          <w:szCs w:val="24"/>
        </w:rPr>
        <w:t xml:space="preserve">  </w:t>
      </w:r>
      <w:r w:rsidRPr="00F00D11">
        <w:rPr>
          <w:rFonts w:cs="Times New Roman"/>
          <w:i/>
          <w:iCs/>
          <w:szCs w:val="24"/>
        </w:rPr>
        <w:t>P &amp; P Imports LLC v. Johnson Enterprises, LLC</w:t>
      </w:r>
      <w:r w:rsidRPr="00F00D11">
        <w:rPr>
          <w:rFonts w:cs="Times New Roman"/>
          <w:szCs w:val="24"/>
        </w:rPr>
        <w:t xml:space="preserve">, </w:t>
      </w:r>
      <w:r>
        <w:rPr>
          <w:rFonts w:cs="Times New Roman"/>
          <w:szCs w:val="24"/>
        </w:rPr>
        <w:t>46 F.4</w:t>
      </w:r>
      <w:r w:rsidRPr="007A06D2">
        <w:rPr>
          <w:rFonts w:cs="Times New Roman"/>
          <w:szCs w:val="24"/>
        </w:rPr>
        <w:t>th</w:t>
      </w:r>
      <w:r>
        <w:rPr>
          <w:rFonts w:cs="Times New Roman"/>
          <w:szCs w:val="24"/>
        </w:rPr>
        <w:t xml:space="preserve"> 953</w:t>
      </w:r>
      <w:r w:rsidRPr="00F00D11">
        <w:rPr>
          <w:rFonts w:cs="Times New Roman"/>
          <w:szCs w:val="24"/>
        </w:rPr>
        <w:t xml:space="preserve">, </w:t>
      </w:r>
      <w:r>
        <w:rPr>
          <w:rFonts w:cs="Times New Roman"/>
          <w:szCs w:val="24"/>
        </w:rPr>
        <w:t>961</w:t>
      </w:r>
      <w:r w:rsidRPr="00F00D11">
        <w:rPr>
          <w:rFonts w:cs="Times New Roman"/>
          <w:szCs w:val="24"/>
        </w:rPr>
        <w:t xml:space="preserve"> (9th Cir. 2022). </w:t>
      </w:r>
      <w:r>
        <w:rPr>
          <w:rFonts w:cs="Times New Roman"/>
          <w:szCs w:val="24"/>
        </w:rPr>
        <w:t xml:space="preserve"> </w:t>
      </w:r>
      <w:r w:rsidRPr="00F00D11">
        <w:rPr>
          <w:rFonts w:cs="Times New Roman"/>
          <w:szCs w:val="24"/>
        </w:rPr>
        <w:t>The plaintiff does not have to prove that the defendant intended to confuse consumers and pass off its products as the plaintiffs in order to raise such an inference.</w:t>
      </w:r>
      <w:r>
        <w:rPr>
          <w:rFonts w:cs="Times New Roman"/>
          <w:szCs w:val="24"/>
        </w:rPr>
        <w:t xml:space="preserve">  </w:t>
      </w:r>
      <w:r w:rsidRPr="00F00D11">
        <w:rPr>
          <w:rFonts w:cs="Times New Roman"/>
          <w:szCs w:val="24"/>
        </w:rPr>
        <w:t>Secondary meaning can also be</w:t>
      </w:r>
      <w:r>
        <w:rPr>
          <w:rFonts w:cs="Times New Roman"/>
          <w:szCs w:val="24"/>
        </w:rPr>
        <w:t xml:space="preserve"> </w:t>
      </w:r>
      <w:r w:rsidRPr="00F00D11">
        <w:rPr>
          <w:rFonts w:cs="Times New Roman"/>
          <w:szCs w:val="24"/>
        </w:rPr>
        <w:t>established by evidence of a likelihood of confusion.</w:t>
      </w:r>
      <w:r>
        <w:rPr>
          <w:rFonts w:cs="Times New Roman"/>
          <w:szCs w:val="24"/>
        </w:rPr>
        <w:t xml:space="preserve"> </w:t>
      </w:r>
      <w:r w:rsidRPr="00F00D11">
        <w:rPr>
          <w:rFonts w:cs="Times New Roman"/>
          <w:szCs w:val="24"/>
        </w:rPr>
        <w:t xml:space="preserve"> </w:t>
      </w:r>
      <w:r w:rsidRPr="00F00D11">
        <w:rPr>
          <w:rFonts w:cs="Times New Roman"/>
          <w:i/>
          <w:iCs/>
          <w:szCs w:val="24"/>
        </w:rPr>
        <w:t>Id.</w:t>
      </w:r>
      <w:r w:rsidR="006A4CD7" w:rsidRPr="006A4CD7">
        <w:rPr>
          <w:rFonts w:cs="Times New Roman"/>
          <w:szCs w:val="24"/>
        </w:rPr>
        <w:t xml:space="preserve"> </w:t>
      </w:r>
    </w:p>
    <w:p w14:paraId="0415931C" w14:textId="77777777" w:rsidR="006A4CD7" w:rsidRPr="006A4CD7" w:rsidRDefault="006A4CD7" w:rsidP="0060759C">
      <w:pPr>
        <w:autoSpaceDE w:val="0"/>
        <w:autoSpaceDN w:val="0"/>
        <w:adjustRightInd w:val="0"/>
        <w:rPr>
          <w:rFonts w:cs="Times New Roman"/>
          <w:szCs w:val="24"/>
        </w:rPr>
      </w:pPr>
    </w:p>
    <w:p w14:paraId="2647AEF4" w14:textId="179AD442" w:rsidR="00964CAD" w:rsidRDefault="006A4CD7" w:rsidP="0060759C">
      <w:pPr>
        <w:autoSpaceDE w:val="0"/>
        <w:autoSpaceDN w:val="0"/>
        <w:adjustRightInd w:val="0"/>
        <w:rPr>
          <w:rFonts w:cs="Times New Roman"/>
          <w:szCs w:val="24"/>
        </w:rPr>
      </w:pPr>
      <w:r w:rsidRPr="006A4CD7">
        <w:rPr>
          <w:rFonts w:cs="Times New Roman"/>
          <w:szCs w:val="24"/>
        </w:rPr>
        <w:tab/>
        <w:t>When a mark is not in the public domain, a showing of secondary meaning requires a mark to be associated in common thought, not merely with the thing produced, but with the source or origin of the production</w:t>
      </w:r>
      <w:r w:rsidR="00964CAD">
        <w:rPr>
          <w:rFonts w:cs="Times New Roman"/>
          <w:szCs w:val="24"/>
        </w:rPr>
        <w:t>, even if anonymous.</w:t>
      </w:r>
      <w:r w:rsidRPr="006A4CD7">
        <w:rPr>
          <w:rFonts w:cs="Times New Roman"/>
          <w:i/>
          <w:iCs/>
          <w:szCs w:val="24"/>
        </w:rPr>
        <w:t xml:space="preserve">  See </w:t>
      </w:r>
      <w:proofErr w:type="spellStart"/>
      <w:r w:rsidRPr="006A4CD7">
        <w:rPr>
          <w:rFonts w:cs="Times New Roman"/>
          <w:i/>
          <w:iCs/>
          <w:szCs w:val="24"/>
        </w:rPr>
        <w:t>Maljack</w:t>
      </w:r>
      <w:proofErr w:type="spellEnd"/>
      <w:r w:rsidRPr="006A4CD7">
        <w:rPr>
          <w:rFonts w:cs="Times New Roman"/>
          <w:i/>
          <w:iCs/>
          <w:szCs w:val="24"/>
        </w:rPr>
        <w:t xml:space="preserve"> Productions v. </w:t>
      </w:r>
      <w:proofErr w:type="spellStart"/>
      <w:r w:rsidRPr="006A4CD7">
        <w:rPr>
          <w:rFonts w:cs="Times New Roman"/>
          <w:i/>
          <w:iCs/>
          <w:szCs w:val="24"/>
        </w:rPr>
        <w:t>Goodtimes</w:t>
      </w:r>
      <w:proofErr w:type="spellEnd"/>
      <w:r w:rsidRPr="006A4CD7">
        <w:rPr>
          <w:rFonts w:cs="Times New Roman"/>
          <w:i/>
          <w:iCs/>
          <w:szCs w:val="24"/>
        </w:rPr>
        <w:t xml:space="preserve"> Home Video Corp.</w:t>
      </w:r>
      <w:r w:rsidRPr="006A4CD7">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6A4CD7">
        <w:rPr>
          <w:rFonts w:cs="Times New Roman"/>
          <w:i/>
          <w:iCs/>
          <w:szCs w:val="24"/>
        </w:rPr>
        <w:t xml:space="preserve">Grupo </w:t>
      </w:r>
      <w:proofErr w:type="spellStart"/>
      <w:r w:rsidRPr="006A4CD7">
        <w:rPr>
          <w:rFonts w:cs="Times New Roman"/>
          <w:i/>
          <w:iCs/>
          <w:szCs w:val="24"/>
        </w:rPr>
        <w:t>Gigante</w:t>
      </w:r>
      <w:proofErr w:type="spellEnd"/>
      <w:r w:rsidRPr="006A4CD7">
        <w:rPr>
          <w:rFonts w:cs="Times New Roman"/>
          <w:i/>
          <w:iCs/>
          <w:szCs w:val="24"/>
        </w:rPr>
        <w:t xml:space="preserve"> SA De CV v. </w:t>
      </w:r>
      <w:proofErr w:type="spellStart"/>
      <w:r w:rsidRPr="006A4CD7">
        <w:rPr>
          <w:rFonts w:cs="Times New Roman"/>
          <w:i/>
          <w:iCs/>
          <w:szCs w:val="24"/>
        </w:rPr>
        <w:t>Dallo</w:t>
      </w:r>
      <w:proofErr w:type="spellEnd"/>
      <w:r w:rsidRPr="006A4CD7">
        <w:rPr>
          <w:rFonts w:cs="Times New Roman"/>
          <w:i/>
          <w:iCs/>
          <w:szCs w:val="24"/>
        </w:rPr>
        <w:t xml:space="preserve"> &amp; Co</w:t>
      </w:r>
      <w:r w:rsidRPr="006A4CD7">
        <w:rPr>
          <w:rFonts w:cs="Times New Roman"/>
          <w:szCs w:val="24"/>
        </w:rPr>
        <w:t xml:space="preserve">., </w:t>
      </w:r>
      <w:r w:rsidRPr="006A4CD7">
        <w:rPr>
          <w:rFonts w:cs="Times New Roman"/>
          <w:i/>
          <w:iCs/>
          <w:szCs w:val="24"/>
        </w:rPr>
        <w:t>Inc.</w:t>
      </w:r>
      <w:r w:rsidRPr="006A4CD7">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w:t>
      </w:r>
      <w:r w:rsidRPr="006A4CD7">
        <w:rPr>
          <w:rFonts w:cs="Times New Roman"/>
          <w:szCs w:val="24"/>
        </w:rPr>
        <w:lastRenderedPageBreak/>
        <w:t xml:space="preserve">significance of a mark is to identify the source of the product rather than the product itself.’ Determining whether a mark has secondary meaning requires taking into account at least seven considerations”) (quoting </w:t>
      </w:r>
      <w:r w:rsidRPr="006A4CD7">
        <w:rPr>
          <w:rFonts w:cs="Times New Roman"/>
          <w:i/>
          <w:iCs/>
          <w:szCs w:val="24"/>
        </w:rPr>
        <w:t>Wal-Mart Stores, Inc. v. Samara Bros., Inc</w:t>
      </w:r>
      <w:r w:rsidRPr="006A4CD7">
        <w:rPr>
          <w:rFonts w:cs="Times New Roman"/>
          <w:szCs w:val="24"/>
        </w:rPr>
        <w:t>., 529 U.S. 205, 211 (2000)).</w:t>
      </w:r>
      <w:r w:rsidR="00964CAD">
        <w:rPr>
          <w:rFonts w:cs="Times New Roman"/>
          <w:szCs w:val="24"/>
        </w:rPr>
        <w:t xml:space="preserve"> </w:t>
      </w:r>
      <w:r w:rsidR="00964CAD" w:rsidRPr="00F00D11">
        <w:rPr>
          <w:rFonts w:cs="Times New Roman"/>
          <w:szCs w:val="24"/>
        </w:rPr>
        <w:t>This rule also applies in trade dress infringement cases</w:t>
      </w:r>
      <w:r w:rsidR="00964CAD" w:rsidRPr="00F00D11">
        <w:rPr>
          <w:rFonts w:cs="Times New Roman"/>
          <w:i/>
          <w:iCs/>
          <w:szCs w:val="24"/>
        </w:rPr>
        <w:t>. See</w:t>
      </w:r>
      <w:r w:rsidR="00964CAD">
        <w:rPr>
          <w:rFonts w:cs="Times New Roman"/>
          <w:i/>
          <w:iCs/>
          <w:szCs w:val="24"/>
        </w:rPr>
        <w:t xml:space="preserve"> </w:t>
      </w:r>
      <w:r w:rsidR="00964CAD" w:rsidRPr="00F00D11">
        <w:rPr>
          <w:rFonts w:cs="Times New Roman"/>
          <w:i/>
          <w:iCs/>
          <w:szCs w:val="24"/>
        </w:rPr>
        <w:t>P &amp; P Imports</w:t>
      </w:r>
      <w:r w:rsidR="00964CAD" w:rsidRPr="00F00D11">
        <w:rPr>
          <w:rFonts w:cs="Times New Roman"/>
          <w:szCs w:val="24"/>
        </w:rPr>
        <w:t xml:space="preserve">, </w:t>
      </w:r>
      <w:r w:rsidR="00964CAD">
        <w:rPr>
          <w:rFonts w:cs="Times New Roman"/>
          <w:szCs w:val="24"/>
        </w:rPr>
        <w:t>46 F.4</w:t>
      </w:r>
      <w:r w:rsidR="00964CAD" w:rsidRPr="007A06D2">
        <w:rPr>
          <w:rFonts w:cs="Times New Roman"/>
          <w:szCs w:val="24"/>
        </w:rPr>
        <w:t>th</w:t>
      </w:r>
      <w:r w:rsidR="00964CAD">
        <w:rPr>
          <w:rFonts w:cs="Times New Roman"/>
          <w:szCs w:val="24"/>
        </w:rPr>
        <w:t xml:space="preserve"> at 960</w:t>
      </w:r>
      <w:r w:rsidR="00964CAD" w:rsidRPr="00F00D11">
        <w:rPr>
          <w:rFonts w:cs="Times New Roman"/>
          <w:szCs w:val="24"/>
        </w:rPr>
        <w:t xml:space="preserve"> (holding with respect to trade dress that “[s]</w:t>
      </w:r>
      <w:proofErr w:type="spellStart"/>
      <w:r w:rsidR="00964CAD" w:rsidRPr="00F00D11">
        <w:rPr>
          <w:rFonts w:cs="Times New Roman"/>
          <w:szCs w:val="24"/>
        </w:rPr>
        <w:t>econdary</w:t>
      </w:r>
      <w:proofErr w:type="spellEnd"/>
      <w:r w:rsidR="00964CAD" w:rsidRPr="00F00D11">
        <w:rPr>
          <w:rFonts w:cs="Times New Roman"/>
          <w:szCs w:val="24"/>
        </w:rPr>
        <w:t xml:space="preserve"> meaning exists when in the minds of the public, the primary significance of [the trade dress] is to identify the source of the product rather than</w:t>
      </w:r>
      <w:r w:rsidR="00964CAD">
        <w:rPr>
          <w:rFonts w:cs="Times New Roman"/>
          <w:i/>
          <w:iCs/>
          <w:szCs w:val="24"/>
        </w:rPr>
        <w:t xml:space="preserve"> </w:t>
      </w:r>
      <w:r w:rsidR="00964CAD" w:rsidRPr="00F00D11">
        <w:rPr>
          <w:rFonts w:cs="Times New Roman"/>
          <w:szCs w:val="24"/>
        </w:rPr>
        <w:t>the product itself,” and this requirement is satisfied by evidence establishing</w:t>
      </w:r>
      <w:r w:rsidR="00964CAD">
        <w:rPr>
          <w:rFonts w:cs="Times New Roman"/>
          <w:szCs w:val="24"/>
        </w:rPr>
        <w:t xml:space="preserve"> </w:t>
      </w:r>
      <w:r w:rsidR="00964CAD" w:rsidRPr="00F00D11">
        <w:rPr>
          <w:rFonts w:cs="Times New Roman"/>
          <w:szCs w:val="24"/>
        </w:rPr>
        <w:t>“association with only a single—even anonymous—source” (internal quotation</w:t>
      </w:r>
      <w:r w:rsidR="00964CAD">
        <w:rPr>
          <w:rFonts w:cs="Times New Roman"/>
          <w:i/>
          <w:iCs/>
          <w:szCs w:val="24"/>
        </w:rPr>
        <w:t xml:space="preserve"> </w:t>
      </w:r>
      <w:r w:rsidR="00964CAD" w:rsidRPr="00F00D11">
        <w:rPr>
          <w:rFonts w:cs="Times New Roman"/>
          <w:szCs w:val="24"/>
        </w:rPr>
        <w:t>marks omitted)).</w:t>
      </w:r>
    </w:p>
    <w:p w14:paraId="1BDD33C2" w14:textId="77777777" w:rsidR="00964CAD" w:rsidRDefault="00964CAD" w:rsidP="0060759C">
      <w:pPr>
        <w:autoSpaceDE w:val="0"/>
        <w:autoSpaceDN w:val="0"/>
        <w:adjustRightInd w:val="0"/>
        <w:rPr>
          <w:rFonts w:cs="Times New Roman"/>
          <w:szCs w:val="24"/>
        </w:rPr>
      </w:pPr>
    </w:p>
    <w:p w14:paraId="4AB9411C" w14:textId="101750DA" w:rsidR="006A4CD7" w:rsidRPr="006A4CD7" w:rsidRDefault="006A4CD7" w:rsidP="00964CAD">
      <w:pPr>
        <w:autoSpaceDE w:val="0"/>
        <w:autoSpaceDN w:val="0"/>
        <w:adjustRightInd w:val="0"/>
        <w:ind w:firstLine="720"/>
        <w:rPr>
          <w:rFonts w:cs="Times New Roman"/>
          <w:szCs w:val="24"/>
        </w:rPr>
      </w:pPr>
      <w:r w:rsidRPr="006A4CD7">
        <w:rPr>
          <w:rFonts w:cs="Times New Roman"/>
          <w:szCs w:val="24"/>
        </w:rPr>
        <w:t xml:space="preserve">“While evidence of a manufacturer’s sales, advertising and promotional activities may be relevant in determining secondary meaning, the true test of secondary meaning is the effectiveness of this effort to create it.” </w:t>
      </w:r>
      <w:r w:rsidRPr="006A4CD7">
        <w:rPr>
          <w:rFonts w:cs="Times New Roman"/>
          <w:i/>
          <w:iCs/>
          <w:szCs w:val="24"/>
        </w:rPr>
        <w:t xml:space="preserve">International Jensen v. </w:t>
      </w:r>
      <w:proofErr w:type="spellStart"/>
      <w:r w:rsidRPr="006A4CD7">
        <w:rPr>
          <w:rFonts w:cs="Times New Roman"/>
          <w:i/>
          <w:iCs/>
          <w:szCs w:val="24"/>
        </w:rPr>
        <w:t>Metrosound</w:t>
      </w:r>
      <w:proofErr w:type="spellEnd"/>
      <w:r w:rsidRPr="006A4CD7">
        <w:rPr>
          <w:rFonts w:cs="Times New Roman"/>
          <w:i/>
          <w:iCs/>
          <w:szCs w:val="24"/>
        </w:rPr>
        <w:t xml:space="preserve"> U.S.A.</w:t>
      </w:r>
      <w:r w:rsidRPr="006A4CD7">
        <w:rPr>
          <w:rFonts w:cs="Times New Roman"/>
          <w:szCs w:val="24"/>
        </w:rPr>
        <w:t xml:space="preserve">, 4 F.3d 819, 824-25 (9th Cir. 1993) (citation omitted). </w:t>
      </w:r>
    </w:p>
    <w:p w14:paraId="4003A1E5" w14:textId="77777777" w:rsidR="006A4CD7" w:rsidRPr="006A4CD7" w:rsidRDefault="006A4CD7" w:rsidP="0060759C">
      <w:pPr>
        <w:autoSpaceDE w:val="0"/>
        <w:autoSpaceDN w:val="0"/>
        <w:adjustRightInd w:val="0"/>
        <w:rPr>
          <w:rFonts w:cs="Times New Roman"/>
          <w:szCs w:val="24"/>
        </w:rPr>
      </w:pPr>
    </w:p>
    <w:p w14:paraId="66669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08972B9F" w14:textId="77777777" w:rsidR="006A4CD7" w:rsidRPr="006A4CD7" w:rsidRDefault="006A4CD7" w:rsidP="0060759C">
      <w:pPr>
        <w:autoSpaceDE w:val="0"/>
        <w:autoSpaceDN w:val="0"/>
        <w:adjustRightInd w:val="0"/>
        <w:rPr>
          <w:rFonts w:cs="Times New Roman"/>
          <w:szCs w:val="24"/>
        </w:rPr>
      </w:pPr>
    </w:p>
    <w:p w14:paraId="2A711D66" w14:textId="4CCD70F5"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w:t>
      </w:r>
      <w:r w:rsidR="009412F2" w:rsidRPr="006A4CD7">
        <w:rPr>
          <w:rFonts w:cs="Times New Roman"/>
          <w:szCs w:val="24"/>
        </w:rPr>
        <w:t>Instead,</w:t>
      </w:r>
      <w:r w:rsidRPr="006A4CD7">
        <w:rPr>
          <w:rFonts w:cs="Times New Roman"/>
          <w:szCs w:val="24"/>
        </w:rPr>
        <w:t xml:space="preserve"> the words have taken on a new, “secondary” meaning to identify the particular garage that performs the oil change.] </w:t>
      </w:r>
    </w:p>
    <w:p w14:paraId="50819317" w14:textId="77777777" w:rsidR="006A4CD7" w:rsidRPr="006A4CD7" w:rsidRDefault="006A4CD7" w:rsidP="0060759C">
      <w:pPr>
        <w:autoSpaceDE w:val="0"/>
        <w:autoSpaceDN w:val="0"/>
        <w:adjustRightInd w:val="0"/>
        <w:rPr>
          <w:rFonts w:cs="Times New Roman"/>
          <w:szCs w:val="24"/>
        </w:rPr>
      </w:pPr>
    </w:p>
    <w:p w14:paraId="15F4CC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“Secondary meaning” is often referred to as “acquired meaning.”  </w:t>
      </w:r>
      <w:r w:rsidRPr="006A4CD7">
        <w:rPr>
          <w:rFonts w:cs="Times New Roman"/>
          <w:i/>
          <w:iCs/>
          <w:szCs w:val="24"/>
        </w:rPr>
        <w:t>See</w:t>
      </w:r>
      <w:r w:rsidRPr="006A4CD7">
        <w:rPr>
          <w:rFonts w:cs="Times New Roman"/>
          <w:szCs w:val="24"/>
        </w:rPr>
        <w:t xml:space="preserve"> </w:t>
      </w:r>
      <w:r w:rsidRPr="006A4CD7">
        <w:rPr>
          <w:rFonts w:cs="Times New Roman"/>
          <w:i/>
          <w:iCs/>
          <w:szCs w:val="24"/>
        </w:rPr>
        <w:t>Wal–Mart Stores, Inc. v. Samara Brothers, Inc.</w:t>
      </w:r>
      <w:r w:rsidRPr="006A4CD7">
        <w:rPr>
          <w:rFonts w:cs="Times New Roman"/>
          <w:szCs w:val="24"/>
        </w:rPr>
        <w:t xml:space="preserve">, 529 U.S. 205, 211, n.* (2000).  If it is not inherently distinctive, a mark may acquire distinctiveness if it has developed secondary meaning. </w:t>
      </w:r>
      <w:r w:rsidRPr="006A4CD7">
        <w:rPr>
          <w:rFonts w:cs="Times New Roman"/>
          <w:i/>
          <w:iCs/>
          <w:szCs w:val="24"/>
        </w:rPr>
        <w:t>Id. at</w:t>
      </w:r>
      <w:r w:rsidRPr="006A4CD7">
        <w:rPr>
          <w:rFonts w:cs="Times New Roman"/>
          <w:szCs w:val="24"/>
        </w:rPr>
        <w:t xml:space="preserve"> 211.  This means the mark’s primary significance in the public mind is to identify the source of the product rather than the product itself.  </w:t>
      </w:r>
      <w:r w:rsidRPr="006A4CD7">
        <w:rPr>
          <w:rFonts w:cs="Times New Roman"/>
          <w:i/>
          <w:iCs/>
          <w:szCs w:val="24"/>
        </w:rPr>
        <w:t xml:space="preserve">Id. </w:t>
      </w:r>
      <w:r w:rsidRPr="006A4CD7">
        <w:rPr>
          <w:rFonts w:cs="Times New Roman"/>
          <w:szCs w:val="24"/>
        </w:rPr>
        <w:t xml:space="preserve"> But the term secondary meaning “is often a misnomer,” particularly when applied to non-word marks.  </w:t>
      </w:r>
      <w:r w:rsidRPr="006A4CD7">
        <w:rPr>
          <w:rFonts w:cs="Times New Roman"/>
          <w:i/>
          <w:iCs/>
          <w:szCs w:val="24"/>
        </w:rPr>
        <w:t xml:space="preserve">Id.  </w:t>
      </w:r>
      <w:r w:rsidRPr="006A4CD7">
        <w:rPr>
          <w:rFonts w:cs="Times New Roman"/>
          <w:szCs w:val="24"/>
        </w:rPr>
        <w:t xml:space="preserve">“Clarity might well be served by using the term ‘acquired meaning’ in both the word-mark and the non-word mark contexts” rather than the term “secondary meaning.”  </w:t>
      </w:r>
      <w:r w:rsidRPr="006A4CD7">
        <w:rPr>
          <w:rFonts w:cs="Times New Roman"/>
          <w:i/>
          <w:iCs/>
          <w:szCs w:val="24"/>
        </w:rPr>
        <w:t>Id.</w:t>
      </w:r>
      <w:r w:rsidRPr="006A4CD7">
        <w:rPr>
          <w:rFonts w:cs="Times New Roman"/>
          <w:szCs w:val="24"/>
        </w:rPr>
        <w:t xml:space="preserve"> </w:t>
      </w:r>
    </w:p>
    <w:p w14:paraId="6B5CAADD" w14:textId="77777777" w:rsidR="006A4CD7" w:rsidRPr="006A4CD7" w:rsidRDefault="006A4CD7" w:rsidP="0060759C">
      <w:pPr>
        <w:autoSpaceDE w:val="0"/>
        <w:autoSpaceDN w:val="0"/>
        <w:adjustRightInd w:val="0"/>
        <w:rPr>
          <w:rFonts w:cs="Times New Roman"/>
          <w:szCs w:val="24"/>
        </w:rPr>
      </w:pPr>
    </w:p>
    <w:p w14:paraId="5D13CBF5" w14:textId="231C9635" w:rsidR="006A4CD7" w:rsidRDefault="006A4CD7" w:rsidP="0060759C">
      <w:pPr>
        <w:autoSpaceDE w:val="0"/>
        <w:autoSpaceDN w:val="0"/>
        <w:adjustRightInd w:val="0"/>
        <w:rPr>
          <w:rFonts w:cs="Times New Roman"/>
          <w:i/>
          <w:iCs/>
          <w:szCs w:val="24"/>
        </w:rPr>
      </w:pPr>
      <w:r w:rsidRPr="006A4CD7">
        <w:rPr>
          <w:rFonts w:cs="Times New Roman"/>
          <w:szCs w:val="24"/>
        </w:rPr>
        <w:tab/>
        <w:t xml:space="preserve">The Ninth Circuit has said that when a descriptive mark is especially weak, “we require a ‘strong showing of strong secondary meaning.’” </w:t>
      </w:r>
      <w:r w:rsidRPr="006A4CD7">
        <w:rPr>
          <w:rFonts w:cs="Times New Roman"/>
          <w:i/>
          <w:iCs/>
          <w:szCs w:val="24"/>
        </w:rPr>
        <w:t xml:space="preserve"> Japan Telecom, Inc. v. Japan Telecom America Inc</w:t>
      </w:r>
      <w:r w:rsidRPr="006A4CD7">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6A4CD7">
        <w:rPr>
          <w:rFonts w:cs="Times New Roman"/>
          <w:i/>
          <w:iCs/>
          <w:szCs w:val="24"/>
        </w:rPr>
        <w:t xml:space="preserve">Americana Trading,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6A4CD7">
        <w:rPr>
          <w:rFonts w:cs="Times New Roman"/>
          <w:i/>
          <w:iCs/>
          <w:szCs w:val="24"/>
        </w:rPr>
        <w:t xml:space="preserve"> Id.</w:t>
      </w:r>
    </w:p>
    <w:p w14:paraId="7979A36F" w14:textId="46F46300" w:rsidR="00964CAD" w:rsidRDefault="00964CAD" w:rsidP="00964CAD">
      <w:pPr>
        <w:autoSpaceDE w:val="0"/>
        <w:autoSpaceDN w:val="0"/>
        <w:adjustRightInd w:val="0"/>
        <w:jc w:val="right"/>
        <w:rPr>
          <w:rFonts w:cs="Times New Roman"/>
          <w:i/>
          <w:iCs/>
          <w:szCs w:val="24"/>
        </w:rPr>
      </w:pPr>
      <w:r>
        <w:rPr>
          <w:rFonts w:cs="Times New Roman"/>
          <w:i/>
          <w:iCs/>
          <w:szCs w:val="24"/>
        </w:rPr>
        <w:t>Revised Sept. 2022</w:t>
      </w:r>
    </w:p>
    <w:p w14:paraId="523B9754" w14:textId="136B33FD" w:rsidR="003964B4" w:rsidRDefault="006A4CD7" w:rsidP="00BF342F">
      <w:pPr>
        <w:pStyle w:val="Heading2"/>
      </w:pPr>
      <w:r w:rsidRPr="006A4CD7">
        <w:br w:type="page"/>
      </w:r>
      <w:bookmarkStart w:id="253" w:name="_Toc117512537"/>
      <w:r w:rsidRPr="006A4CD7">
        <w:lastRenderedPageBreak/>
        <w:t xml:space="preserve">15.12 </w:t>
      </w:r>
      <w:r w:rsidR="002D3E69" w:rsidRPr="002D3E69">
        <w:t>Infringement—Elements—Validity—Trade Dress</w:t>
      </w:r>
      <w:bookmarkEnd w:id="253"/>
    </w:p>
    <w:p w14:paraId="7E14A1D8" w14:textId="3CC50310" w:rsidR="00EA4DDD" w:rsidRPr="006A4CD7" w:rsidRDefault="002D3E69" w:rsidP="00BF342F">
      <w:pPr>
        <w:pStyle w:val="Heading2"/>
      </w:pPr>
      <w:bookmarkStart w:id="254" w:name="_Toc117512538"/>
      <w:r w:rsidRPr="002D3E69">
        <w:t>—Non-Functionality Requirement</w:t>
      </w:r>
      <w:bookmarkEnd w:id="254"/>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works;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available;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particular design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non-functionality by a preponderance of the evidence [in order to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w:t>
      </w:r>
      <w:r w:rsidRPr="006A4CD7">
        <w:rPr>
          <w:rFonts w:cs="Times New Roman"/>
          <w:szCs w:val="24"/>
        </w:rPr>
        <w:lastRenderedPageBreak/>
        <w:t xml:space="preserve">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 xml:space="preserve">Tie Tech, Inc. v. </w:t>
      </w:r>
      <w:proofErr w:type="spellStart"/>
      <w:r w:rsidRPr="006A4CD7">
        <w:rPr>
          <w:rFonts w:cs="Times New Roman"/>
          <w:i/>
          <w:iCs/>
          <w:szCs w:val="24"/>
        </w:rPr>
        <w:t>Kinedyne</w:t>
      </w:r>
      <w:proofErr w:type="spellEnd"/>
      <w:r w:rsidRPr="006A4CD7">
        <w:rPr>
          <w:rFonts w:cs="Times New Roman"/>
          <w:i/>
          <w:iCs/>
          <w:szCs w:val="24"/>
        </w:rPr>
        <w:t xml:space="preserv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Disc Gold </w:t>
      </w:r>
      <w:proofErr w:type="spellStart"/>
      <w:r w:rsidRPr="006A4CD7">
        <w:rPr>
          <w:rFonts w:cs="Times New Roman"/>
          <w:i/>
          <w:iCs/>
          <w:szCs w:val="24"/>
        </w:rPr>
        <w:t>Ass’n</w:t>
      </w:r>
      <w:proofErr w:type="spellEnd"/>
      <w:r w:rsidRPr="006A4CD7">
        <w:rPr>
          <w:rFonts w:cs="Times New Roman"/>
          <w:i/>
          <w:iCs/>
          <w:szCs w:val="24"/>
        </w:rPr>
        <w:t xml:space="preserve"> v. Champion Discs, Inc.</w:t>
      </w:r>
      <w:r w:rsidRPr="006A4CD7">
        <w:rPr>
          <w:rFonts w:cs="Times New Roman"/>
          <w:szCs w:val="24"/>
        </w:rPr>
        <w:t xml:space="preserve">, 158 F.3d 1002, 1006-09 (9th Cir. 1998). </w:t>
      </w:r>
      <w:r w:rsidRPr="006A4CD7">
        <w:rPr>
          <w:rFonts w:cs="Times New Roman"/>
          <w:i/>
          <w:iCs/>
          <w:szCs w:val="24"/>
        </w:rPr>
        <w:t xml:space="preserve">See also International Jensen v. </w:t>
      </w:r>
      <w:proofErr w:type="spellStart"/>
      <w:r w:rsidRPr="006A4CD7">
        <w:rPr>
          <w:rFonts w:cs="Times New Roman"/>
          <w:i/>
          <w:iCs/>
          <w:szCs w:val="24"/>
        </w:rPr>
        <w:t>Metrosound</w:t>
      </w:r>
      <w:proofErr w:type="spellEnd"/>
      <w:r w:rsidRPr="006A4CD7">
        <w:rPr>
          <w:rFonts w:cs="Times New Roman"/>
          <w:i/>
          <w:iCs/>
          <w:szCs w:val="24"/>
        </w:rPr>
        <w:t xml:space="preserve">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test from </w:t>
      </w:r>
      <w:r w:rsidRPr="006A4CD7">
        <w:rPr>
          <w:rFonts w:cs="Times New Roman"/>
          <w:i/>
          <w:iCs/>
          <w:szCs w:val="24"/>
        </w:rPr>
        <w:t>Disc Gold</w:t>
      </w:r>
      <w:r w:rsidRPr="006A4CD7">
        <w:rPr>
          <w:rFonts w:cs="Times New Roman"/>
          <w:szCs w:val="24"/>
        </w:rPr>
        <w:t xml:space="preserve">).  The definition of functionality is reflected in </w:t>
      </w:r>
      <w:proofErr w:type="spellStart"/>
      <w:r w:rsidRPr="006A4CD7">
        <w:rPr>
          <w:rFonts w:cs="Times New Roman"/>
          <w:i/>
          <w:iCs/>
          <w:szCs w:val="24"/>
        </w:rPr>
        <w:t>TrafFix</w:t>
      </w:r>
      <w:proofErr w:type="spellEnd"/>
      <w:r w:rsidRPr="006A4CD7">
        <w:rPr>
          <w:rFonts w:cs="Times New Roman"/>
          <w:i/>
          <w:iCs/>
          <w:szCs w:val="24"/>
        </w:rPr>
        <w:t xml:space="preserve">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1930B26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w:t>
      </w:r>
      <w:proofErr w:type="spellStart"/>
      <w:r w:rsidRPr="006A4CD7">
        <w:rPr>
          <w:rFonts w:cs="Times New Roman"/>
          <w:szCs w:val="24"/>
        </w:rPr>
        <w:t>nonfunctionality</w:t>
      </w:r>
      <w:proofErr w:type="spellEnd"/>
      <w:r w:rsidRPr="006A4CD7">
        <w:rPr>
          <w:rFonts w:cs="Times New Roman"/>
          <w:szCs w:val="24"/>
        </w:rPr>
        <w:t xml:space="preserve">. </w:t>
      </w:r>
      <w:r w:rsidRPr="006A4CD7">
        <w:rPr>
          <w:rFonts w:cs="Times New Roman"/>
          <w:i/>
          <w:iCs/>
          <w:szCs w:val="24"/>
        </w:rPr>
        <w:t>See Sega Enterprises Ltd., v. Accolade, Inc.,</w:t>
      </w:r>
      <w:r w:rsidRPr="006A4CD7">
        <w:rPr>
          <w:rFonts w:cs="Times New Roman"/>
          <w:szCs w:val="24"/>
        </w:rPr>
        <w:t xml:space="preserve"> 977 F.2d 1510, 1530-31 (9th Cir. 1992) (holding that </w:t>
      </w:r>
      <w:proofErr w:type="spellStart"/>
      <w:r w:rsidRPr="006A4CD7">
        <w:rPr>
          <w:rFonts w:cs="Times New Roman"/>
          <w:szCs w:val="24"/>
        </w:rPr>
        <w:t>nonfunctionality</w:t>
      </w:r>
      <w:proofErr w:type="spellEnd"/>
      <w:r w:rsidRPr="006A4CD7">
        <w:rPr>
          <w:rFonts w:cs="Times New Roman"/>
          <w:szCs w:val="24"/>
        </w:rPr>
        <w:t xml:space="preserve">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w:t>
      </w:r>
      <w:r w:rsidR="00604299" w:rsidRPr="006A4CD7">
        <w:rPr>
          <w:rFonts w:cs="Times New Roman"/>
          <w:szCs w:val="24"/>
        </w:rPr>
        <w:t>circuit’s</w:t>
      </w:r>
      <w:r w:rsidRPr="006A4CD7">
        <w:rPr>
          <w:rFonts w:cs="Times New Roman"/>
          <w:szCs w:val="24"/>
        </w:rPr>
        <w:t xml:space="preserve"> functionality is treated as an affirmative defense. </w:t>
      </w:r>
      <w:r w:rsidRPr="006A4CD7">
        <w:rPr>
          <w:rFonts w:cs="Times New Roman"/>
          <w:i/>
          <w:iCs/>
          <w:szCs w:val="24"/>
        </w:rPr>
        <w:t xml:space="preserve"> See, e.g., Vaughan Mfg. Co. v. </w:t>
      </w:r>
      <w:proofErr w:type="spellStart"/>
      <w:r w:rsidRPr="006A4CD7">
        <w:rPr>
          <w:rFonts w:cs="Times New Roman"/>
          <w:i/>
          <w:iCs/>
          <w:szCs w:val="24"/>
        </w:rPr>
        <w:t>Brikam</w:t>
      </w:r>
      <w:proofErr w:type="spellEnd"/>
      <w:r w:rsidRPr="006A4CD7">
        <w:rPr>
          <w:rFonts w:cs="Times New Roman"/>
          <w:i/>
          <w:iCs/>
          <w:szCs w:val="24"/>
        </w:rPr>
        <w:t xml:space="preserve"> Int’l</w:t>
      </w:r>
      <w:r w:rsidRPr="006A4CD7">
        <w:rPr>
          <w:rFonts w:cs="Times New Roman"/>
          <w:szCs w:val="24"/>
        </w:rPr>
        <w:t xml:space="preserve">, 814 F.2d 346, 349 (7th Cir.1987); </w:t>
      </w:r>
      <w:r w:rsidRPr="006A4CD7">
        <w:rPr>
          <w:rFonts w:cs="Times New Roman"/>
          <w:i/>
          <w:iCs/>
          <w:szCs w:val="24"/>
        </w:rPr>
        <w:t xml:space="preserve">Stormy Clime Ltd. v. </w:t>
      </w:r>
      <w:proofErr w:type="spellStart"/>
      <w:r w:rsidRPr="006A4CD7">
        <w:rPr>
          <w:rFonts w:cs="Times New Roman"/>
          <w:i/>
          <w:iCs/>
          <w:szCs w:val="24"/>
        </w:rPr>
        <w:t>ProGroup</w:t>
      </w:r>
      <w:proofErr w:type="spellEnd"/>
      <w:r w:rsidRPr="006A4CD7">
        <w:rPr>
          <w:rFonts w:cs="Times New Roman"/>
          <w:i/>
          <w:iCs/>
          <w:szCs w:val="24"/>
        </w:rPr>
        <w:t>,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proofErr w:type="spellStart"/>
      <w:r w:rsidRPr="006A4CD7">
        <w:rPr>
          <w:rFonts w:cs="Times New Roman"/>
          <w:i/>
          <w:iCs/>
          <w:szCs w:val="24"/>
        </w:rPr>
        <w:t>Qualitex</w:t>
      </w:r>
      <w:proofErr w:type="spellEnd"/>
      <w:r w:rsidRPr="006A4CD7">
        <w:rPr>
          <w:rFonts w:cs="Times New Roman"/>
          <w:i/>
          <w:iCs/>
          <w:szCs w:val="24"/>
        </w:rPr>
        <w:t xml:space="preserve">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 xml:space="preserve">Vuitton et </w:t>
      </w:r>
      <w:proofErr w:type="spellStart"/>
      <w:r w:rsidRPr="006A4CD7">
        <w:rPr>
          <w:rFonts w:cs="Times New Roman"/>
          <w:i/>
          <w:iCs/>
          <w:szCs w:val="24"/>
        </w:rPr>
        <w:t>Fils</w:t>
      </w:r>
      <w:proofErr w:type="spellEnd"/>
      <w:r w:rsidRPr="006A4CD7">
        <w:rPr>
          <w:rFonts w:cs="Times New Roman"/>
          <w:i/>
          <w:iCs/>
          <w:szCs w:val="24"/>
        </w:rPr>
        <w:t xml:space="preserve"> S.A. v. J. Young Enters</w:t>
      </w:r>
      <w:r w:rsidRPr="006A4CD7">
        <w:rPr>
          <w:rFonts w:cs="Times New Roman"/>
          <w:szCs w:val="24"/>
        </w:rPr>
        <w:t xml:space="preserve">., 644 F.2d 769, 774 (9th Cir. 1981) (“Functional features of a product are features ‘which constitute the actual benefit that the consumer wishes to purchase, as distinguished from an assurance that a particular entity made, sponsored, or endorsed a product.”’) (quoting </w:t>
      </w:r>
      <w:r w:rsidRPr="006A4CD7">
        <w:rPr>
          <w:rFonts w:cs="Times New Roman"/>
          <w:i/>
          <w:iCs/>
          <w:szCs w:val="24"/>
        </w:rPr>
        <w:t xml:space="preserve">International Order of Job’s Daughters v. </w:t>
      </w:r>
      <w:proofErr w:type="spellStart"/>
      <w:r w:rsidRPr="006A4CD7">
        <w:rPr>
          <w:rFonts w:cs="Times New Roman"/>
          <w:i/>
          <w:iCs/>
          <w:szCs w:val="24"/>
        </w:rPr>
        <w:t>Lindeburg</w:t>
      </w:r>
      <w:proofErr w:type="spellEnd"/>
      <w:r w:rsidRPr="006A4CD7">
        <w:rPr>
          <w:rFonts w:cs="Times New Roman"/>
          <w:i/>
          <w:iCs/>
          <w:szCs w:val="24"/>
        </w:rPr>
        <w:t xml:space="preserve">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w:t>
      </w:r>
      <w:proofErr w:type="spellStart"/>
      <w:r w:rsidRPr="006A4CD7">
        <w:rPr>
          <w:rFonts w:cs="Times New Roman"/>
          <w:i/>
          <w:iCs/>
          <w:szCs w:val="24"/>
        </w:rPr>
        <w:t>Fabrica</w:t>
      </w:r>
      <w:proofErr w:type="spellEnd"/>
      <w:r w:rsidRPr="006A4CD7">
        <w:rPr>
          <w:rFonts w:cs="Times New Roman"/>
          <w:i/>
          <w:iCs/>
          <w:szCs w:val="24"/>
        </w:rPr>
        <w:t>, Inc. v. El Dorado Corp.</w:t>
      </w:r>
      <w:r w:rsidRPr="006A4CD7">
        <w:rPr>
          <w:rFonts w:cs="Times New Roman"/>
          <w:szCs w:val="24"/>
        </w:rPr>
        <w:t>, 697 F.2d 890 (9th Cir. 1983);</w:t>
      </w:r>
      <w:r w:rsidRPr="006A4CD7">
        <w:rPr>
          <w:rFonts w:cs="Times New Roman"/>
          <w:i/>
          <w:iCs/>
          <w:szCs w:val="24"/>
        </w:rPr>
        <w:t xml:space="preserve"> </w:t>
      </w:r>
      <w:proofErr w:type="spellStart"/>
      <w:r w:rsidRPr="006A4CD7">
        <w:rPr>
          <w:rFonts w:cs="Times New Roman"/>
          <w:i/>
          <w:iCs/>
          <w:szCs w:val="24"/>
        </w:rPr>
        <w:t>Traffix</w:t>
      </w:r>
      <w:proofErr w:type="spellEnd"/>
      <w:r w:rsidRPr="006A4CD7">
        <w:rPr>
          <w:rFonts w:cs="Times New Roman"/>
          <w:i/>
          <w:iCs/>
          <w:szCs w:val="24"/>
        </w:rPr>
        <w:t xml:space="preserve">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ab/>
        <w:t xml:space="preserve">If features of claimed trade dress are all functional, plaintiff must show that the features are combined together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Tie Tech, Inc. v. </w:t>
      </w:r>
      <w:proofErr w:type="spellStart"/>
      <w:r w:rsidRPr="006A4CD7">
        <w:rPr>
          <w:rFonts w:cs="Times New Roman"/>
          <w:i/>
          <w:iCs/>
          <w:szCs w:val="24"/>
        </w:rPr>
        <w:t>Kinedyne</w:t>
      </w:r>
      <w:proofErr w:type="spellEnd"/>
      <w:r w:rsidRPr="006A4CD7">
        <w:rPr>
          <w:rFonts w:cs="Times New Roman"/>
          <w:i/>
          <w:iCs/>
          <w:szCs w:val="24"/>
        </w:rPr>
        <w:t xml:space="preserv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6C7F55C8" w:rsidR="006A4CD7" w:rsidRPr="006A4CD7" w:rsidRDefault="006A4CD7" w:rsidP="00EA4DDD">
      <w:pPr>
        <w:pStyle w:val="Heading2"/>
      </w:pPr>
      <w:r w:rsidRPr="006A4CD7">
        <w:br w:type="page"/>
      </w:r>
      <w:bookmarkStart w:id="255" w:name="_Toc117512539"/>
      <w:r w:rsidRPr="006A4CD7">
        <w:t xml:space="preserve">15.13 </w:t>
      </w:r>
      <w:r w:rsidR="002D3E69" w:rsidRPr="002D3E69">
        <w:t>Infringement—Elements—Ownership—Generally</w:t>
      </w:r>
      <w:bookmarkEnd w:id="255"/>
    </w:p>
    <w:p w14:paraId="39524A2A" w14:textId="77777777" w:rsidR="006A4CD7" w:rsidRPr="006A4CD7" w:rsidRDefault="006A4CD7" w:rsidP="0060759C">
      <w:pPr>
        <w:autoSpaceDE w:val="0"/>
        <w:autoSpaceDN w:val="0"/>
        <w:adjustRightInd w:val="0"/>
        <w:jc w:val="right"/>
        <w:rPr>
          <w:rFonts w:cs="Times New Roman"/>
          <w:szCs w:val="24"/>
        </w:rPr>
      </w:pPr>
    </w:p>
    <w:p w14:paraId="0968630A" w14:textId="77777777" w:rsidR="001279D1" w:rsidRPr="001279D1" w:rsidRDefault="006A4CD7" w:rsidP="001279D1">
      <w:pPr>
        <w:autoSpaceDE w:val="0"/>
        <w:autoSpaceDN w:val="0"/>
        <w:adjustRightInd w:val="0"/>
        <w:rPr>
          <w:rFonts w:cs="Times New Roman"/>
          <w:szCs w:val="24"/>
        </w:rPr>
      </w:pPr>
      <w:r w:rsidRPr="006A4CD7">
        <w:rPr>
          <w:rFonts w:cs="Times New Roman"/>
          <w:szCs w:val="24"/>
        </w:rPr>
        <w:tab/>
      </w:r>
      <w:r w:rsidR="001279D1" w:rsidRPr="001279D1">
        <w:rPr>
          <w:rFonts w:cs="Times New Roman"/>
          <w:szCs w:val="24"/>
        </w:rPr>
        <w:t>The law entitles the trademark owner to exclude others from using that trademark.  A person acquires the right to exclude others from using a trademark by being the first to use lawfully it in the marketplace or by lawfully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04AC1C53" w14:textId="77777777" w:rsidR="001279D1" w:rsidRPr="001279D1" w:rsidRDefault="001279D1" w:rsidP="001279D1">
      <w:pPr>
        <w:autoSpaceDE w:val="0"/>
        <w:autoSpaceDN w:val="0"/>
        <w:adjustRightInd w:val="0"/>
        <w:rPr>
          <w:rFonts w:cs="Times New Roman"/>
          <w:szCs w:val="24"/>
        </w:rPr>
      </w:pPr>
    </w:p>
    <w:p w14:paraId="59C75DA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you find the plaintiff’s [</w:t>
      </w:r>
      <w:r w:rsidRPr="001279D1">
        <w:rPr>
          <w:rFonts w:cs="Times New Roman"/>
          <w:i/>
          <w:iCs/>
          <w:szCs w:val="24"/>
          <w:u w:val="single"/>
        </w:rPr>
        <w:t>describe trademark</w:t>
      </w:r>
      <w:r w:rsidRPr="001279D1">
        <w:rPr>
          <w:rFonts w:cs="Times New Roman"/>
          <w:szCs w:val="24"/>
        </w:rPr>
        <w:t>] to be valid [that is, [inherently distinctive]] you must consider whether the plaintiff used the [</w:t>
      </w:r>
      <w:r w:rsidRPr="001279D1">
        <w:rPr>
          <w:rFonts w:cs="Times New Roman"/>
          <w:i/>
          <w:iCs/>
          <w:szCs w:val="24"/>
          <w:u w:val="single"/>
        </w:rPr>
        <w:t>describe trademark</w:t>
      </w:r>
      <w:r w:rsidRPr="001279D1">
        <w:rPr>
          <w:rFonts w:cs="Times New Roman"/>
          <w:szCs w:val="24"/>
        </w:rPr>
        <w:t>] as a trademark for plaintiff’s [</w:t>
      </w:r>
      <w:r w:rsidRPr="001279D1">
        <w:rPr>
          <w:rFonts w:cs="Times New Roman"/>
          <w:i/>
          <w:iCs/>
          <w:szCs w:val="24"/>
          <w:u w:val="single"/>
        </w:rPr>
        <w:t>identify the plaintiff’s product</w:t>
      </w:r>
      <w:r w:rsidRPr="001279D1">
        <w:rPr>
          <w:rFonts w:cs="Times New Roman"/>
          <w:szCs w:val="24"/>
        </w:rPr>
        <w:t>] before the defendant began to use the [</w:t>
      </w:r>
      <w:r w:rsidRPr="001279D1">
        <w:rPr>
          <w:rFonts w:cs="Times New Roman"/>
          <w:i/>
          <w:iCs/>
          <w:szCs w:val="24"/>
          <w:u w:val="single"/>
        </w:rPr>
        <w:t>describe trademark</w:t>
      </w:r>
      <w:r w:rsidRPr="001279D1">
        <w:rPr>
          <w:rFonts w:cs="Times New Roman"/>
          <w:szCs w:val="24"/>
        </w:rPr>
        <w:t>] to market its [</w:t>
      </w:r>
      <w:r w:rsidRPr="001279D1">
        <w:rPr>
          <w:rFonts w:cs="Times New Roman"/>
          <w:i/>
          <w:iCs/>
          <w:szCs w:val="24"/>
          <w:u w:val="single"/>
        </w:rPr>
        <w:t>identify the defendant’s product</w:t>
      </w:r>
      <w:r w:rsidRPr="001279D1">
        <w:rPr>
          <w:rFonts w:cs="Times New Roman"/>
          <w:szCs w:val="24"/>
        </w:rPr>
        <w:t>] in the area where the plaintiff sells its [</w:t>
      </w:r>
      <w:r w:rsidRPr="001279D1">
        <w:rPr>
          <w:rFonts w:cs="Times New Roman"/>
          <w:i/>
          <w:iCs/>
          <w:szCs w:val="24"/>
          <w:u w:val="single"/>
        </w:rPr>
        <w:t>identify the plaintiff’s product</w:t>
      </w:r>
      <w:r w:rsidRPr="001279D1">
        <w:rPr>
          <w:rFonts w:cs="Times New Roman"/>
          <w:szCs w:val="24"/>
        </w:rPr>
        <w:t xml:space="preserve">].] </w:t>
      </w:r>
    </w:p>
    <w:p w14:paraId="50602CFA" w14:textId="77777777" w:rsidR="001279D1" w:rsidRPr="001279D1" w:rsidRDefault="001279D1" w:rsidP="001279D1">
      <w:pPr>
        <w:autoSpaceDE w:val="0"/>
        <w:autoSpaceDN w:val="0"/>
        <w:adjustRightInd w:val="0"/>
        <w:rPr>
          <w:rFonts w:cs="Times New Roman"/>
          <w:szCs w:val="24"/>
        </w:rPr>
      </w:pPr>
    </w:p>
    <w:p w14:paraId="14AA48D7"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[A trademark is “used” for purposes of this instruction when it is transported or sold in commerce and the trademark is attached to the product, or placed on its label or container [or if that is not practical, placed on documents associated with the goods or their sale].] </w:t>
      </w:r>
    </w:p>
    <w:p w14:paraId="63B927A9" w14:textId="77777777" w:rsidR="001279D1" w:rsidRPr="001279D1" w:rsidRDefault="001279D1" w:rsidP="001279D1">
      <w:pPr>
        <w:autoSpaceDE w:val="0"/>
        <w:autoSpaceDN w:val="0"/>
        <w:adjustRightInd w:val="0"/>
        <w:rPr>
          <w:rFonts w:cs="Times New Roman"/>
          <w:szCs w:val="24"/>
        </w:rPr>
      </w:pPr>
    </w:p>
    <w:p w14:paraId="51336A24"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[If the plaintiff has not shown by a preponderance of the evidence that the plaintiff used [</w:t>
      </w:r>
      <w:r w:rsidRPr="001279D1">
        <w:rPr>
          <w:rFonts w:cs="Times New Roman"/>
          <w:i/>
          <w:iCs/>
          <w:szCs w:val="24"/>
          <w:u w:val="single"/>
        </w:rPr>
        <w:t>describe trademark</w:t>
      </w:r>
      <w:r w:rsidRPr="001279D1">
        <w:rPr>
          <w:rFonts w:cs="Times New Roman"/>
          <w:szCs w:val="24"/>
        </w:rPr>
        <w:t>] before the defendant’s use of [</w:t>
      </w:r>
      <w:r w:rsidRPr="001279D1">
        <w:rPr>
          <w:rFonts w:cs="Times New Roman"/>
          <w:i/>
          <w:iCs/>
          <w:szCs w:val="24"/>
          <w:u w:val="single"/>
        </w:rPr>
        <w:t>describe trademark</w:t>
      </w:r>
      <w:r w:rsidRPr="001279D1">
        <w:rPr>
          <w:rFonts w:cs="Times New Roman"/>
          <w:szCs w:val="24"/>
        </w:rPr>
        <w:t>], then you cannot conclude that the plaintiff is the owner of the trademark [for purposes of Instruction [</w:t>
      </w:r>
      <w:r w:rsidRPr="001279D1">
        <w:rPr>
          <w:rFonts w:cs="Times New Roman"/>
          <w:i/>
          <w:iCs/>
          <w:szCs w:val="24"/>
          <w:u w:val="single"/>
        </w:rPr>
        <w:t>insert number of instruction regarding Infringement—Elements—Presumed Validity and Ownership—Registered Marks, e.g., 15.8</w:t>
      </w:r>
      <w:r w:rsidRPr="001279D1">
        <w:rPr>
          <w:rFonts w:cs="Times New Roman"/>
          <w:szCs w:val="24"/>
        </w:rPr>
        <w:t xml:space="preserve">].] </w:t>
      </w:r>
    </w:p>
    <w:p w14:paraId="3C7BC88F" w14:textId="77777777" w:rsidR="001279D1" w:rsidRPr="001279D1" w:rsidRDefault="001279D1" w:rsidP="001279D1">
      <w:pPr>
        <w:autoSpaceDE w:val="0"/>
        <w:autoSpaceDN w:val="0"/>
        <w:adjustRightInd w:val="0"/>
        <w:jc w:val="center"/>
        <w:rPr>
          <w:rFonts w:cs="Times New Roman"/>
          <w:b/>
          <w:bCs/>
          <w:szCs w:val="24"/>
        </w:rPr>
      </w:pPr>
    </w:p>
    <w:p w14:paraId="73C9FBD9" w14:textId="77777777" w:rsidR="001279D1" w:rsidRPr="001279D1" w:rsidRDefault="001279D1" w:rsidP="001279D1">
      <w:pPr>
        <w:autoSpaceDE w:val="0"/>
        <w:autoSpaceDN w:val="0"/>
        <w:adjustRightInd w:val="0"/>
        <w:jc w:val="center"/>
        <w:rPr>
          <w:rFonts w:cs="Times New Roman"/>
          <w:b/>
          <w:bCs/>
          <w:szCs w:val="24"/>
        </w:rPr>
      </w:pPr>
      <w:r w:rsidRPr="001279D1">
        <w:rPr>
          <w:rFonts w:cs="Times New Roman"/>
          <w:b/>
          <w:bCs/>
          <w:szCs w:val="24"/>
        </w:rPr>
        <w:t xml:space="preserve">Comment </w:t>
      </w:r>
    </w:p>
    <w:p w14:paraId="26CFB53C"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r>
    </w:p>
    <w:p w14:paraId="09688CF3"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Sometimes it is necessary for the court to place before the jury the issue of mark ownership.  When the jury is to determine the ownership of a mark between manufacturer and distributor, </w:t>
      </w:r>
      <w:r w:rsidRPr="001279D1">
        <w:rPr>
          <w:rFonts w:cs="Times New Roman"/>
          <w:i/>
          <w:iCs/>
          <w:szCs w:val="24"/>
        </w:rPr>
        <w:t>see Sengoku Works Ltd. v. RMC Int’l Ltd</w:t>
      </w:r>
      <w:r w:rsidRPr="001279D1">
        <w:rPr>
          <w:rFonts w:cs="Times New Roman"/>
          <w:szCs w:val="24"/>
        </w:rPr>
        <w:t xml:space="preserve">., 96 F.3d 1217, 1219 (9th Cir. 1996) (reviewing jury instructions and factors for determining such mark ownership).  </w:t>
      </w:r>
      <w:r w:rsidRPr="001279D1">
        <w:rPr>
          <w:rFonts w:cs="Times New Roman"/>
          <w:i/>
          <w:iCs/>
          <w:szCs w:val="24"/>
        </w:rPr>
        <w:t xml:space="preserve">See </w:t>
      </w:r>
      <w:r w:rsidRPr="001279D1">
        <w:rPr>
          <w:rFonts w:cs="Times New Roman"/>
          <w:szCs w:val="24"/>
        </w:rPr>
        <w:t xml:space="preserve">Comment following Instruction 15.17 (Trademark Ownership—Merchant or Distributor). </w:t>
      </w:r>
      <w:r w:rsidRPr="001279D1">
        <w:rPr>
          <w:rFonts w:cs="Times New Roman"/>
          <w:i/>
          <w:iCs/>
          <w:szCs w:val="24"/>
        </w:rPr>
        <w:t xml:space="preserve"> See also</w:t>
      </w:r>
      <w:r w:rsidRPr="001279D1">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1279D1">
        <w:rPr>
          <w:rFonts w:cs="Times New Roman"/>
          <w:i/>
          <w:iCs/>
          <w:szCs w:val="24"/>
        </w:rPr>
        <w:t xml:space="preserve">See Grupo </w:t>
      </w:r>
      <w:proofErr w:type="spellStart"/>
      <w:r w:rsidRPr="001279D1">
        <w:rPr>
          <w:rFonts w:cs="Times New Roman"/>
          <w:i/>
          <w:iCs/>
          <w:szCs w:val="24"/>
        </w:rPr>
        <w:t>Gigante</w:t>
      </w:r>
      <w:proofErr w:type="spellEnd"/>
      <w:r w:rsidRPr="001279D1">
        <w:rPr>
          <w:rFonts w:cs="Times New Roman"/>
          <w:i/>
          <w:iCs/>
          <w:szCs w:val="24"/>
        </w:rPr>
        <w:t xml:space="preserve"> SA De CV v. </w:t>
      </w:r>
      <w:proofErr w:type="spellStart"/>
      <w:r w:rsidRPr="001279D1">
        <w:rPr>
          <w:rFonts w:cs="Times New Roman"/>
          <w:i/>
          <w:iCs/>
          <w:szCs w:val="24"/>
        </w:rPr>
        <w:t>Dallo</w:t>
      </w:r>
      <w:proofErr w:type="spellEnd"/>
      <w:r w:rsidRPr="001279D1">
        <w:rPr>
          <w:rFonts w:cs="Times New Roman"/>
          <w:i/>
          <w:iCs/>
          <w:szCs w:val="24"/>
        </w:rPr>
        <w:t xml:space="preserve"> &amp; Co., Inc., </w:t>
      </w:r>
      <w:r w:rsidRPr="001279D1">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0AF40B11" w14:textId="77777777" w:rsidR="001279D1" w:rsidRPr="001279D1" w:rsidRDefault="001279D1" w:rsidP="001279D1">
      <w:pPr>
        <w:autoSpaceDE w:val="0"/>
        <w:autoSpaceDN w:val="0"/>
        <w:adjustRightInd w:val="0"/>
        <w:rPr>
          <w:rFonts w:cs="Times New Roman"/>
          <w:szCs w:val="24"/>
        </w:rPr>
      </w:pPr>
    </w:p>
    <w:p w14:paraId="4F5934E9"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trademark law, the standard test of ownership is priority of use.  </w:t>
      </w:r>
      <w:r w:rsidRPr="001279D1">
        <w:rPr>
          <w:rFonts w:cs="Times New Roman"/>
          <w:i/>
          <w:iCs/>
          <w:szCs w:val="24"/>
        </w:rPr>
        <w:t>See</w:t>
      </w:r>
      <w:r w:rsidRPr="001279D1">
        <w:rPr>
          <w:rFonts w:cs="Times New Roman"/>
          <w:szCs w:val="24"/>
        </w:rPr>
        <w:t xml:space="preserve"> </w:t>
      </w:r>
      <w:r w:rsidRPr="001279D1">
        <w:rPr>
          <w:rFonts w:cs="Times New Roman"/>
          <w:i/>
          <w:iCs/>
          <w:szCs w:val="24"/>
        </w:rPr>
        <w:t>Sengoku Works, Ltd.</w:t>
      </w:r>
      <w:r w:rsidRPr="001279D1">
        <w:rPr>
          <w:rFonts w:cs="Times New Roman"/>
          <w:szCs w:val="24"/>
        </w:rPr>
        <w:t>,</w:t>
      </w:r>
      <w:r w:rsidRPr="001279D1">
        <w:rPr>
          <w:rFonts w:cs="Times New Roman"/>
          <w:i/>
          <w:iCs/>
          <w:szCs w:val="24"/>
        </w:rPr>
        <w:t xml:space="preserve"> </w:t>
      </w:r>
      <w:r w:rsidRPr="001279D1">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1279D1">
        <w:rPr>
          <w:rFonts w:cs="Times New Roman"/>
          <w:i/>
          <w:iCs/>
          <w:szCs w:val="24"/>
        </w:rPr>
        <w:t xml:space="preserve"> Id.</w:t>
      </w:r>
      <w:r w:rsidRPr="001279D1">
        <w:rPr>
          <w:rFonts w:ascii="TimesNewRomanPSMT" w:hAnsi="TimesNewRomanPSMT" w:cs="TimesNewRomanPSMT"/>
          <w:sz w:val="28"/>
          <w:szCs w:val="28"/>
        </w:rPr>
        <w:t xml:space="preserve">  </w:t>
      </w:r>
      <w:r w:rsidRPr="001279D1">
        <w:rPr>
          <w:rFonts w:ascii="TimesNewRomanPSMT" w:hAnsi="TimesNewRomanPSMT" w:cs="TimesNewRomanPSMT"/>
          <w:szCs w:val="24"/>
        </w:rPr>
        <w:t xml:space="preserve">A person also acquires the right to exclude others from using a trademark if a person acquires a “constructive use date” under 15 U.S.C. § 1051, or an “extension of protection” under 15 U.S.C. § 1141. </w:t>
      </w:r>
      <w:r w:rsidRPr="001279D1">
        <w:rPr>
          <w:rFonts w:ascii="TimesNewRomanPS-ItalicMT" w:hAnsi="TimesNewRomanPS-ItalicMT" w:cs="TimesNewRomanPS-ItalicMT"/>
          <w:i/>
          <w:iCs/>
          <w:szCs w:val="24"/>
        </w:rPr>
        <w:t>Lodestar</w:t>
      </w:r>
      <w:r w:rsidRPr="001279D1">
        <w:rPr>
          <w:rFonts w:ascii="TimesNewRomanPSMT" w:hAnsi="TimesNewRomanPSMT" w:cs="TimesNewRomanPSMT"/>
          <w:szCs w:val="24"/>
        </w:rPr>
        <w:t xml:space="preserve"> </w:t>
      </w:r>
      <w:proofErr w:type="spellStart"/>
      <w:r w:rsidRPr="001279D1">
        <w:rPr>
          <w:rFonts w:ascii="TimesNewRomanPS-ItalicMT" w:hAnsi="TimesNewRomanPS-ItalicMT" w:cs="TimesNewRomanPS-ItalicMT"/>
          <w:i/>
          <w:iCs/>
          <w:szCs w:val="24"/>
        </w:rPr>
        <w:t>Anstalt</w:t>
      </w:r>
      <w:proofErr w:type="spellEnd"/>
      <w:r w:rsidRPr="001279D1">
        <w:rPr>
          <w:rFonts w:ascii="TimesNewRomanPS-ItalicMT" w:hAnsi="TimesNewRomanPS-ItalicMT" w:cs="TimesNewRomanPS-ItalicMT"/>
          <w:i/>
          <w:iCs/>
          <w:szCs w:val="24"/>
        </w:rPr>
        <w:t xml:space="preserve"> v. Bacardi &amp; Co.</w:t>
      </w:r>
      <w:r w:rsidRPr="001279D1">
        <w:rPr>
          <w:rFonts w:ascii="TimesNewRomanPSMT" w:hAnsi="TimesNewRomanPSMT" w:cs="TimesNewRomanPSMT"/>
          <w:szCs w:val="24"/>
        </w:rPr>
        <w:t xml:space="preserve">, 31 F.4th 1228, 1237-38 (9th Cir. 2022).  The test of ownership is different if a person acquires a right to exclude under either of those statutes.  </w:t>
      </w:r>
      <w:r w:rsidRPr="001279D1">
        <w:rPr>
          <w:rFonts w:ascii="TimesNewRomanPS-ItalicMT" w:hAnsi="TimesNewRomanPS-ItalicMT" w:cs="TimesNewRomanPS-ItalicMT"/>
          <w:i/>
          <w:iCs/>
          <w:szCs w:val="24"/>
        </w:rPr>
        <w:t>See id</w:t>
      </w:r>
      <w:r w:rsidRPr="001279D1">
        <w:rPr>
          <w:rFonts w:cs="Times New Roman"/>
          <w:szCs w:val="24"/>
        </w:rPr>
        <w:t>.</w:t>
      </w:r>
    </w:p>
    <w:p w14:paraId="2C4FAF27" w14:textId="77777777" w:rsidR="001279D1" w:rsidRPr="001279D1" w:rsidRDefault="001279D1" w:rsidP="001279D1">
      <w:pPr>
        <w:autoSpaceDE w:val="0"/>
        <w:autoSpaceDN w:val="0"/>
        <w:adjustRightInd w:val="0"/>
        <w:rPr>
          <w:rFonts w:cs="Times New Roman"/>
          <w:szCs w:val="24"/>
        </w:rPr>
      </w:pPr>
    </w:p>
    <w:p w14:paraId="07FF4336"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This instruction is for use in a case involving an inherently distinctive mark.  It reflects the traditional concept that trademark rights belong to the party who first makes an actual use of the trademark in business. </w:t>
      </w:r>
      <w:r w:rsidRPr="001279D1">
        <w:rPr>
          <w:rFonts w:cs="Times New Roman"/>
          <w:i/>
          <w:iCs/>
          <w:szCs w:val="24"/>
        </w:rPr>
        <w:t xml:space="preserve"> See </w:t>
      </w:r>
      <w:proofErr w:type="spellStart"/>
      <w:r w:rsidRPr="001279D1">
        <w:rPr>
          <w:rFonts w:cs="Times New Roman"/>
          <w:i/>
          <w:iCs/>
          <w:szCs w:val="24"/>
        </w:rPr>
        <w:t>Rolley</w:t>
      </w:r>
      <w:proofErr w:type="spellEnd"/>
      <w:r w:rsidRPr="001279D1">
        <w:rPr>
          <w:rFonts w:cs="Times New Roman"/>
          <w:i/>
          <w:iCs/>
          <w:szCs w:val="24"/>
        </w:rPr>
        <w:t xml:space="preserve"> v. Younghusband</w:t>
      </w:r>
      <w:r w:rsidRPr="001279D1">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1279D1">
        <w:rPr>
          <w:rFonts w:cs="Times New Roman"/>
          <w:i/>
          <w:iCs/>
          <w:szCs w:val="24"/>
        </w:rPr>
        <w:t>Carter-Wallace, Inc. v. Procter &amp; Gamble Co</w:t>
      </w:r>
      <w:r w:rsidRPr="001279D1">
        <w:rPr>
          <w:rFonts w:cs="Times New Roman"/>
          <w:szCs w:val="24"/>
        </w:rPr>
        <w:t xml:space="preserve">., 434 F.2d 794 (9th Cir. 1970). </w:t>
      </w:r>
    </w:p>
    <w:p w14:paraId="66C23280" w14:textId="77777777" w:rsidR="001279D1" w:rsidRPr="001279D1" w:rsidRDefault="001279D1" w:rsidP="001279D1">
      <w:pPr>
        <w:autoSpaceDE w:val="0"/>
        <w:autoSpaceDN w:val="0"/>
        <w:adjustRightInd w:val="0"/>
        <w:rPr>
          <w:rFonts w:cs="Times New Roman"/>
          <w:szCs w:val="24"/>
        </w:rPr>
      </w:pPr>
    </w:p>
    <w:p w14:paraId="43184812" w14:textId="77777777" w:rsidR="001279D1" w:rsidRPr="001279D1" w:rsidRDefault="001279D1" w:rsidP="001279D1">
      <w:pPr>
        <w:autoSpaceDE w:val="0"/>
        <w:autoSpaceDN w:val="0"/>
        <w:adjustRightInd w:val="0"/>
        <w:rPr>
          <w:rFonts w:cs="Times New Roman"/>
          <w:szCs w:val="24"/>
        </w:rPr>
      </w:pPr>
      <w:r w:rsidRPr="001279D1">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15919FC7" w14:textId="77777777" w:rsidR="001279D1" w:rsidRPr="001279D1" w:rsidRDefault="001279D1" w:rsidP="001279D1">
      <w:pPr>
        <w:autoSpaceDE w:val="0"/>
        <w:autoSpaceDN w:val="0"/>
        <w:adjustRightInd w:val="0"/>
        <w:rPr>
          <w:rFonts w:cs="Times New Roman"/>
          <w:szCs w:val="24"/>
        </w:rPr>
      </w:pPr>
    </w:p>
    <w:p w14:paraId="0EAB427A" w14:textId="77777777" w:rsidR="001279D1" w:rsidRPr="001279D1" w:rsidRDefault="001279D1" w:rsidP="001279D1">
      <w:pPr>
        <w:ind w:left="1440" w:right="1440"/>
        <w:jc w:val="both"/>
        <w:rPr>
          <w:rFonts w:cs="Times New Roman"/>
          <w:szCs w:val="24"/>
        </w:rPr>
      </w:pPr>
      <w:r w:rsidRPr="001279D1">
        <w:rPr>
          <w:rFonts w:cs="Times New Roman"/>
          <w:szCs w:val="24"/>
        </w:rPr>
        <w:t>If the plaintiff’s [</w:t>
      </w:r>
      <w:r w:rsidRPr="001279D1">
        <w:rPr>
          <w:rFonts w:cs="Times New Roman"/>
          <w:i/>
          <w:iCs/>
          <w:szCs w:val="24"/>
          <w:u w:val="single"/>
        </w:rPr>
        <w:t>describe trademark</w:t>
      </w:r>
      <w:r w:rsidRPr="001279D1">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1279D1">
        <w:rPr>
          <w:rFonts w:cs="Times New Roman"/>
          <w:i/>
          <w:iCs/>
          <w:szCs w:val="24"/>
          <w:u w:val="single"/>
        </w:rPr>
        <w:t>describe trademark</w:t>
      </w:r>
      <w:r w:rsidRPr="001279D1">
        <w:rPr>
          <w:rFonts w:cs="Times New Roman"/>
          <w:szCs w:val="24"/>
        </w:rPr>
        <w:t>] had gained secondary meaning before the defendant first began to use the [</w:t>
      </w:r>
      <w:r w:rsidRPr="001279D1">
        <w:rPr>
          <w:rFonts w:cs="Times New Roman"/>
          <w:i/>
          <w:iCs/>
          <w:szCs w:val="24"/>
          <w:u w:val="single"/>
        </w:rPr>
        <w:t>describe trademark</w:t>
      </w:r>
      <w:r w:rsidRPr="001279D1">
        <w:rPr>
          <w:rFonts w:cs="Times New Roman"/>
          <w:szCs w:val="24"/>
        </w:rPr>
        <w:t>].</w:t>
      </w:r>
    </w:p>
    <w:p w14:paraId="5B220A1A" w14:textId="77777777" w:rsidR="001279D1" w:rsidRPr="001279D1" w:rsidRDefault="001279D1" w:rsidP="001279D1">
      <w:pPr>
        <w:ind w:left="1440" w:right="1440"/>
        <w:jc w:val="both"/>
        <w:rPr>
          <w:rFonts w:cs="Times New Roman"/>
          <w:szCs w:val="24"/>
        </w:rPr>
      </w:pPr>
    </w:p>
    <w:p w14:paraId="43EA61BC" w14:textId="77777777" w:rsidR="001279D1" w:rsidRPr="001279D1" w:rsidRDefault="001279D1" w:rsidP="001279D1">
      <w:pPr>
        <w:autoSpaceDE w:val="0"/>
        <w:autoSpaceDN w:val="0"/>
        <w:adjustRightInd w:val="0"/>
        <w:ind w:firstLine="720"/>
        <w:rPr>
          <w:rFonts w:ascii="TimesNewRomanPSMT" w:hAnsi="TimesNewRomanPSMT" w:cs="TimesNewRomanPSMT"/>
          <w:szCs w:val="24"/>
        </w:rPr>
      </w:pPr>
      <w:r w:rsidRPr="001279D1">
        <w:rPr>
          <w:rFonts w:ascii="TimesNewRomanPSMT" w:hAnsi="TimesNewRomanPSMT" w:cs="TimesNewRomanPSMT"/>
          <w:szCs w:val="24"/>
        </w:rPr>
        <w:t>Trademark priority and the right to exclude others from using a trademark depend not</w:t>
      </w:r>
    </w:p>
    <w:p w14:paraId="11B43E6B" w14:textId="77777777" w:rsidR="001279D1" w:rsidRPr="001279D1" w:rsidRDefault="001279D1" w:rsidP="001279D1">
      <w:pPr>
        <w:autoSpaceDE w:val="0"/>
        <w:autoSpaceDN w:val="0"/>
        <w:adjustRightInd w:val="0"/>
        <w:rPr>
          <w:rFonts w:ascii="TimesNewRomanPSMT" w:hAnsi="TimesNewRomanPSMT" w:cs="TimesNewRomanPSMT"/>
          <w:szCs w:val="24"/>
        </w:rPr>
      </w:pPr>
      <w:r w:rsidRPr="001279D1">
        <w:rPr>
          <w:rFonts w:ascii="TimesNewRomanPSMT" w:hAnsi="TimesNewRomanPSMT" w:cs="TimesNewRomanPSMT"/>
          <w:szCs w:val="24"/>
        </w:rPr>
        <w:t xml:space="preserve">merely on first use but on </w:t>
      </w:r>
      <w:r w:rsidRPr="001279D1">
        <w:rPr>
          <w:rFonts w:ascii="TimesNewRomanPS-ItalicMT" w:hAnsi="TimesNewRomanPS-ItalicMT" w:cs="TimesNewRomanPS-ItalicMT"/>
          <w:i/>
          <w:iCs/>
          <w:szCs w:val="24"/>
        </w:rPr>
        <w:t xml:space="preserve">lawful </w:t>
      </w:r>
      <w:r w:rsidRPr="001279D1">
        <w:rPr>
          <w:rFonts w:ascii="TimesNewRomanPSMT" w:hAnsi="TimesNewRomanPSMT" w:cs="TimesNewRomanPSMT"/>
          <w:szCs w:val="24"/>
        </w:rPr>
        <w:t xml:space="preserve">first use.  </w:t>
      </w:r>
      <w:r w:rsidRPr="001279D1">
        <w:rPr>
          <w:rFonts w:ascii="TimesNewRomanPS-ItalicMT" w:hAnsi="TimesNewRomanPS-ItalicMT" w:cs="TimesNewRomanPS-ItalicMT"/>
          <w:i/>
          <w:iCs/>
          <w:szCs w:val="24"/>
        </w:rPr>
        <w:t>See AK Futures LLC v. Boyd Street Distro, LLC</w:t>
      </w:r>
      <w:r w:rsidRPr="001279D1">
        <w:rPr>
          <w:rFonts w:ascii="TimesNewRomanPSMT" w:hAnsi="TimesNewRomanPSMT" w:cs="TimesNewRomanPSMT"/>
          <w:szCs w:val="24"/>
        </w:rPr>
        <w:t>, 35</w:t>
      </w:r>
    </w:p>
    <w:p w14:paraId="4ACB4F89" w14:textId="77777777" w:rsidR="001279D1" w:rsidRPr="001279D1" w:rsidRDefault="001279D1" w:rsidP="001279D1">
      <w:pPr>
        <w:autoSpaceDE w:val="0"/>
        <w:autoSpaceDN w:val="0"/>
        <w:adjustRightInd w:val="0"/>
        <w:rPr>
          <w:rFonts w:ascii="TimesNewRomanPS-ItalicMT" w:hAnsi="TimesNewRomanPS-ItalicMT" w:cs="TimesNewRomanPS-ItalicMT"/>
          <w:i/>
          <w:iCs/>
          <w:szCs w:val="24"/>
        </w:rPr>
      </w:pPr>
      <w:r w:rsidRPr="001279D1">
        <w:rPr>
          <w:rFonts w:ascii="TimesNewRomanPSMT" w:hAnsi="TimesNewRomanPSMT" w:cs="TimesNewRomanPSMT"/>
          <w:szCs w:val="24"/>
        </w:rPr>
        <w:t xml:space="preserve">F.4th 682, 689 (9th Cir. 2022) (citing </w:t>
      </w:r>
      <w:proofErr w:type="spellStart"/>
      <w:r w:rsidRPr="001279D1">
        <w:rPr>
          <w:rFonts w:ascii="TimesNewRomanPS-ItalicMT" w:hAnsi="TimesNewRomanPS-ItalicMT" w:cs="TimesNewRomanPS-ItalicMT"/>
          <w:i/>
          <w:iCs/>
          <w:szCs w:val="24"/>
        </w:rPr>
        <w:t>CreAgri</w:t>
      </w:r>
      <w:proofErr w:type="spellEnd"/>
      <w:r w:rsidRPr="001279D1">
        <w:rPr>
          <w:rFonts w:ascii="TimesNewRomanPS-ItalicMT" w:hAnsi="TimesNewRomanPS-ItalicMT" w:cs="TimesNewRomanPS-ItalicMT"/>
          <w:i/>
          <w:iCs/>
          <w:szCs w:val="24"/>
        </w:rPr>
        <w:t xml:space="preserve">, Inc. v. USANA Health </w:t>
      </w:r>
      <w:proofErr w:type="spellStart"/>
      <w:r w:rsidRPr="001279D1">
        <w:rPr>
          <w:rFonts w:ascii="TimesNewRomanPS-ItalicMT" w:hAnsi="TimesNewRomanPS-ItalicMT" w:cs="TimesNewRomanPS-ItalicMT"/>
          <w:i/>
          <w:iCs/>
          <w:szCs w:val="24"/>
        </w:rPr>
        <w:t>Scis</w:t>
      </w:r>
      <w:proofErr w:type="spellEnd"/>
      <w:r w:rsidRPr="001279D1">
        <w:rPr>
          <w:rFonts w:ascii="TimesNewRomanPS-ItalicMT" w:hAnsi="TimesNewRomanPS-ItalicMT" w:cs="TimesNewRomanPS-ItalicMT"/>
          <w:i/>
          <w:iCs/>
          <w:szCs w:val="24"/>
        </w:rPr>
        <w:t>., Inc.</w:t>
      </w:r>
      <w:r w:rsidRPr="001279D1">
        <w:rPr>
          <w:rFonts w:ascii="TimesNewRomanPSMT" w:hAnsi="TimesNewRomanPSMT" w:cs="TimesNewRomanPSMT"/>
          <w:szCs w:val="24"/>
        </w:rPr>
        <w:t>, 474 F.3d 626, 630 (9th Cir. 2007)).  However, “illegal activity of insufficient gravity or</w:t>
      </w:r>
      <w:r w:rsidRPr="001279D1">
        <w:rPr>
          <w:rFonts w:ascii="TimesNewRomanPS-ItalicMT" w:hAnsi="TimesNewRomanPS-ItalicMT" w:cs="TimesNewRomanPS-ItalicMT"/>
          <w:i/>
          <w:iCs/>
          <w:szCs w:val="24"/>
        </w:rPr>
        <w:t xml:space="preserve"> </w:t>
      </w:r>
      <w:r w:rsidRPr="001279D1">
        <w:rPr>
          <w:rFonts w:ascii="TimesNewRomanPSMT" w:hAnsi="TimesNewRomanPSMT" w:cs="TimesNewRomanPSMT"/>
          <w:szCs w:val="24"/>
        </w:rPr>
        <w:t xml:space="preserve">connection to a mark’s use in commerce might not defeat an otherwise valid trademark.”  </w:t>
      </w:r>
      <w:r w:rsidRPr="001279D1">
        <w:rPr>
          <w:rFonts w:ascii="TimesNewRomanPS-ItalicMT" w:hAnsi="TimesNewRomanPS-ItalicMT" w:cs="TimesNewRomanPS-ItalicMT"/>
          <w:i/>
          <w:iCs/>
          <w:szCs w:val="24"/>
        </w:rPr>
        <w:t>Id.</w:t>
      </w:r>
    </w:p>
    <w:p w14:paraId="74B70B3D" w14:textId="77777777" w:rsidR="001279D1" w:rsidRPr="001279D1" w:rsidRDefault="001279D1" w:rsidP="001279D1">
      <w:pPr>
        <w:ind w:left="1440" w:right="1440"/>
        <w:jc w:val="both"/>
        <w:rPr>
          <w:rFonts w:cs="Times New Roman"/>
          <w:szCs w:val="24"/>
        </w:rPr>
      </w:pPr>
    </w:p>
    <w:p w14:paraId="2D372683" w14:textId="77777777" w:rsidR="001279D1" w:rsidRPr="001279D1" w:rsidRDefault="001279D1" w:rsidP="001279D1">
      <w:pPr>
        <w:kinsoku w:val="0"/>
        <w:overflowPunct w:val="0"/>
        <w:autoSpaceDE w:val="0"/>
        <w:autoSpaceDN w:val="0"/>
        <w:adjustRightInd w:val="0"/>
        <w:ind w:left="40" w:right="102" w:firstLine="720"/>
        <w:rPr>
          <w:rFonts w:cs="Times New Roman"/>
          <w:szCs w:val="24"/>
        </w:rPr>
      </w:pPr>
      <w:r w:rsidRPr="001279D1">
        <w:rPr>
          <w:rFonts w:cs="Times New Roman"/>
          <w:szCs w:val="24"/>
        </w:rPr>
        <w:t xml:space="preserve">Under the “Protocol Relating to the Madrid Agreement Concerning the International Registration of Marks,” June 27, 1989, T.I.A.S. No. 03-1102, commonly known as the “Madrid Protocol,” an individual or entity that possesses trademark protection in another country can apply for an extension of protection in the U.S., which will function like trademark registration in the U.S., without requiring use of the mark in U.S. commerce.  </w:t>
      </w:r>
      <w:r w:rsidRPr="001279D1">
        <w:rPr>
          <w:rFonts w:cs="Times New Roman"/>
          <w:i/>
          <w:iCs/>
          <w:szCs w:val="24"/>
        </w:rPr>
        <w:t xml:space="preserve">Lodestar </w:t>
      </w:r>
      <w:proofErr w:type="spellStart"/>
      <w:r w:rsidRPr="001279D1">
        <w:rPr>
          <w:rFonts w:cs="Times New Roman"/>
          <w:i/>
          <w:iCs/>
          <w:szCs w:val="24"/>
        </w:rPr>
        <w:t>Anstalt</w:t>
      </w:r>
      <w:proofErr w:type="spellEnd"/>
      <w:r w:rsidRPr="001279D1">
        <w:rPr>
          <w:rFonts w:cs="Times New Roman"/>
          <w:i/>
          <w:iCs/>
          <w:szCs w:val="24"/>
        </w:rPr>
        <w:t xml:space="preserve"> v. Bacardi &amp; Company Limited</w:t>
      </w:r>
      <w:r w:rsidRPr="001279D1">
        <w:rPr>
          <w:rFonts w:cs="Times New Roman"/>
          <w:szCs w:val="24"/>
        </w:rPr>
        <w:t xml:space="preserve">, 31 F.4th 1228, 1237–38 (9th Cir. 2022).  Any such applicant will receive protection, even if the applicant is unable to show that it has used the relevant mark in U.S. commerce, so long as the applicant declares a bona fide intent to use the mark in U.S. commerce.   </w:t>
      </w:r>
      <w:r w:rsidRPr="001279D1">
        <w:rPr>
          <w:rFonts w:cs="Times New Roman"/>
          <w:i/>
          <w:iCs/>
          <w:szCs w:val="24"/>
        </w:rPr>
        <w:t xml:space="preserve">Id. </w:t>
      </w:r>
      <w:r w:rsidRPr="001279D1">
        <w:rPr>
          <w:rFonts w:cs="Times New Roman"/>
          <w:szCs w:val="24"/>
        </w:rPr>
        <w:t xml:space="preserve">at 1238.  However, a failure to file a statement of use in commerce within the applicable time period will result in the cancellation of the extension of protection under 15 U.S.C. § 1141.  </w:t>
      </w:r>
      <w:r w:rsidRPr="001279D1">
        <w:rPr>
          <w:rFonts w:cs="Times New Roman"/>
          <w:i/>
          <w:iCs/>
          <w:szCs w:val="24"/>
        </w:rPr>
        <w:t xml:space="preserve">Id. </w:t>
      </w:r>
      <w:r w:rsidRPr="001279D1">
        <w:rPr>
          <w:rFonts w:cs="Times New Roman"/>
          <w:szCs w:val="24"/>
        </w:rPr>
        <w:t>at 1238.</w:t>
      </w:r>
    </w:p>
    <w:p w14:paraId="37CD331A" w14:textId="77777777" w:rsidR="001279D1" w:rsidRPr="001279D1" w:rsidRDefault="001279D1" w:rsidP="001279D1">
      <w:pPr>
        <w:kinsoku w:val="0"/>
        <w:overflowPunct w:val="0"/>
        <w:autoSpaceDE w:val="0"/>
        <w:autoSpaceDN w:val="0"/>
        <w:adjustRightInd w:val="0"/>
        <w:ind w:left="40" w:right="102" w:firstLine="720"/>
        <w:rPr>
          <w:rFonts w:cs="Times New Roman"/>
          <w:i/>
          <w:iCs/>
          <w:szCs w:val="24"/>
        </w:rPr>
      </w:pPr>
    </w:p>
    <w:p w14:paraId="562E392C"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r w:rsidRPr="001279D1">
        <w:rPr>
          <w:rFonts w:cs="Times New Roman"/>
          <w:szCs w:val="24"/>
        </w:rPr>
        <w:t xml:space="preserve">However, under the Madrid Protocol, an entity or individual with a right of priority will only be entitled to bring an infringement action after it begins actual use (as opposed to mere constructive use) of the mark in question.  </w:t>
      </w:r>
      <w:r w:rsidRPr="001279D1">
        <w:rPr>
          <w:rFonts w:cs="Times New Roman"/>
          <w:i/>
          <w:iCs/>
          <w:szCs w:val="24"/>
        </w:rPr>
        <w:t xml:space="preserve">Id. </w:t>
      </w:r>
      <w:r w:rsidRPr="001279D1">
        <w:rPr>
          <w:rFonts w:cs="Times New Roman"/>
          <w:szCs w:val="24"/>
        </w:rPr>
        <w:t xml:space="preserve">at 1250.  Moreover, that entity or individual will be entitled to bring an infringement action, even if it only began to use the mark after the competing user had already begun to do so.  </w:t>
      </w:r>
      <w:r w:rsidRPr="001279D1">
        <w:rPr>
          <w:rFonts w:cs="Times New Roman"/>
          <w:i/>
          <w:iCs/>
          <w:szCs w:val="24"/>
        </w:rPr>
        <w:t xml:space="preserve">Id.  </w:t>
      </w:r>
      <w:r w:rsidRPr="001279D1">
        <w:rPr>
          <w:rFonts w:cs="Times New Roman"/>
          <w:szCs w:val="24"/>
        </w:rPr>
        <w:t xml:space="preserve">That said, to retain a right of priority, the mark’s use must be a bona fide use and a genuine commercial endeavor, rather than a mere effort to retain rights in the mark.  </w:t>
      </w:r>
      <w:r w:rsidRPr="001279D1">
        <w:rPr>
          <w:rFonts w:cs="Times New Roman"/>
          <w:i/>
          <w:iCs/>
          <w:szCs w:val="24"/>
        </w:rPr>
        <w:t xml:space="preserve">Id. </w:t>
      </w:r>
      <w:r w:rsidRPr="001279D1">
        <w:rPr>
          <w:rFonts w:cs="Times New Roman"/>
          <w:szCs w:val="24"/>
        </w:rPr>
        <w:t>at 1255.  And, in order to assert a claim for infringement, the individual with a right of priority would still have to demonstrate the requisite likelihood of</w:t>
      </w:r>
      <w:r w:rsidRPr="001279D1">
        <w:rPr>
          <w:rFonts w:cs="Times New Roman"/>
          <w:szCs w:val="24"/>
          <w:u w:val="single"/>
        </w:rPr>
        <w:t xml:space="preserve"> </w:t>
      </w:r>
      <w:r w:rsidRPr="001279D1">
        <w:rPr>
          <w:rFonts w:cs="Times New Roman"/>
          <w:szCs w:val="24"/>
        </w:rPr>
        <w:t xml:space="preserve">confusion and prevail against the defendant’s applicable defenses.  </w:t>
      </w:r>
      <w:r w:rsidRPr="001279D1">
        <w:rPr>
          <w:rFonts w:cs="Times New Roman"/>
          <w:i/>
          <w:iCs/>
          <w:szCs w:val="24"/>
        </w:rPr>
        <w:t>Lodestar</w:t>
      </w:r>
      <w:r w:rsidRPr="001279D1">
        <w:rPr>
          <w:rFonts w:cs="Times New Roman"/>
          <w:szCs w:val="24"/>
          <w:u w:val="single"/>
        </w:rPr>
        <w:t xml:space="preserve"> </w:t>
      </w:r>
      <w:proofErr w:type="spellStart"/>
      <w:r w:rsidRPr="001279D1">
        <w:rPr>
          <w:rFonts w:cs="Times New Roman"/>
          <w:i/>
          <w:iCs/>
          <w:szCs w:val="24"/>
        </w:rPr>
        <w:t>Anstalt</w:t>
      </w:r>
      <w:proofErr w:type="spellEnd"/>
      <w:r w:rsidRPr="001279D1">
        <w:rPr>
          <w:rFonts w:cs="Times New Roman"/>
          <w:szCs w:val="24"/>
        </w:rPr>
        <w:t>, 31 F.4th at 1251.  When considering likelihood of confusion, the</w:t>
      </w:r>
      <w:r w:rsidRPr="001279D1">
        <w:rPr>
          <w:rFonts w:cs="Times New Roman"/>
          <w:szCs w:val="24"/>
          <w:u w:val="single"/>
        </w:rPr>
        <w:t xml:space="preserve"> </w:t>
      </w:r>
      <w:r w:rsidRPr="001279D1">
        <w:rPr>
          <w:rFonts w:cs="Times New Roman"/>
          <w:szCs w:val="24"/>
        </w:rPr>
        <w:t>Ninth Circuit has held it is erroneous to adopt a categorical temporal rule</w:t>
      </w:r>
      <w:r w:rsidRPr="001279D1">
        <w:rPr>
          <w:rFonts w:ascii="TimesNewRomanPSMT" w:hAnsi="TimesNewRomanPSMT" w:cs="TimesNewRomanPSMT"/>
          <w:sz w:val="28"/>
          <w:szCs w:val="28"/>
        </w:rPr>
        <w:t xml:space="preserve"> </w:t>
      </w:r>
      <w:r w:rsidRPr="001279D1">
        <w:rPr>
          <w:rFonts w:cs="Times New Roman"/>
          <w:szCs w:val="24"/>
        </w:rPr>
        <w:t>that excludes consideration of uses of the trademark made by the senior</w:t>
      </w:r>
      <w:r w:rsidRPr="001279D1">
        <w:rPr>
          <w:rFonts w:cs="Times New Roman"/>
          <w:szCs w:val="24"/>
          <w:u w:val="single"/>
        </w:rPr>
        <w:t xml:space="preserve"> </w:t>
      </w:r>
      <w:r w:rsidRPr="001279D1">
        <w:rPr>
          <w:rFonts w:cs="Times New Roman"/>
          <w:szCs w:val="24"/>
        </w:rPr>
        <w:t xml:space="preserve">trademark holder </w:t>
      </w:r>
      <w:r w:rsidRPr="001279D1">
        <w:rPr>
          <w:rFonts w:cs="Times New Roman"/>
          <w:i/>
          <w:iCs/>
          <w:szCs w:val="24"/>
        </w:rPr>
        <w:t xml:space="preserve">after </w:t>
      </w:r>
      <w:r w:rsidRPr="001279D1">
        <w:rPr>
          <w:rFonts w:cs="Times New Roman"/>
          <w:szCs w:val="24"/>
        </w:rPr>
        <w:t xml:space="preserve">the infringer uses the mark.   </w:t>
      </w:r>
      <w:r w:rsidRPr="001279D1">
        <w:rPr>
          <w:rFonts w:cs="Times New Roman"/>
          <w:i/>
          <w:iCs/>
          <w:szCs w:val="24"/>
        </w:rPr>
        <w:t xml:space="preserve">Id. </w:t>
      </w:r>
      <w:r w:rsidRPr="001279D1">
        <w:rPr>
          <w:rFonts w:cs="Times New Roman"/>
          <w:szCs w:val="24"/>
        </w:rPr>
        <w:t>at 1253.</w:t>
      </w:r>
    </w:p>
    <w:p w14:paraId="465426D3" w14:textId="77777777" w:rsidR="001279D1" w:rsidRPr="001279D1" w:rsidRDefault="001279D1" w:rsidP="001279D1">
      <w:pPr>
        <w:kinsoku w:val="0"/>
        <w:overflowPunct w:val="0"/>
        <w:autoSpaceDE w:val="0"/>
        <w:autoSpaceDN w:val="0"/>
        <w:adjustRightInd w:val="0"/>
        <w:ind w:left="40" w:right="82" w:firstLine="720"/>
        <w:rPr>
          <w:rFonts w:cs="Times New Roman"/>
          <w:szCs w:val="24"/>
        </w:rPr>
      </w:pPr>
    </w:p>
    <w:p w14:paraId="25623E53" w14:textId="77777777" w:rsidR="001279D1" w:rsidRPr="001279D1" w:rsidRDefault="001279D1" w:rsidP="001279D1">
      <w:pPr>
        <w:kinsoku w:val="0"/>
        <w:overflowPunct w:val="0"/>
        <w:autoSpaceDE w:val="0"/>
        <w:autoSpaceDN w:val="0"/>
        <w:adjustRightInd w:val="0"/>
        <w:ind w:right="82"/>
        <w:jc w:val="right"/>
        <w:rPr>
          <w:rFonts w:cs="Times New Roman"/>
          <w:i/>
          <w:iCs/>
          <w:szCs w:val="24"/>
        </w:rPr>
      </w:pPr>
      <w:r w:rsidRPr="001279D1">
        <w:rPr>
          <w:rFonts w:cs="Times New Roman"/>
          <w:i/>
          <w:iCs/>
          <w:szCs w:val="24"/>
        </w:rPr>
        <w:t>Revised June 2022</w:t>
      </w:r>
    </w:p>
    <w:p w14:paraId="44FDCF8B" w14:textId="77777777" w:rsidR="001279D1" w:rsidRPr="001279D1" w:rsidRDefault="001279D1" w:rsidP="001279D1">
      <w:pPr>
        <w:spacing w:after="160" w:line="259" w:lineRule="auto"/>
        <w:rPr>
          <w:rFonts w:asciiTheme="minorHAnsi" w:hAnsiTheme="minorHAnsi"/>
          <w:sz w:val="22"/>
        </w:rPr>
      </w:pPr>
    </w:p>
    <w:p w14:paraId="24F3F591" w14:textId="4E5E7810" w:rsidR="001279D1" w:rsidRDefault="001279D1" w:rsidP="001279D1">
      <w:pPr>
        <w:autoSpaceDE w:val="0"/>
        <w:autoSpaceDN w:val="0"/>
        <w:adjustRightInd w:val="0"/>
      </w:pPr>
    </w:p>
    <w:p w14:paraId="1930DB07" w14:textId="23AB02FE" w:rsidR="001279D1" w:rsidRDefault="001279D1" w:rsidP="001279D1">
      <w:pPr>
        <w:autoSpaceDE w:val="0"/>
        <w:autoSpaceDN w:val="0"/>
        <w:adjustRightInd w:val="0"/>
      </w:pPr>
    </w:p>
    <w:p w14:paraId="729E81A5" w14:textId="45E079B2" w:rsidR="001279D1" w:rsidRDefault="001279D1" w:rsidP="001279D1">
      <w:pPr>
        <w:autoSpaceDE w:val="0"/>
        <w:autoSpaceDN w:val="0"/>
        <w:adjustRightInd w:val="0"/>
      </w:pPr>
    </w:p>
    <w:p w14:paraId="4FA98B16" w14:textId="3649BAA3" w:rsidR="001279D1" w:rsidRDefault="001279D1" w:rsidP="001279D1">
      <w:pPr>
        <w:autoSpaceDE w:val="0"/>
        <w:autoSpaceDN w:val="0"/>
        <w:adjustRightInd w:val="0"/>
      </w:pPr>
    </w:p>
    <w:p w14:paraId="4589CB6B" w14:textId="524D974B" w:rsidR="001279D1" w:rsidRDefault="001279D1" w:rsidP="001279D1">
      <w:pPr>
        <w:autoSpaceDE w:val="0"/>
        <w:autoSpaceDN w:val="0"/>
        <w:adjustRightInd w:val="0"/>
      </w:pPr>
    </w:p>
    <w:p w14:paraId="05B206C5" w14:textId="19BA63F9" w:rsidR="001279D1" w:rsidRDefault="001279D1" w:rsidP="001279D1">
      <w:pPr>
        <w:autoSpaceDE w:val="0"/>
        <w:autoSpaceDN w:val="0"/>
        <w:adjustRightInd w:val="0"/>
      </w:pPr>
    </w:p>
    <w:p w14:paraId="1E9A07F9" w14:textId="16309DFF" w:rsidR="001279D1" w:rsidRDefault="001279D1" w:rsidP="001279D1">
      <w:pPr>
        <w:autoSpaceDE w:val="0"/>
        <w:autoSpaceDN w:val="0"/>
        <w:adjustRightInd w:val="0"/>
      </w:pPr>
    </w:p>
    <w:p w14:paraId="6229FE80" w14:textId="00155D8E" w:rsidR="001279D1" w:rsidRDefault="001279D1" w:rsidP="001279D1">
      <w:pPr>
        <w:autoSpaceDE w:val="0"/>
        <w:autoSpaceDN w:val="0"/>
        <w:adjustRightInd w:val="0"/>
      </w:pPr>
    </w:p>
    <w:p w14:paraId="4EB2B706" w14:textId="392441FD" w:rsidR="001279D1" w:rsidRDefault="001279D1" w:rsidP="001279D1">
      <w:pPr>
        <w:autoSpaceDE w:val="0"/>
        <w:autoSpaceDN w:val="0"/>
        <w:adjustRightInd w:val="0"/>
      </w:pPr>
    </w:p>
    <w:p w14:paraId="3F046219" w14:textId="26343519" w:rsidR="001279D1" w:rsidRDefault="001279D1" w:rsidP="001279D1">
      <w:pPr>
        <w:autoSpaceDE w:val="0"/>
        <w:autoSpaceDN w:val="0"/>
        <w:adjustRightInd w:val="0"/>
      </w:pPr>
    </w:p>
    <w:p w14:paraId="3BE5B5A8" w14:textId="7676C2FF" w:rsidR="001279D1" w:rsidRDefault="001279D1" w:rsidP="001279D1">
      <w:pPr>
        <w:autoSpaceDE w:val="0"/>
        <w:autoSpaceDN w:val="0"/>
        <w:adjustRightInd w:val="0"/>
      </w:pPr>
    </w:p>
    <w:p w14:paraId="4523B017" w14:textId="05273B26" w:rsidR="001279D1" w:rsidRDefault="001279D1" w:rsidP="001279D1">
      <w:pPr>
        <w:autoSpaceDE w:val="0"/>
        <w:autoSpaceDN w:val="0"/>
        <w:adjustRightInd w:val="0"/>
      </w:pPr>
    </w:p>
    <w:p w14:paraId="4D14DDA5" w14:textId="3487EFAA" w:rsidR="001279D1" w:rsidRDefault="001279D1" w:rsidP="001279D1">
      <w:pPr>
        <w:autoSpaceDE w:val="0"/>
        <w:autoSpaceDN w:val="0"/>
        <w:adjustRightInd w:val="0"/>
      </w:pPr>
    </w:p>
    <w:p w14:paraId="5E0215BD" w14:textId="1108CA5B" w:rsidR="001279D1" w:rsidRDefault="001279D1" w:rsidP="001279D1">
      <w:pPr>
        <w:autoSpaceDE w:val="0"/>
        <w:autoSpaceDN w:val="0"/>
        <w:adjustRightInd w:val="0"/>
      </w:pPr>
    </w:p>
    <w:p w14:paraId="1947BE9B" w14:textId="706806F7" w:rsidR="001279D1" w:rsidRDefault="001279D1" w:rsidP="001279D1">
      <w:pPr>
        <w:autoSpaceDE w:val="0"/>
        <w:autoSpaceDN w:val="0"/>
        <w:adjustRightInd w:val="0"/>
      </w:pPr>
    </w:p>
    <w:p w14:paraId="61E01695" w14:textId="6CCF3ED9" w:rsidR="001279D1" w:rsidRDefault="001279D1" w:rsidP="001279D1">
      <w:pPr>
        <w:autoSpaceDE w:val="0"/>
        <w:autoSpaceDN w:val="0"/>
        <w:adjustRightInd w:val="0"/>
      </w:pPr>
    </w:p>
    <w:p w14:paraId="65AAFA2C" w14:textId="6B4C6730" w:rsidR="001279D1" w:rsidRDefault="001279D1" w:rsidP="001279D1">
      <w:pPr>
        <w:autoSpaceDE w:val="0"/>
        <w:autoSpaceDN w:val="0"/>
        <w:adjustRightInd w:val="0"/>
      </w:pPr>
    </w:p>
    <w:p w14:paraId="6D1F8A48" w14:textId="6E08D115" w:rsidR="001279D1" w:rsidRDefault="001279D1" w:rsidP="001279D1">
      <w:pPr>
        <w:autoSpaceDE w:val="0"/>
        <w:autoSpaceDN w:val="0"/>
        <w:adjustRightInd w:val="0"/>
      </w:pPr>
    </w:p>
    <w:p w14:paraId="634A063E" w14:textId="29DE5CDB" w:rsidR="001279D1" w:rsidRDefault="001279D1" w:rsidP="001279D1">
      <w:pPr>
        <w:autoSpaceDE w:val="0"/>
        <w:autoSpaceDN w:val="0"/>
        <w:adjustRightInd w:val="0"/>
      </w:pPr>
    </w:p>
    <w:p w14:paraId="529CF95A" w14:textId="6B16C995" w:rsidR="001279D1" w:rsidRDefault="001279D1" w:rsidP="001279D1">
      <w:pPr>
        <w:autoSpaceDE w:val="0"/>
        <w:autoSpaceDN w:val="0"/>
        <w:adjustRightInd w:val="0"/>
      </w:pPr>
    </w:p>
    <w:p w14:paraId="64405BCD" w14:textId="140EBF49" w:rsidR="001279D1" w:rsidRDefault="001279D1" w:rsidP="001279D1">
      <w:pPr>
        <w:autoSpaceDE w:val="0"/>
        <w:autoSpaceDN w:val="0"/>
        <w:adjustRightInd w:val="0"/>
      </w:pPr>
    </w:p>
    <w:p w14:paraId="14CD1802" w14:textId="1B1EB8F4" w:rsidR="001279D1" w:rsidRDefault="001279D1" w:rsidP="001279D1">
      <w:pPr>
        <w:autoSpaceDE w:val="0"/>
        <w:autoSpaceDN w:val="0"/>
        <w:adjustRightInd w:val="0"/>
      </w:pPr>
    </w:p>
    <w:p w14:paraId="04AA3346" w14:textId="107DB49D" w:rsidR="001279D1" w:rsidRDefault="001279D1" w:rsidP="001279D1">
      <w:pPr>
        <w:autoSpaceDE w:val="0"/>
        <w:autoSpaceDN w:val="0"/>
        <w:adjustRightInd w:val="0"/>
      </w:pPr>
    </w:p>
    <w:p w14:paraId="418696A5" w14:textId="634E06D7" w:rsidR="001279D1" w:rsidRDefault="001279D1" w:rsidP="001279D1">
      <w:pPr>
        <w:autoSpaceDE w:val="0"/>
        <w:autoSpaceDN w:val="0"/>
        <w:adjustRightInd w:val="0"/>
      </w:pPr>
    </w:p>
    <w:p w14:paraId="43694A36" w14:textId="3950C6DE" w:rsidR="001279D1" w:rsidRDefault="001279D1" w:rsidP="001279D1">
      <w:pPr>
        <w:autoSpaceDE w:val="0"/>
        <w:autoSpaceDN w:val="0"/>
        <w:adjustRightInd w:val="0"/>
      </w:pPr>
    </w:p>
    <w:p w14:paraId="6AEA16E6" w14:textId="317D771B" w:rsidR="001279D1" w:rsidRDefault="001279D1" w:rsidP="001279D1">
      <w:pPr>
        <w:autoSpaceDE w:val="0"/>
        <w:autoSpaceDN w:val="0"/>
        <w:adjustRightInd w:val="0"/>
      </w:pPr>
    </w:p>
    <w:p w14:paraId="354F22E5" w14:textId="37FA8E19" w:rsidR="001279D1" w:rsidRDefault="001279D1" w:rsidP="001279D1">
      <w:pPr>
        <w:autoSpaceDE w:val="0"/>
        <w:autoSpaceDN w:val="0"/>
        <w:adjustRightInd w:val="0"/>
      </w:pPr>
    </w:p>
    <w:p w14:paraId="222A25EF" w14:textId="45FDF4ED" w:rsidR="001279D1" w:rsidRDefault="001279D1" w:rsidP="001279D1">
      <w:pPr>
        <w:autoSpaceDE w:val="0"/>
        <w:autoSpaceDN w:val="0"/>
        <w:adjustRightInd w:val="0"/>
      </w:pPr>
    </w:p>
    <w:p w14:paraId="3AA9FD4B" w14:textId="2666EDE1" w:rsidR="001279D1" w:rsidRDefault="001279D1" w:rsidP="001279D1">
      <w:pPr>
        <w:autoSpaceDE w:val="0"/>
        <w:autoSpaceDN w:val="0"/>
        <w:adjustRightInd w:val="0"/>
      </w:pPr>
    </w:p>
    <w:p w14:paraId="55C09D17" w14:textId="595758B7" w:rsidR="001279D1" w:rsidRDefault="001279D1" w:rsidP="001279D1">
      <w:pPr>
        <w:autoSpaceDE w:val="0"/>
        <w:autoSpaceDN w:val="0"/>
        <w:adjustRightInd w:val="0"/>
      </w:pPr>
    </w:p>
    <w:p w14:paraId="06F34AC3" w14:textId="3E87CBFE" w:rsidR="001279D1" w:rsidRDefault="001279D1" w:rsidP="001279D1">
      <w:pPr>
        <w:autoSpaceDE w:val="0"/>
        <w:autoSpaceDN w:val="0"/>
        <w:adjustRightInd w:val="0"/>
      </w:pPr>
    </w:p>
    <w:p w14:paraId="7AA9AF1A" w14:textId="5AAF84DC" w:rsidR="001279D1" w:rsidRDefault="001279D1" w:rsidP="001279D1">
      <w:pPr>
        <w:autoSpaceDE w:val="0"/>
        <w:autoSpaceDN w:val="0"/>
        <w:adjustRightInd w:val="0"/>
      </w:pPr>
    </w:p>
    <w:p w14:paraId="1A88D50D" w14:textId="0E620122" w:rsidR="001279D1" w:rsidRDefault="001279D1" w:rsidP="001279D1">
      <w:pPr>
        <w:autoSpaceDE w:val="0"/>
        <w:autoSpaceDN w:val="0"/>
        <w:adjustRightInd w:val="0"/>
      </w:pPr>
    </w:p>
    <w:p w14:paraId="60D22BAC" w14:textId="79E259C5" w:rsidR="001279D1" w:rsidRDefault="001279D1" w:rsidP="001279D1">
      <w:pPr>
        <w:autoSpaceDE w:val="0"/>
        <w:autoSpaceDN w:val="0"/>
        <w:adjustRightInd w:val="0"/>
      </w:pPr>
    </w:p>
    <w:p w14:paraId="7B9AD72B" w14:textId="7E3D8F84" w:rsidR="001279D1" w:rsidRDefault="001279D1" w:rsidP="001279D1">
      <w:pPr>
        <w:autoSpaceDE w:val="0"/>
        <w:autoSpaceDN w:val="0"/>
        <w:adjustRightInd w:val="0"/>
      </w:pPr>
    </w:p>
    <w:p w14:paraId="1AB7C7BF" w14:textId="77777777" w:rsidR="001279D1" w:rsidRPr="006A4CD7" w:rsidRDefault="001279D1" w:rsidP="001279D1">
      <w:pPr>
        <w:autoSpaceDE w:val="0"/>
        <w:autoSpaceDN w:val="0"/>
        <w:adjustRightInd w:val="0"/>
      </w:pPr>
    </w:p>
    <w:p w14:paraId="4C49574E" w14:textId="586E7950" w:rsidR="006A4CD7" w:rsidRPr="006A4CD7" w:rsidRDefault="006A4CD7" w:rsidP="00EA4DDD">
      <w:pPr>
        <w:pStyle w:val="Heading2"/>
      </w:pPr>
      <w:bookmarkStart w:id="256" w:name="_Toc117512540"/>
      <w:r w:rsidRPr="006A4CD7">
        <w:t xml:space="preserve">15.14 </w:t>
      </w:r>
      <w:r w:rsidR="002D3E69" w:rsidRPr="002D3E69">
        <w:t>Infringement—Elements—Ownership—Priority Through Tacking</w:t>
      </w:r>
      <w:bookmarkEnd w:id="256"/>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 xml:space="preserve">(quoting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7550504B" w14:textId="56737C1B" w:rsidR="003964B4" w:rsidRDefault="006A4CD7" w:rsidP="00BF342F">
      <w:pPr>
        <w:pStyle w:val="Heading2"/>
      </w:pPr>
      <w:r w:rsidRPr="006A4CD7">
        <w:br w:type="page"/>
      </w:r>
      <w:bookmarkStart w:id="257" w:name="_Toc117512541"/>
      <w:r w:rsidRPr="006A4CD7">
        <w:t xml:space="preserve">15.15 </w:t>
      </w:r>
      <w:r w:rsidR="002D3E69" w:rsidRPr="002D3E69">
        <w:t>Trademark Ownership—Assignee</w:t>
      </w:r>
      <w:bookmarkEnd w:id="257"/>
      <w:r w:rsidR="002D3E69" w:rsidRPr="002D3E69">
        <w:t xml:space="preserve"> </w:t>
      </w:r>
    </w:p>
    <w:p w14:paraId="78B30A6A" w14:textId="021EC85D" w:rsidR="006A4CD7" w:rsidRPr="006A4CD7" w:rsidRDefault="006A4CD7" w:rsidP="00BF342F">
      <w:pPr>
        <w:pStyle w:val="Heading2"/>
      </w:pPr>
      <w:bookmarkStart w:id="258" w:name="_Toc117512542"/>
      <w:r w:rsidRPr="006A4CD7">
        <w:t>(15 U.S.C. § 1060)</w:t>
      </w:r>
      <w:bookmarkEnd w:id="258"/>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11C0A569" w:rsidR="006A4CD7" w:rsidRPr="006A4CD7" w:rsidRDefault="006A4CD7" w:rsidP="00AB3963">
      <w:pPr>
        <w:pStyle w:val="Heading2"/>
      </w:pPr>
      <w:r w:rsidRPr="006A4CD7">
        <w:br w:type="page"/>
      </w:r>
      <w:bookmarkStart w:id="259" w:name="_Toc117512543"/>
      <w:r w:rsidRPr="006A4CD7">
        <w:t xml:space="preserve">15.16 </w:t>
      </w:r>
      <w:r w:rsidR="002D3E69" w:rsidRPr="002D3E69">
        <w:t>Trademark Ownership—Licensee</w:t>
      </w:r>
      <w:bookmarkEnd w:id="259"/>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 xml:space="preserve">See also </w:t>
      </w:r>
      <w:proofErr w:type="spellStart"/>
      <w:r w:rsidRPr="006A4CD7">
        <w:rPr>
          <w:rFonts w:cs="Times New Roman"/>
          <w:i/>
          <w:iCs/>
          <w:szCs w:val="24"/>
        </w:rPr>
        <w:t>Quabaug</w:t>
      </w:r>
      <w:proofErr w:type="spellEnd"/>
      <w:r w:rsidRPr="006A4CD7">
        <w:rPr>
          <w:rFonts w:cs="Times New Roman"/>
          <w:i/>
          <w:iCs/>
          <w:szCs w:val="24"/>
        </w:rPr>
        <w:t xml:space="preserve">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5DCB2231" w:rsidR="006A4CD7" w:rsidRPr="006A4CD7" w:rsidRDefault="006A4CD7" w:rsidP="00AB3963">
      <w:pPr>
        <w:pStyle w:val="Heading2"/>
      </w:pPr>
      <w:r w:rsidRPr="006A4CD7">
        <w:br w:type="page"/>
      </w:r>
      <w:bookmarkStart w:id="260" w:name="_Toc117512544"/>
      <w:r w:rsidRPr="006A4CD7">
        <w:t xml:space="preserve">15.17 </w:t>
      </w:r>
      <w:r w:rsidR="002D3E69" w:rsidRPr="002D3E69">
        <w:t>Trademark Ownership—Merchant or Distributor</w:t>
      </w:r>
      <w:bookmarkEnd w:id="260"/>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t>
      </w:r>
      <w:proofErr w:type="spellStart"/>
      <w:r w:rsidRPr="006A4CD7">
        <w:rPr>
          <w:rFonts w:cs="Times New Roman"/>
          <w:i/>
          <w:iCs/>
          <w:szCs w:val="24"/>
        </w:rPr>
        <w:t>Watec</w:t>
      </w:r>
      <w:proofErr w:type="spellEnd"/>
      <w:r w:rsidRPr="006A4CD7">
        <w:rPr>
          <w:rFonts w:cs="Times New Roman"/>
          <w:i/>
          <w:iCs/>
          <w:szCs w:val="24"/>
        </w:rPr>
        <w:t xml:space="preserve"> Co., Ltd. v. Liu</w:t>
      </w:r>
      <w:r w:rsidRPr="006A4CD7">
        <w:rPr>
          <w:rFonts w:cs="Times New Roman"/>
          <w:szCs w:val="24"/>
        </w:rPr>
        <w:t>, 403 F.3d 645, 652 (9th Cir. 2005) (noting that, in case between foreign manufacturer and former exclusive American distributor who had incontestably registered mark in U.S., one issue to consider as to ownership of mark was whether parties had entered into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which party invented and first affixed the mark on to the product;</w:t>
      </w:r>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trademark;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product;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2089A403" w14:textId="04BCA13D" w:rsidR="003964B4" w:rsidRDefault="006A4CD7" w:rsidP="00BF342F">
      <w:pPr>
        <w:pStyle w:val="Heading2"/>
      </w:pPr>
      <w:r w:rsidRPr="006A4CD7">
        <w:br w:type="page"/>
      </w:r>
      <w:bookmarkStart w:id="261" w:name="_Toc117512545"/>
      <w:r w:rsidRPr="006A4CD7">
        <w:t xml:space="preserve">15.18 </w:t>
      </w:r>
      <w:r w:rsidR="002D3E69" w:rsidRPr="002D3E69">
        <w:t>Infringement—Likelihood of Confusion—Factors—</w:t>
      </w:r>
      <w:proofErr w:type="spellStart"/>
      <w:r w:rsidR="002D3E69" w:rsidRPr="002D3E69">
        <w:rPr>
          <w:i/>
          <w:iCs/>
        </w:rPr>
        <w:t>Sleekcraft</w:t>
      </w:r>
      <w:proofErr w:type="spellEnd"/>
      <w:r w:rsidR="002D3E69" w:rsidRPr="002D3E69">
        <w:t xml:space="preserve"> Test</w:t>
      </w:r>
      <w:bookmarkEnd w:id="261"/>
      <w:r w:rsidR="002D3E69" w:rsidRPr="002D3E69">
        <w:t xml:space="preserve"> </w:t>
      </w:r>
    </w:p>
    <w:p w14:paraId="1B07912F" w14:textId="0CB53921" w:rsidR="006A4CD7" w:rsidRPr="006A4CD7" w:rsidRDefault="006A4CD7" w:rsidP="00BF342F">
      <w:pPr>
        <w:pStyle w:val="Heading2"/>
      </w:pPr>
      <w:bookmarkStart w:id="262" w:name="_Toc117512546"/>
      <w:r w:rsidRPr="006A4CD7">
        <w:t>(15 U.S.C. §§ 1114(1) and 1125(a))</w:t>
      </w:r>
      <w:bookmarkEnd w:id="262"/>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particular factor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similar to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BBDD3A" w14:textId="77777777" w:rsidR="00604299"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 xml:space="preserve">Defendant’s Intent.  Knowing use by defendant of the plaintiff’s trademark to identify similar goods may strongly show an intent to derive </w:t>
      </w:r>
    </w:p>
    <w:p w14:paraId="4C2A8D1F" w14:textId="33FB5A16" w:rsidR="004F39E6" w:rsidRPr="004F39E6" w:rsidRDefault="004F39E6" w:rsidP="00604299">
      <w:pPr>
        <w:autoSpaceDE w:val="0"/>
        <w:autoSpaceDN w:val="0"/>
        <w:adjustRightInd w:val="0"/>
        <w:ind w:left="1440" w:right="720"/>
        <w:rPr>
          <w:rFonts w:cs="Times New Roman"/>
          <w:szCs w:val="24"/>
        </w:rPr>
      </w:pPr>
      <w:r w:rsidRPr="004F39E6">
        <w:rPr>
          <w:rFonts w:cs="Times New Roman"/>
          <w:szCs w:val="24"/>
        </w:rPr>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647C695C"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w:t>
      </w:r>
      <w:proofErr w:type="spellStart"/>
      <w:r w:rsidRPr="004F39E6">
        <w:rPr>
          <w:rFonts w:cs="Times New Roman"/>
          <w:i/>
          <w:iCs/>
          <w:szCs w:val="24"/>
        </w:rPr>
        <w:t>Sleekcraft</w:t>
      </w:r>
      <w:proofErr w:type="spellEnd"/>
      <w:r w:rsidRPr="004F39E6">
        <w:rPr>
          <w:rFonts w:cs="Times New Roman"/>
          <w:i/>
          <w:iCs/>
          <w:szCs w:val="24"/>
        </w:rPr>
        <w:t xml:space="preserve">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proofErr w:type="spellStart"/>
      <w:r w:rsidRPr="004F39E6">
        <w:rPr>
          <w:rFonts w:cs="Times New Roman"/>
          <w:i/>
          <w:iCs/>
          <w:szCs w:val="24"/>
        </w:rPr>
        <w:t>Sleekcraft</w:t>
      </w:r>
      <w:proofErr w:type="spellEnd"/>
      <w:r w:rsidRPr="004F39E6">
        <w:rPr>
          <w:rFonts w:cs="Times New Roman"/>
          <w:szCs w:val="24"/>
        </w:rPr>
        <w:t xml:space="preserve"> test “simply to be over-inclusive”).  Before applying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factors, the court first should “</w:t>
      </w:r>
      <w:r w:rsidR="00604299" w:rsidRPr="004F39E6">
        <w:rPr>
          <w:rFonts w:cs="Times New Roman"/>
          <w:szCs w:val="24"/>
        </w:rPr>
        <w:t>define [</w:t>
      </w:r>
      <w:r w:rsidRPr="004F39E6">
        <w:rPr>
          <w:rFonts w:cs="Times New Roman"/>
          <w:szCs w:val="24"/>
        </w:rPr>
        <w:t xml:space="preserve">] the relevant consumer market.”  </w:t>
      </w:r>
      <w:proofErr w:type="spellStart"/>
      <w:r w:rsidRPr="004F39E6">
        <w:rPr>
          <w:rFonts w:cs="Times New Roman"/>
          <w:i/>
          <w:iCs/>
          <w:szCs w:val="24"/>
        </w:rPr>
        <w:t>Ironhawk</w:t>
      </w:r>
      <w:proofErr w:type="spellEnd"/>
      <w:r w:rsidRPr="004F39E6">
        <w:rPr>
          <w:rFonts w:cs="Times New Roman"/>
          <w:i/>
          <w:iCs/>
          <w:szCs w:val="24"/>
        </w:rPr>
        <w:t xml:space="preserve">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7E4C0275" w14:textId="77777777" w:rsidR="00604299" w:rsidRDefault="004F39E6" w:rsidP="004F39E6">
      <w:pPr>
        <w:autoSpaceDE w:val="0"/>
        <w:autoSpaceDN w:val="0"/>
        <w:adjustRightInd w:val="0"/>
        <w:rPr>
          <w:rFonts w:cs="Times New Roman"/>
          <w:i/>
          <w:iCs/>
          <w:szCs w:val="24"/>
        </w:rPr>
      </w:pPr>
      <w:r w:rsidRPr="004F39E6">
        <w:rPr>
          <w:rFonts w:cs="Times New Roman"/>
          <w:szCs w:val="24"/>
        </w:rPr>
        <w:tab/>
        <w:t>The Committee recommends that the judge instruct only on the factors that are relevant in the particular case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proofErr w:type="spellStart"/>
      <w:r w:rsidRPr="004F39E6">
        <w:rPr>
          <w:rFonts w:cs="Times New Roman"/>
          <w:i/>
          <w:iCs/>
          <w:szCs w:val="24"/>
        </w:rPr>
        <w:t>Sleekcraft</w:t>
      </w:r>
      <w:proofErr w:type="spellEnd"/>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proofErr w:type="spellStart"/>
      <w:r w:rsidRPr="004F39E6">
        <w:rPr>
          <w:rFonts w:cs="Times New Roman"/>
          <w:i/>
          <w:iCs/>
          <w:szCs w:val="24"/>
        </w:rPr>
        <w:t>Sleekcraft</w:t>
      </w:r>
      <w:proofErr w:type="spellEnd"/>
      <w:r w:rsidRPr="004F39E6">
        <w:rPr>
          <w:rFonts w:cs="Times New Roman"/>
          <w:szCs w:val="24"/>
        </w:rPr>
        <w:t xml:space="preserve"> test] is not necessarily relevant to every case, this list functions as a guide and is ‘neither exhaustive nor exclusive.’”) (citations omitted)</w:t>
      </w:r>
      <w:r w:rsidRPr="004F39E6">
        <w:rPr>
          <w:rFonts w:cs="Times New Roman"/>
          <w:i/>
          <w:iCs/>
          <w:szCs w:val="24"/>
        </w:rPr>
        <w:t xml:space="preserve">. See generally Thane </w:t>
      </w:r>
    </w:p>
    <w:p w14:paraId="1B0992B2" w14:textId="13E2C92A" w:rsidR="004F39E6" w:rsidRPr="004F39E6" w:rsidRDefault="004F39E6" w:rsidP="004F39E6">
      <w:pPr>
        <w:autoSpaceDE w:val="0"/>
        <w:autoSpaceDN w:val="0"/>
        <w:adjustRightInd w:val="0"/>
        <w:rPr>
          <w:rFonts w:cs="Times New Roman"/>
          <w:szCs w:val="24"/>
        </w:rPr>
      </w:pPr>
      <w:r w:rsidRPr="004F39E6">
        <w:rPr>
          <w:rFonts w:cs="Times New Roman"/>
          <w:i/>
          <w:iCs/>
          <w:szCs w:val="24"/>
        </w:rPr>
        <w:t>Intern., Inc. v. Trek Bicycle Corp.</w:t>
      </w:r>
      <w:r w:rsidRPr="004F39E6">
        <w:rPr>
          <w:rFonts w:cs="Times New Roman"/>
          <w:szCs w:val="24"/>
        </w:rPr>
        <w:t xml:space="preserve">, 305 F.3d 894, 901 (9th Cir. 2002) (“Unless properly used, this long list of [likelihood of confusion] factors </w:t>
      </w:r>
      <w:r w:rsidR="00644AB3" w:rsidRPr="004F39E6">
        <w:rPr>
          <w:rFonts w:cs="Times New Roman"/>
          <w:szCs w:val="24"/>
        </w:rPr>
        <w:t>have</w:t>
      </w:r>
      <w:r w:rsidRPr="004F39E6">
        <w:rPr>
          <w:rFonts w:cs="Times New Roman"/>
          <w:szCs w:val="24"/>
        </w:rPr>
        <w:t xml:space="preserve"> the potential to befuddle the inquiry. The list of factors is not a score-card–whether a party ‘wins’ a majority of the factors is not the point.  Nor should ‘[t]he factors ... be rigidly weighed; we do not count beans.’ </w:t>
      </w:r>
      <w:proofErr w:type="spellStart"/>
      <w:r w:rsidRPr="004F39E6">
        <w:rPr>
          <w:rFonts w:cs="Times New Roman"/>
          <w:i/>
          <w:iCs/>
          <w:szCs w:val="24"/>
        </w:rPr>
        <w:t>Dreamwerks</w:t>
      </w:r>
      <w:proofErr w:type="spellEnd"/>
      <w:r w:rsidRPr="004F39E6">
        <w:rPr>
          <w:rFonts w:cs="Times New Roman"/>
          <w:i/>
          <w:iCs/>
          <w:szCs w:val="24"/>
        </w:rPr>
        <w:t xml:space="preserve">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proofErr w:type="spellStart"/>
      <w:r w:rsidRPr="004F39E6">
        <w:rPr>
          <w:rFonts w:cs="Times New Roman"/>
          <w:i/>
          <w:iCs/>
          <w:szCs w:val="24"/>
        </w:rPr>
        <w:t>Sleekcraft</w:t>
      </w:r>
      <w:proofErr w:type="spellEnd"/>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proofErr w:type="spellStart"/>
      <w:r w:rsidRPr="004F39E6">
        <w:rPr>
          <w:rFonts w:cs="Times New Roman"/>
          <w:i/>
          <w:iCs/>
          <w:szCs w:val="24"/>
        </w:rPr>
        <w:t>Sleekcraft</w:t>
      </w:r>
      <w:proofErr w:type="spellEnd"/>
      <w:r w:rsidRPr="004F39E6">
        <w:rPr>
          <w:rFonts w:cs="Times New Roman"/>
          <w:i/>
          <w:iCs/>
          <w:szCs w:val="24"/>
        </w:rPr>
        <w:t xml:space="preserve"> </w:t>
      </w:r>
      <w:r w:rsidRPr="004F39E6">
        <w:rPr>
          <w:rFonts w:cs="Times New Roman"/>
          <w:szCs w:val="24"/>
        </w:rPr>
        <w:t>factors: (</w:t>
      </w:r>
      <w:proofErr w:type="spellStart"/>
      <w:r w:rsidRPr="004F39E6">
        <w:rPr>
          <w:rFonts w:cs="Times New Roman"/>
          <w:szCs w:val="24"/>
        </w:rPr>
        <w:t>i</w:t>
      </w:r>
      <w:proofErr w:type="spellEnd"/>
      <w:r w:rsidRPr="004F39E6">
        <w:rPr>
          <w:rFonts w:cs="Times New Roman"/>
          <w:szCs w:val="24"/>
        </w:rPr>
        <w:t xml:space="preserve">)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 xml:space="preserve">Internet Specialties West, Inc. v. </w:t>
      </w:r>
      <w:proofErr w:type="spellStart"/>
      <w:r w:rsidRPr="004F39E6">
        <w:rPr>
          <w:rFonts w:cs="Times New Roman"/>
          <w:i/>
          <w:iCs/>
          <w:szCs w:val="24"/>
        </w:rPr>
        <w:t>Milon-Digiorgio</w:t>
      </w:r>
      <w:proofErr w:type="spellEnd"/>
      <w:r w:rsidRPr="004F39E6">
        <w:rPr>
          <w:rFonts w:cs="Times New Roman"/>
          <w:i/>
          <w:iCs/>
          <w:szCs w:val="24"/>
        </w:rPr>
        <w:t xml:space="preserve">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4EC264A2"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w:t>
      </w:r>
      <w:r w:rsidR="00644AB3" w:rsidRPr="004F39E6">
        <w:rPr>
          <w:rFonts w:cs="Times New Roman"/>
          <w:szCs w:val="24"/>
        </w:rPr>
        <w:t>. . ..</w:t>
      </w:r>
      <w:r w:rsidRPr="004F39E6">
        <w:rPr>
          <w:rFonts w:cs="Times New Roman"/>
          <w:szCs w:val="24"/>
        </w:rPr>
        <w:t xml:space="preserve"> [W]e have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proofErr w:type="spellStart"/>
      <w:r w:rsidRPr="004F39E6">
        <w:rPr>
          <w:rFonts w:cs="Times New Roman"/>
          <w:i/>
          <w:iCs/>
          <w:szCs w:val="24"/>
        </w:rPr>
        <w:t>Sleekcraft</w:t>
      </w:r>
      <w:proofErr w:type="spellEnd"/>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0852D5B"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 xml:space="preserve">Louis Vuitton Malletier, S.A. v. </w:t>
      </w:r>
      <w:proofErr w:type="spellStart"/>
      <w:r w:rsidRPr="004F39E6">
        <w:rPr>
          <w:rFonts w:cs="Times New Roman"/>
          <w:i/>
          <w:iCs/>
          <w:szCs w:val="24"/>
        </w:rPr>
        <w:t>Akanoc</w:t>
      </w:r>
      <w:proofErr w:type="spellEnd"/>
      <w:r w:rsidRPr="004F39E6">
        <w:rPr>
          <w:rFonts w:cs="Times New Roman"/>
          <w:i/>
          <w:iCs/>
          <w:szCs w:val="24"/>
        </w:rPr>
        <w:t xml:space="preserve"> Solutions, Inc.</w:t>
      </w:r>
      <w:r w:rsidRPr="004F39E6">
        <w:rPr>
          <w:rFonts w:cs="Times New Roman"/>
          <w:szCs w:val="24"/>
        </w:rPr>
        <w:t xml:space="preserve">, 658 F.3d 936, 945 (9th Cir. 2011) (approving instruction).  A counterfeit mark is “a counterfeit of a mark that is registered </w:t>
      </w:r>
      <w:r w:rsidR="00644AB3" w:rsidRPr="004F39E6">
        <w:rPr>
          <w:rFonts w:cs="Times New Roman"/>
          <w:szCs w:val="24"/>
        </w:rPr>
        <w:t>. . .,</w:t>
      </w:r>
      <w:r w:rsidRPr="004F39E6">
        <w:rPr>
          <w:rFonts w:cs="Times New Roman"/>
          <w:szCs w:val="24"/>
        </w:rPr>
        <w:t xml:space="preserve"> whether or not the person against whom relief is sought knew such mark was so registered.”  </w:t>
      </w:r>
      <w:r w:rsidRPr="004F39E6">
        <w:rPr>
          <w:rFonts w:cs="Times New Roman"/>
          <w:i/>
          <w:iCs/>
          <w:szCs w:val="24"/>
        </w:rPr>
        <w:t xml:space="preserve">Id.  </w:t>
      </w:r>
      <w:r w:rsidRPr="004F39E6">
        <w:rPr>
          <w:rFonts w:cs="Times New Roman"/>
          <w:szCs w:val="24"/>
        </w:rPr>
        <w:t>(citing 15 U.S.C. § 1116(d)(1)(B)(I)).</w:t>
      </w:r>
    </w:p>
    <w:p w14:paraId="02E4548D" w14:textId="77777777" w:rsidR="004F39E6" w:rsidRPr="004F39E6" w:rsidRDefault="004F39E6" w:rsidP="004F39E6">
      <w:pPr>
        <w:autoSpaceDE w:val="0"/>
        <w:autoSpaceDN w:val="0"/>
        <w:adjustRightInd w:val="0"/>
        <w:rPr>
          <w:rFonts w:cs="Times New Roman"/>
          <w:szCs w:val="24"/>
        </w:rPr>
      </w:pPr>
    </w:p>
    <w:p w14:paraId="40DC3F6B" w14:textId="77777777" w:rsidR="00604299"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p>
    <w:p w14:paraId="0C8C515C" w14:textId="4507372B" w:rsidR="004F39E6" w:rsidRPr="004F39E6" w:rsidRDefault="004F39E6" w:rsidP="004F39E6">
      <w:pPr>
        <w:autoSpaceDE w:val="0"/>
        <w:autoSpaceDN w:val="0"/>
        <w:adjustRightInd w:val="0"/>
        <w:rPr>
          <w:rFonts w:cs="Times New Roman"/>
          <w:szCs w:val="24"/>
        </w:rPr>
      </w:pPr>
      <w:r w:rsidRPr="004F39E6">
        <w:rPr>
          <w:rFonts w:cs="Times New Roman"/>
          <w:szCs w:val="24"/>
        </w:rPr>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proofErr w:type="spellStart"/>
      <w:r w:rsidRPr="004F39E6">
        <w:rPr>
          <w:rFonts w:cs="Times New Roman"/>
          <w:i/>
          <w:iCs/>
          <w:szCs w:val="24"/>
        </w:rPr>
        <w:t>Marketquest</w:t>
      </w:r>
      <w:proofErr w:type="spellEnd"/>
      <w:r w:rsidRPr="004F39E6">
        <w:rPr>
          <w:rFonts w:cs="Times New Roman"/>
          <w:i/>
          <w:iCs/>
          <w:szCs w:val="24"/>
        </w:rPr>
        <w:t xml:space="preserve"> Group, Inc. v. BIC Corp</w:t>
      </w:r>
      <w:r w:rsidRPr="004F39E6">
        <w:rPr>
          <w:rFonts w:cs="Times New Roman"/>
          <w:szCs w:val="24"/>
        </w:rPr>
        <w:t>., 862 F.3d 927, 932, 937 (9th Cir. 2017);</w:t>
      </w:r>
      <w:r w:rsidRPr="004F39E6">
        <w:rPr>
          <w:rFonts w:cs="Times New Roman"/>
          <w:i/>
          <w:iCs/>
          <w:szCs w:val="24"/>
        </w:rPr>
        <w:t xml:space="preserve"> see also </w:t>
      </w:r>
      <w:proofErr w:type="spellStart"/>
      <w:r w:rsidRPr="004F39E6">
        <w:rPr>
          <w:rFonts w:cs="Times New Roman"/>
          <w:i/>
          <w:iCs/>
          <w:szCs w:val="24"/>
        </w:rPr>
        <w:t>Ironhawk</w:t>
      </w:r>
      <w:proofErr w:type="spellEnd"/>
      <w:r w:rsidRPr="004F39E6">
        <w:rPr>
          <w:rFonts w:cs="Times New Roman"/>
          <w:i/>
          <w:iCs/>
          <w:szCs w:val="24"/>
        </w:rPr>
        <w:t xml:space="preserve">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16A9A229" w14:textId="32ADEAF3" w:rsidR="008A1CC6" w:rsidRDefault="006A4CD7" w:rsidP="00982B7E">
      <w:pPr>
        <w:pStyle w:val="Heading2"/>
      </w:pPr>
      <w:r w:rsidRPr="006A4CD7">
        <w:br w:type="page"/>
      </w:r>
      <w:bookmarkStart w:id="263" w:name="_Toc117512547"/>
      <w:r w:rsidRPr="006A4CD7">
        <w:rPr>
          <w:highlight w:val="white"/>
        </w:rPr>
        <w:t xml:space="preserve">15.19 </w:t>
      </w:r>
      <w:r w:rsidR="002D3E69" w:rsidRPr="002D3E69">
        <w:t>Infringement—Likelihood of Confusion—Factor—Strength of Trademark</w:t>
      </w:r>
      <w:bookmarkEnd w:id="263"/>
      <w:r w:rsidR="00982B7E">
        <w:t xml:space="preserve"> </w:t>
      </w:r>
    </w:p>
    <w:p w14:paraId="248B4424" w14:textId="77777777" w:rsidR="008A1CC6" w:rsidRDefault="008A1CC6" w:rsidP="00982B7E">
      <w:pPr>
        <w:pStyle w:val="Heading2"/>
      </w:pPr>
    </w:p>
    <w:p w14:paraId="2456FE63" w14:textId="42181717" w:rsidR="000E1173" w:rsidRPr="000E1173" w:rsidRDefault="000E1173" w:rsidP="00982B7E">
      <w:pPr>
        <w:pStyle w:val="Heading2"/>
      </w:pPr>
      <w:bookmarkStart w:id="264" w:name="_Toc117512548"/>
      <w:r w:rsidRPr="000E1173">
        <w:t>Strength as a Factor for Evaluating Likelihood of Confusion</w:t>
      </w:r>
      <w:bookmarkEnd w:id="264"/>
    </w:p>
    <w:p w14:paraId="3869E95E" w14:textId="77777777" w:rsidR="000E1173" w:rsidRPr="000E1173" w:rsidRDefault="000E1173" w:rsidP="000E1173">
      <w:pPr>
        <w:autoSpaceDE w:val="0"/>
        <w:autoSpaceDN w:val="0"/>
        <w:adjustRightInd w:val="0"/>
        <w:rPr>
          <w:rFonts w:cs="Times New Roman"/>
          <w:szCs w:val="24"/>
        </w:rPr>
      </w:pPr>
    </w:p>
    <w:p w14:paraId="522A86FA" w14:textId="6197558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How </w:t>
      </w:r>
      <w:r w:rsidR="00644AB3" w:rsidRPr="000E1173">
        <w:rPr>
          <w:rFonts w:cs="Times New Roman"/>
          <w:szCs w:val="24"/>
        </w:rPr>
        <w:t>strongly the</w:t>
      </w:r>
      <w:r w:rsidRPr="000E1173">
        <w:rPr>
          <w:rFonts w:cs="Times New Roman"/>
          <w:szCs w:val="24"/>
        </w:rPr>
        <w:t xml:space="preserve"> plaintiff’s trademark indicates that the goods or </w:t>
      </w:r>
      <w:r w:rsidR="00644AB3" w:rsidRPr="000E1173">
        <w:rPr>
          <w:rFonts w:cs="Times New Roman"/>
          <w:szCs w:val="24"/>
        </w:rPr>
        <w:t>services come</w:t>
      </w:r>
      <w:r w:rsidRPr="000E1173">
        <w:rPr>
          <w:rFonts w:cs="Times New Roman"/>
          <w:szCs w:val="24"/>
        </w:rPr>
        <w:t xml:space="preserv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more distinctive and strong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23F1FF83"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425CD5CA"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44FC1BCD" w14:textId="77777777" w:rsidR="00604299" w:rsidRDefault="000E1173" w:rsidP="000E1173">
      <w:pPr>
        <w:autoSpaceDE w:val="0"/>
        <w:autoSpaceDN w:val="0"/>
        <w:adjustRightInd w:val="0"/>
        <w:rPr>
          <w:rFonts w:cs="Times New Roman"/>
          <w:szCs w:val="24"/>
        </w:rPr>
      </w:pPr>
      <w:r w:rsidRPr="000E1173">
        <w:rPr>
          <w:rFonts w:cs="Times New Roman"/>
          <w:szCs w:val="24"/>
        </w:rPr>
        <w:tab/>
        <w:t xml:space="preserve">For determining the conceptual strength of a mark, trademarks are grouped on a spectrum according to the nature of the mark.  In the spectrum, there are three categories of word marks </w:t>
      </w:r>
    </w:p>
    <w:p w14:paraId="0654EAA8" w14:textId="2AA1EFCE" w:rsidR="000E1173" w:rsidRPr="000E1173" w:rsidRDefault="000E1173" w:rsidP="000E1173">
      <w:pPr>
        <w:autoSpaceDE w:val="0"/>
        <w:autoSpaceDN w:val="0"/>
        <w:adjustRightInd w:val="0"/>
        <w:rPr>
          <w:rFonts w:cs="Times New Roman"/>
          <w:szCs w:val="24"/>
        </w:rPr>
      </w:pPr>
      <w:r w:rsidRPr="000E1173">
        <w:rPr>
          <w:rFonts w:cs="Times New Roman"/>
          <w:szCs w:val="24"/>
        </w:rPr>
        <w:t xml:space="preserve">that the law regards as being inherently distinctive: </w:t>
      </w:r>
      <w:r w:rsidR="00644AB3" w:rsidRPr="000E1173">
        <w:rPr>
          <w:rFonts w:cs="Times New Roman"/>
          <w:szCs w:val="24"/>
        </w:rPr>
        <w:t>arbitrary,</w:t>
      </w:r>
      <w:r w:rsidR="008A1CC6">
        <w:rPr>
          <w:rFonts w:cs="Times New Roman"/>
          <w:szCs w:val="24"/>
        </w:rPr>
        <w:t xml:space="preserve"> fanciful (or coined)</w:t>
      </w:r>
      <w:r w:rsidRPr="000E1173">
        <w:rPr>
          <w:rFonts w:cs="Times New Roman"/>
          <w:szCs w:val="24"/>
        </w:rPr>
        <w:t xml:space="preserve"> and suggestive.  Descriptive word marks are regarded as not being inherently distinctive and require a secondary meaning to become a valid trademark.</w:t>
      </w:r>
      <w:r w:rsidR="008A1CC6">
        <w:rPr>
          <w:rFonts w:cs="Times New Roman"/>
          <w:szCs w:val="24"/>
        </w:rPr>
        <w:t xml:space="preserve"> </w:t>
      </w:r>
      <w:r w:rsidR="008A1CC6" w:rsidRPr="00C624DE">
        <w:rPr>
          <w:rFonts w:cs="Times New Roman"/>
          <w:szCs w:val="24"/>
        </w:rPr>
        <w:t>Finally, generic names have no conceptual strength.</w:t>
      </w:r>
    </w:p>
    <w:p w14:paraId="02BAD83F" w14:textId="77777777" w:rsidR="000E1173" w:rsidRPr="000E1173" w:rsidRDefault="000E1173" w:rsidP="000E1173">
      <w:pPr>
        <w:autoSpaceDE w:val="0"/>
        <w:autoSpaceDN w:val="0"/>
        <w:adjustRightInd w:val="0"/>
        <w:rPr>
          <w:rFonts w:cs="Times New Roman"/>
          <w:szCs w:val="24"/>
        </w:rPr>
      </w:pPr>
    </w:p>
    <w:p w14:paraId="475DFC67" w14:textId="77777777" w:rsidR="008A1CC6" w:rsidRPr="00A736C5" w:rsidRDefault="000E1173" w:rsidP="008A1CC6">
      <w:pPr>
        <w:autoSpaceDE w:val="0"/>
        <w:autoSpaceDN w:val="0"/>
        <w:adjustRightInd w:val="0"/>
        <w:rPr>
          <w:rFonts w:cs="Times New Roman"/>
          <w:szCs w:val="24"/>
        </w:rPr>
      </w:pPr>
      <w:r w:rsidRPr="000E1173">
        <w:rPr>
          <w:rFonts w:cs="Times New Roman"/>
          <w:szCs w:val="24"/>
        </w:rPr>
        <w:tab/>
      </w:r>
      <w:r w:rsidR="008A1CC6" w:rsidRPr="009420D7">
        <w:rPr>
          <w:rFonts w:cs="Times New Roman"/>
          <w:b/>
          <w:bCs/>
          <w:szCs w:val="24"/>
        </w:rPr>
        <w:t xml:space="preserve">Arbitrary </w:t>
      </w:r>
      <w:r w:rsidR="008A1CC6" w:rsidRPr="009420D7">
        <w:rPr>
          <w:rFonts w:cs="Times New Roman"/>
          <w:szCs w:val="24"/>
        </w:rPr>
        <w:t xml:space="preserve">marks are words that in no way describe or suggest the nature of the goods or services </w:t>
      </w:r>
      <w:r w:rsidR="008A1CC6">
        <w:rPr>
          <w:rFonts w:cs="Times New Roman"/>
          <w:szCs w:val="24"/>
        </w:rPr>
        <w:t>they are</w:t>
      </w:r>
      <w:r w:rsidR="008A1CC6" w:rsidRPr="009420D7">
        <w:rPr>
          <w:rFonts w:cs="Times New Roman"/>
          <w:szCs w:val="24"/>
        </w:rPr>
        <w:t xml:space="preserve"> used with.  For example, “apple” is a common word, but it does not describe or suggest anything about the nature of “Apple” brand computers or smart phones.  It is an arbitrary word when used as a mark on those products</w:t>
      </w:r>
      <w:r w:rsidR="008A1CC6">
        <w:rPr>
          <w:rFonts w:cs="Times New Roman"/>
          <w:szCs w:val="24"/>
        </w:rPr>
        <w:t>.</w:t>
      </w:r>
      <w:r w:rsidR="008A1CC6" w:rsidRPr="00A736C5">
        <w:rPr>
          <w:rFonts w:cs="Times New Roman"/>
          <w:color w:val="D13337"/>
          <w:szCs w:val="24"/>
        </w:rPr>
        <w:t xml:space="preserve"> </w:t>
      </w:r>
      <w:r w:rsidR="008A1CC6">
        <w:rPr>
          <w:rFonts w:cs="Times New Roman"/>
          <w:color w:val="D13337"/>
          <w:szCs w:val="24"/>
        </w:rPr>
        <w:t xml:space="preserve"> </w:t>
      </w:r>
      <w:r w:rsidR="008A1CC6" w:rsidRPr="00A736C5">
        <w:rPr>
          <w:rFonts w:cs="Times New Roman"/>
          <w:szCs w:val="24"/>
        </w:rPr>
        <w:t>Arbitrary trademarks are regarded as conceptually strong marks.</w:t>
      </w:r>
    </w:p>
    <w:p w14:paraId="7BA8D926" w14:textId="77777777" w:rsidR="008A1CC6" w:rsidRPr="009420D7" w:rsidRDefault="008A1CC6" w:rsidP="008A1CC6">
      <w:pPr>
        <w:autoSpaceDE w:val="0"/>
        <w:autoSpaceDN w:val="0"/>
        <w:adjustRightInd w:val="0"/>
        <w:rPr>
          <w:rFonts w:cs="Times New Roman"/>
          <w:szCs w:val="24"/>
        </w:rPr>
      </w:pPr>
    </w:p>
    <w:p w14:paraId="6A18635C" w14:textId="179F8FED" w:rsidR="000E1173" w:rsidRPr="000E1173" w:rsidRDefault="008A1CC6" w:rsidP="008A1CC6">
      <w:pPr>
        <w:autoSpaceDE w:val="0"/>
        <w:autoSpaceDN w:val="0"/>
        <w:adjustRightInd w:val="0"/>
        <w:rPr>
          <w:rFonts w:cs="Times New Roman"/>
          <w:szCs w:val="24"/>
        </w:rPr>
      </w:pPr>
      <w:r w:rsidRPr="009420D7">
        <w:rPr>
          <w:rFonts w:cs="Times New Roman"/>
          <w:szCs w:val="24"/>
        </w:rPr>
        <w:tab/>
      </w:r>
      <w:r>
        <w:rPr>
          <w:rFonts w:cs="Times New Roman"/>
          <w:b/>
          <w:bCs/>
          <w:szCs w:val="24"/>
        </w:rPr>
        <w:t>Fanciful (or Coined)</w:t>
      </w:r>
      <w:r w:rsidRPr="009420D7">
        <w:rPr>
          <w:rFonts w:cs="Times New Roman"/>
          <w:szCs w:val="24"/>
        </w:rPr>
        <w:t xml:space="preserve"> </w:t>
      </w:r>
      <w:r>
        <w:rPr>
          <w:rFonts w:cs="Times New Roman"/>
          <w:szCs w:val="24"/>
        </w:rPr>
        <w:t xml:space="preserve">marks are words that are </w:t>
      </w:r>
      <w:r w:rsidRPr="009420D7">
        <w:rPr>
          <w:rFonts w:cs="Times New Roman"/>
          <w:szCs w:val="24"/>
        </w:rPr>
        <w:t>created solely to serve as trademark</w:t>
      </w:r>
      <w:r>
        <w:rPr>
          <w:rFonts w:cs="Times New Roman"/>
          <w:szCs w:val="24"/>
        </w:rPr>
        <w:t>s</w:t>
      </w:r>
      <w:r w:rsidRPr="009420D7">
        <w:rPr>
          <w:rFonts w:cs="Times New Roman"/>
          <w:szCs w:val="24"/>
        </w:rPr>
        <w:t>.  For example, “Clorox” and “Exxon” are coined marks</w:t>
      </w:r>
      <w:r>
        <w:rPr>
          <w:rFonts w:cs="Times New Roman"/>
          <w:szCs w:val="24"/>
        </w:rPr>
        <w:t xml:space="preserve"> </w:t>
      </w:r>
      <w:r w:rsidRPr="00AD7461">
        <w:rPr>
          <w:rFonts w:cs="Times New Roman"/>
          <w:szCs w:val="24"/>
        </w:rPr>
        <w:t xml:space="preserve">for cleaning products and gasoline, respectively. </w:t>
      </w:r>
      <w:r>
        <w:rPr>
          <w:rFonts w:cs="Times New Roman"/>
          <w:szCs w:val="24"/>
        </w:rPr>
        <w:t xml:space="preserve"> </w:t>
      </w:r>
      <w:r w:rsidRPr="00AD7461">
        <w:rPr>
          <w:rFonts w:cs="Times New Roman"/>
          <w:szCs w:val="24"/>
        </w:rPr>
        <w:t>Fanciful trademarks are regarded as</w:t>
      </w:r>
      <w:r>
        <w:rPr>
          <w:rFonts w:cs="Times New Roman"/>
          <w:szCs w:val="24"/>
        </w:rPr>
        <w:t xml:space="preserve"> </w:t>
      </w:r>
      <w:r w:rsidRPr="00AD7461">
        <w:rPr>
          <w:rFonts w:cs="Times New Roman"/>
          <w:szCs w:val="24"/>
        </w:rPr>
        <w:t>conceptually strong marks and are equal to arbitrary marks in conceptual strength.</w:t>
      </w:r>
      <w:r w:rsidR="000E1173" w:rsidRPr="000E1173">
        <w:rPr>
          <w:rFonts w:cs="Times New Roman"/>
          <w:szCs w:val="24"/>
        </w:rPr>
        <w:t xml:space="preserve"> </w:t>
      </w:r>
    </w:p>
    <w:p w14:paraId="44A8BFBA" w14:textId="77777777" w:rsidR="000E1173" w:rsidRPr="000E1173" w:rsidRDefault="000E1173" w:rsidP="000E1173">
      <w:pPr>
        <w:autoSpaceDE w:val="0"/>
        <w:autoSpaceDN w:val="0"/>
        <w:adjustRightInd w:val="0"/>
        <w:rPr>
          <w:rFonts w:cs="Times New Roman"/>
          <w:szCs w:val="24"/>
        </w:rPr>
      </w:pPr>
    </w:p>
    <w:p w14:paraId="18D00D5A" w14:textId="3690D54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not being as conceptually strong as arbitrary </w:t>
      </w:r>
      <w:r w:rsidR="008A1CC6">
        <w:rPr>
          <w:rFonts w:cs="Times New Roman"/>
          <w:szCs w:val="24"/>
        </w:rPr>
        <w:t xml:space="preserve">or fanciful </w:t>
      </w:r>
      <w:r w:rsidRPr="000E1173">
        <w:rPr>
          <w:rFonts w:cs="Times New Roman"/>
          <w:szCs w:val="24"/>
        </w:rPr>
        <w:t xml:space="preserve">marks.  Suggestive trademarks suggest some characteristic or quality of the goods or services with which they are used.  If the consumer must use her imagination or think through a series of </w:t>
      </w:r>
      <w:r w:rsidR="00644AB3" w:rsidRPr="000E1173">
        <w:rPr>
          <w:rFonts w:cs="Times New Roman"/>
          <w:szCs w:val="24"/>
        </w:rPr>
        <w:t>steps to</w:t>
      </w:r>
      <w:r w:rsidRPr="000E1173">
        <w:rPr>
          <w:rFonts w:cs="Times New Roman"/>
          <w:szCs w:val="24"/>
        </w:rPr>
        <w:t xml:space="preserve"> understand what the trademark is telling about the product, then the trademark does not directly describe the product’s features, but merely suggests them.  For example, the trademark “Tail </w:t>
      </w:r>
      <w:proofErr w:type="spellStart"/>
      <w:r w:rsidRPr="000E1173">
        <w:rPr>
          <w:rFonts w:cs="Times New Roman"/>
          <w:szCs w:val="24"/>
        </w:rPr>
        <w:t>Wagger</w:t>
      </w:r>
      <w:proofErr w:type="spellEnd"/>
      <w:r w:rsidRPr="000E1173">
        <w:rPr>
          <w:rFonts w:cs="Times New Roman"/>
          <w:szCs w:val="24"/>
        </w:rPr>
        <w:t xml:space="preserve">”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5C5FDE4" w14:textId="77777777" w:rsidR="00026A7C"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w:t>
      </w:r>
      <w:proofErr w:type="spellStart"/>
      <w:r w:rsidRPr="000E1173">
        <w:rPr>
          <w:rFonts w:cs="Times New Roman"/>
          <w:szCs w:val="24"/>
        </w:rPr>
        <w:t>CranApple</w:t>
      </w:r>
      <w:proofErr w:type="spellEnd"/>
      <w:r w:rsidRPr="000E1173">
        <w:rPr>
          <w:rFonts w:cs="Times New Roman"/>
          <w:szCs w:val="24"/>
        </w:rPr>
        <w:t xml:space="preserve">” to designate a cranberry-apple juice.  It directly describes one of </w:t>
      </w:r>
      <w:r w:rsidR="008A1CC6">
        <w:rPr>
          <w:rFonts w:cs="Times New Roman"/>
          <w:szCs w:val="24"/>
        </w:rPr>
        <w:t xml:space="preserve">the </w:t>
      </w:r>
      <w:r w:rsidRPr="000E1173">
        <w:rPr>
          <w:rFonts w:cs="Times New Roman"/>
          <w:szCs w:val="24"/>
        </w:rPr>
        <w:t>ingredients of the juice.</w:t>
      </w:r>
    </w:p>
    <w:p w14:paraId="08F37A21" w14:textId="77777777" w:rsidR="00026A7C" w:rsidRDefault="00026A7C" w:rsidP="000E1173">
      <w:pPr>
        <w:autoSpaceDE w:val="0"/>
        <w:autoSpaceDN w:val="0"/>
        <w:adjustRightInd w:val="0"/>
        <w:rPr>
          <w:rFonts w:cs="Times New Roman"/>
          <w:szCs w:val="24"/>
        </w:rPr>
      </w:pPr>
    </w:p>
    <w:p w14:paraId="7FA10326" w14:textId="77777777" w:rsidR="00026A7C" w:rsidRPr="00824AE5" w:rsidRDefault="00026A7C" w:rsidP="00026A7C">
      <w:pPr>
        <w:autoSpaceDE w:val="0"/>
        <w:autoSpaceDN w:val="0"/>
        <w:adjustRightInd w:val="0"/>
        <w:ind w:firstLine="720"/>
        <w:rPr>
          <w:rFonts w:cs="Times New Roman"/>
          <w:szCs w:val="24"/>
        </w:rPr>
      </w:pPr>
      <w:r w:rsidRPr="00824AE5">
        <w:rPr>
          <w:rFonts w:cs="Times New Roman"/>
          <w:b/>
          <w:bCs/>
          <w:szCs w:val="24"/>
        </w:rPr>
        <w:t>Generic Names</w:t>
      </w:r>
      <w:r w:rsidRPr="00824AE5">
        <w:rPr>
          <w:rFonts w:cs="Times New Roman"/>
          <w:szCs w:val="24"/>
        </w:rPr>
        <w:t>.  If the primary significance of an alleged mark is to name the type of product or service on offer, rather than to name the manufacturer or provider, the primary significance of the term is generic, and it cannot be a valid trademark.  Such terms are known as generic names.</w:t>
      </w:r>
    </w:p>
    <w:p w14:paraId="5F02CDBA" w14:textId="77777777" w:rsidR="00026A7C" w:rsidRPr="00824AE5" w:rsidRDefault="00026A7C" w:rsidP="00026A7C">
      <w:pPr>
        <w:autoSpaceDE w:val="0"/>
        <w:autoSpaceDN w:val="0"/>
        <w:adjustRightInd w:val="0"/>
        <w:rPr>
          <w:rFonts w:cs="Times New Roman"/>
          <w:szCs w:val="24"/>
        </w:rPr>
      </w:pPr>
    </w:p>
    <w:p w14:paraId="099B3B68" w14:textId="77777777" w:rsidR="00026A7C" w:rsidRDefault="00026A7C" w:rsidP="00026A7C">
      <w:pPr>
        <w:autoSpaceDE w:val="0"/>
        <w:autoSpaceDN w:val="0"/>
        <w:adjustRightInd w:val="0"/>
        <w:rPr>
          <w:rFonts w:cs="Times New Roman"/>
          <w:szCs w:val="24"/>
          <w:u w:val="single"/>
        </w:rPr>
      </w:pPr>
      <w:r w:rsidRPr="00824AE5">
        <w:rPr>
          <w:rFonts w:cs="Times New Roman"/>
          <w:szCs w:val="24"/>
        </w:rPr>
        <w:t>The word “apple” can be used as a generic name.  This occurs when the word is used to identify the fruit of an apple tree.  The computer maker who uses the word “apple” as a trademark to identify its personal computer, or the vitamin maker who uses that word as a trademark on vitamins, has no claim for trademark infringement against a grocer who uses that same word to indicate fruit sold in its stores.  As used by the grocer, the word is generic and does not indicate any particular source of the product.  As applied to the fruit, “apple” is simply a commonly used name for what is being sold.  Generic names have no conceptual strength.</w:t>
      </w:r>
    </w:p>
    <w:p w14:paraId="5E155BA0" w14:textId="77777777" w:rsidR="00026A7C" w:rsidRDefault="00026A7C" w:rsidP="000E1173">
      <w:pPr>
        <w:autoSpaceDE w:val="0"/>
        <w:autoSpaceDN w:val="0"/>
        <w:adjustRightInd w:val="0"/>
        <w:rPr>
          <w:rFonts w:cs="Times New Roman"/>
          <w:szCs w:val="24"/>
        </w:rPr>
      </w:pPr>
    </w:p>
    <w:p w14:paraId="20423C4B" w14:textId="22136BA5"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15E4043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5F343A59" w14:textId="77777777" w:rsidR="00604299" w:rsidRDefault="000E1173" w:rsidP="000E1173">
      <w:pPr>
        <w:autoSpaceDE w:val="0"/>
        <w:autoSpaceDN w:val="0"/>
        <w:adjustRightInd w:val="0"/>
        <w:rPr>
          <w:rFonts w:cs="Times New Roman"/>
          <w:i/>
          <w:iCs/>
          <w:szCs w:val="24"/>
        </w:rPr>
      </w:pPr>
      <w:r w:rsidRPr="000E1173">
        <w:rPr>
          <w:rFonts w:cs="Times New Roman"/>
          <w:szCs w:val="24"/>
        </w:rPr>
        <w:tab/>
        <w:t xml:space="preserve">This instruction uses a </w:t>
      </w:r>
      <w:r w:rsidR="002D3E69" w:rsidRPr="000E1173">
        <w:rPr>
          <w:rFonts w:cs="Times New Roman"/>
          <w:szCs w:val="24"/>
        </w:rPr>
        <w:t>two-prong</w:t>
      </w:r>
      <w:r w:rsidRPr="000E1173">
        <w:rPr>
          <w:rFonts w:cs="Times New Roman"/>
          <w:szCs w:val="24"/>
        </w:rPr>
        <w:t xml:space="preserve">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 xml:space="preserve">One Industries, LLC v. Jim O’Neal </w:t>
      </w:r>
      <w:proofErr w:type="spellStart"/>
      <w:r w:rsidRPr="000E1173">
        <w:rPr>
          <w:rFonts w:cs="Times New Roman"/>
          <w:i/>
          <w:iCs/>
          <w:szCs w:val="24"/>
        </w:rPr>
        <w:t>Distrib</w:t>
      </w:r>
      <w:proofErr w:type="spellEnd"/>
      <w:r w:rsidRPr="000E1173">
        <w:rPr>
          <w:rFonts w:cs="Times New Roman"/>
          <w:i/>
          <w:iCs/>
          <w:szCs w:val="24"/>
        </w:rPr>
        <w:t>.,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 xml:space="preserve">Lahoti v. </w:t>
      </w:r>
      <w:proofErr w:type="spellStart"/>
      <w:r w:rsidRPr="000E1173">
        <w:rPr>
          <w:rFonts w:cs="Times New Roman"/>
          <w:i/>
          <w:iCs/>
          <w:szCs w:val="24"/>
        </w:rPr>
        <w:t>Vericheck</w:t>
      </w:r>
      <w:proofErr w:type="spellEnd"/>
      <w:r w:rsidRPr="000E1173">
        <w:rPr>
          <w:rFonts w:cs="Times New Roman"/>
          <w:i/>
          <w:iCs/>
          <w:szCs w:val="24"/>
        </w:rPr>
        <w:t>,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 xml:space="preserve">Pom Wonderful LLC v. </w:t>
      </w:r>
    </w:p>
    <w:p w14:paraId="1457F89A" w14:textId="20063605" w:rsidR="000E1173" w:rsidRDefault="000E1173" w:rsidP="000E1173">
      <w:pPr>
        <w:autoSpaceDE w:val="0"/>
        <w:autoSpaceDN w:val="0"/>
        <w:adjustRightInd w:val="0"/>
        <w:rPr>
          <w:rFonts w:cs="Times New Roman"/>
          <w:szCs w:val="24"/>
        </w:rPr>
      </w:pPr>
      <w:r w:rsidRPr="000E1173">
        <w:rPr>
          <w:rFonts w:cs="Times New Roman"/>
          <w:i/>
          <w:iCs/>
          <w:szCs w:val="24"/>
        </w:rPr>
        <w:t>Hubbard</w:t>
      </w:r>
      <w:r w:rsidRPr="000E1173">
        <w:rPr>
          <w:rFonts w:cs="Times New Roman"/>
          <w:szCs w:val="24"/>
        </w:rPr>
        <w:t xml:space="preserve">, 775 F.3d 1118, 1126-27 (9th Cir. 2014) (“To determine the strength of Pom </w:t>
      </w:r>
      <w:proofErr w:type="spellStart"/>
      <w:r w:rsidRPr="000E1173">
        <w:rPr>
          <w:rFonts w:cs="Times New Roman"/>
          <w:szCs w:val="24"/>
        </w:rPr>
        <w:t>Wonderful’s</w:t>
      </w:r>
      <w:proofErr w:type="spellEnd"/>
      <w:r w:rsidRPr="000E1173">
        <w:rPr>
          <w:rFonts w:cs="Times New Roman"/>
          <w:szCs w:val="24"/>
        </w:rPr>
        <w:t xml:space="preserve"> ‘POM’ mark, we begin by placing it on the conceptual distinctiveness spectrum…. [W]e next consider whether the ‘POM’ mark has achieved sufficient marketplace recognition to transform it into a strong mark.”)</w:t>
      </w:r>
    </w:p>
    <w:p w14:paraId="295317D0" w14:textId="77777777" w:rsidR="00FF0DE1" w:rsidRPr="000E1173" w:rsidRDefault="00FF0DE1" w:rsidP="000E1173">
      <w:pPr>
        <w:autoSpaceDE w:val="0"/>
        <w:autoSpaceDN w:val="0"/>
        <w:adjustRightInd w:val="0"/>
        <w:rPr>
          <w:rFonts w:cs="Times New Roman"/>
          <w:szCs w:val="24"/>
        </w:rPr>
      </w:pPr>
    </w:p>
    <w:p w14:paraId="779AB8E4" w14:textId="77777777" w:rsidR="00FF0DE1" w:rsidRPr="00824AE5" w:rsidRDefault="000E1173" w:rsidP="00FF0DE1">
      <w:pPr>
        <w:autoSpaceDE w:val="0"/>
        <w:autoSpaceDN w:val="0"/>
        <w:adjustRightInd w:val="0"/>
        <w:rPr>
          <w:rFonts w:cs="Times New Roman"/>
          <w:i/>
          <w:iCs/>
          <w:szCs w:val="24"/>
        </w:rPr>
      </w:pPr>
      <w:r w:rsidRPr="000E1173">
        <w:rPr>
          <w:rFonts w:cs="Times New Roman"/>
          <w:szCs w:val="24"/>
        </w:rPr>
        <w:t xml:space="preserve"> </w:t>
      </w:r>
      <w:r w:rsidRPr="000E1173">
        <w:rPr>
          <w:rFonts w:cs="Times New Roman"/>
          <w:szCs w:val="24"/>
        </w:rPr>
        <w:tab/>
        <w:t>This instruction supplements Instruction 15.18 (Infringement—Elements—Likelihood of Confusion—Factors—</w:t>
      </w:r>
      <w:proofErr w:type="spellStart"/>
      <w:r w:rsidRPr="00644AB3">
        <w:rPr>
          <w:rFonts w:cs="Times New Roman"/>
          <w:i/>
          <w:iCs/>
          <w:szCs w:val="24"/>
        </w:rPr>
        <w:t>Sleekcraft</w:t>
      </w:r>
      <w:proofErr w:type="spellEnd"/>
      <w:r w:rsidRPr="000E1173">
        <w:rPr>
          <w:rFonts w:cs="Times New Roman"/>
          <w:szCs w:val="24"/>
        </w:rPr>
        <w:t xml:space="preserve"> Test) by explaining how one </w:t>
      </w:r>
      <w:proofErr w:type="spellStart"/>
      <w:r w:rsidRPr="000E1173">
        <w:rPr>
          <w:rFonts w:cs="Times New Roman"/>
          <w:i/>
          <w:iCs/>
          <w:szCs w:val="24"/>
        </w:rPr>
        <w:t>Sleekcraft</w:t>
      </w:r>
      <w:proofErr w:type="spellEnd"/>
      <w:r w:rsidRPr="000E1173">
        <w:rPr>
          <w:rFonts w:cs="Times New Roman"/>
          <w:i/>
          <w:iCs/>
          <w:szCs w:val="24"/>
        </w:rPr>
        <w:t xml:space="preserve">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505 U.S.</w:t>
      </w:r>
      <w:r w:rsidR="00FF0DE1">
        <w:rPr>
          <w:rFonts w:cs="Times New Roman"/>
          <w:szCs w:val="24"/>
        </w:rPr>
        <w:t xml:space="preserve"> 763,</w:t>
      </w:r>
      <w:r w:rsidRPr="000E1173">
        <w:rPr>
          <w:rFonts w:cs="Times New Roman"/>
          <w:szCs w:val="24"/>
        </w:rPr>
        <w:t xml:space="preserve"> 768</w:t>
      </w:r>
      <w:r w:rsidR="00FF0DE1">
        <w:rPr>
          <w:rFonts w:cs="Times New Roman"/>
          <w:szCs w:val="24"/>
        </w:rPr>
        <w:t xml:space="preserve"> (1992)</w:t>
      </w:r>
      <w:r w:rsidRPr="000E1173">
        <w:rPr>
          <w:rFonts w:cs="Times New Roman"/>
          <w:szCs w:val="24"/>
        </w:rPr>
        <w:t xml:space="preserve"> (“Marks are often classified in categories of generally increasing distinctiveness; following the classical formulation  . . . [T]hey may be (1) generic; (2) descriptive; (3) suggestive; (4) arbitrary; or (5) fanciful.”); </w:t>
      </w:r>
      <w:r w:rsidR="00FF0DE1" w:rsidRPr="00824AE5">
        <w:rPr>
          <w:rFonts w:cs="Times New Roman"/>
          <w:i/>
          <w:iCs/>
          <w:szCs w:val="24"/>
        </w:rPr>
        <w:t>Surfvivor</w:t>
      </w:r>
    </w:p>
    <w:p w14:paraId="3ACCF887" w14:textId="05B40475" w:rsidR="000E1173" w:rsidRPr="000E1173" w:rsidRDefault="00FF0DE1" w:rsidP="00FF0DE1">
      <w:pPr>
        <w:autoSpaceDE w:val="0"/>
        <w:autoSpaceDN w:val="0"/>
        <w:adjustRightInd w:val="0"/>
        <w:rPr>
          <w:rFonts w:cs="Times New Roman"/>
          <w:szCs w:val="24"/>
        </w:rPr>
      </w:pPr>
      <w:r w:rsidRPr="00824AE5">
        <w:rPr>
          <w:rFonts w:cs="Times New Roman"/>
          <w:i/>
          <w:iCs/>
          <w:szCs w:val="24"/>
        </w:rPr>
        <w:t xml:space="preserve">Media, Inc. v. Survivor </w:t>
      </w:r>
      <w:r w:rsidRPr="00824AE5">
        <w:rPr>
          <w:rFonts w:cs="Times New Roman"/>
          <w:szCs w:val="24"/>
        </w:rPr>
        <w:t>Productions, 406 F.3d 625, 631-32 (9th Cir. 2005) (noting that trademarks are divided into five categories: arbitrary, fanciful, suggestive, descriptive, and generic)</w:t>
      </w:r>
      <w:r>
        <w:rPr>
          <w:rFonts w:cs="Times New Roman"/>
          <w:szCs w:val="24"/>
        </w:rPr>
        <w:t xml:space="preserve">; </w:t>
      </w:r>
      <w:r w:rsidR="000E1173" w:rsidRPr="000E1173">
        <w:rPr>
          <w:rFonts w:cs="Times New Roman"/>
          <w:i/>
          <w:iCs/>
          <w:szCs w:val="24"/>
        </w:rPr>
        <w:t>E. &amp; J. Gallo Winery v. Gallo Cattle Co.</w:t>
      </w:r>
      <w:r w:rsidR="000E1173"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000E1173" w:rsidRPr="000E1173">
        <w:rPr>
          <w:rFonts w:cs="Times New Roman"/>
          <w:i/>
          <w:iCs/>
          <w:szCs w:val="24"/>
        </w:rPr>
        <w:t>See also U.S. Patent and Trademark Office v. Booking.com B.V.</w:t>
      </w:r>
      <w:r w:rsidR="000E1173"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4A80456D" w14:textId="01E382C7" w:rsidR="000E1173" w:rsidRPr="000E1173" w:rsidRDefault="000E1173" w:rsidP="002D3E69">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w:t>
      </w:r>
      <w:proofErr w:type="spellStart"/>
      <w:r w:rsidRPr="000E1173">
        <w:rPr>
          <w:rFonts w:cs="Times New Roman"/>
          <w:i/>
          <w:iCs/>
          <w:color w:val="000000"/>
        </w:rPr>
        <w:t>Ironhawk</w:t>
      </w:r>
      <w:proofErr w:type="spellEnd"/>
      <w:r w:rsidRPr="000E1173">
        <w:rPr>
          <w:rFonts w:cs="Times New Roman"/>
          <w:i/>
          <w:iCs/>
          <w:color w:val="000000"/>
        </w:rPr>
        <w:t xml:space="preserve">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10A42D40" w14:textId="1DD7402F" w:rsidR="000E1173" w:rsidRDefault="000E1173" w:rsidP="000E1173">
      <w:pPr>
        <w:autoSpaceDE w:val="0"/>
        <w:autoSpaceDN w:val="0"/>
        <w:adjustRightInd w:val="0"/>
        <w:jc w:val="right"/>
        <w:rPr>
          <w:rFonts w:cs="Times New Roman"/>
          <w:i/>
          <w:iCs/>
          <w:szCs w:val="24"/>
        </w:rPr>
      </w:pPr>
      <w:r w:rsidRPr="000E1173">
        <w:rPr>
          <w:rFonts w:cs="Times New Roman"/>
          <w:i/>
          <w:iCs/>
          <w:szCs w:val="24"/>
        </w:rPr>
        <w:t xml:space="preserve">Revised </w:t>
      </w:r>
      <w:r w:rsidR="0099407D">
        <w:rPr>
          <w:rFonts w:cs="Times New Roman"/>
          <w:i/>
          <w:iCs/>
          <w:szCs w:val="24"/>
        </w:rPr>
        <w:t>Sept.</w:t>
      </w:r>
      <w:r w:rsidRPr="000E1173">
        <w:rPr>
          <w:rFonts w:cs="Times New Roman"/>
          <w:i/>
          <w:iCs/>
          <w:szCs w:val="24"/>
        </w:rPr>
        <w:t xml:space="preserve"> 202</w:t>
      </w:r>
      <w:r w:rsidR="0099407D">
        <w:rPr>
          <w:rFonts w:cs="Times New Roman"/>
          <w:i/>
          <w:iCs/>
          <w:szCs w:val="24"/>
        </w:rPr>
        <w:t>2</w:t>
      </w:r>
    </w:p>
    <w:p w14:paraId="65C61780" w14:textId="77777777" w:rsidR="0099407D" w:rsidRPr="000E1173" w:rsidRDefault="0099407D" w:rsidP="000E1173">
      <w:pPr>
        <w:autoSpaceDE w:val="0"/>
        <w:autoSpaceDN w:val="0"/>
        <w:adjustRightInd w:val="0"/>
        <w:jc w:val="right"/>
        <w:rPr>
          <w:rFonts w:cs="Times New Roman"/>
          <w:szCs w:val="24"/>
        </w:rPr>
      </w:pPr>
    </w:p>
    <w:p w14:paraId="16C99A11" w14:textId="77777777" w:rsidR="006A4CD7" w:rsidRPr="006A4CD7" w:rsidRDefault="006A4CD7" w:rsidP="0060759C">
      <w:pPr>
        <w:autoSpaceDE w:val="0"/>
        <w:autoSpaceDN w:val="0"/>
        <w:adjustRightInd w:val="0"/>
        <w:rPr>
          <w:rFonts w:cs="Times New Roman"/>
          <w:szCs w:val="24"/>
        </w:rPr>
      </w:pPr>
    </w:p>
    <w:p w14:paraId="4F283D31" w14:textId="3961F73F" w:rsidR="006A4CD7" w:rsidRPr="006A4CD7" w:rsidRDefault="006A4CD7" w:rsidP="00982B7E">
      <w:pPr>
        <w:pStyle w:val="Heading2"/>
      </w:pPr>
      <w:r w:rsidRPr="006A4CD7">
        <w:br w:type="page"/>
      </w:r>
      <w:bookmarkStart w:id="265" w:name="_Toc117512549"/>
      <w:r w:rsidRPr="006A4CD7">
        <w:t>15.19A E</w:t>
      </w:r>
      <w:r w:rsidR="002D3E69">
        <w:t>xpressive</w:t>
      </w:r>
      <w:r w:rsidRPr="006A4CD7">
        <w:t xml:space="preserve"> W</w:t>
      </w:r>
      <w:r w:rsidR="002D3E69">
        <w:t>orks</w:t>
      </w:r>
      <w:bookmarkEnd w:id="265"/>
    </w:p>
    <w:p w14:paraId="55C0516C" w14:textId="77777777" w:rsidR="006A4CD7" w:rsidRPr="006A4CD7" w:rsidRDefault="006A4CD7" w:rsidP="0060759C">
      <w:pPr>
        <w:autoSpaceDE w:val="0"/>
        <w:autoSpaceDN w:val="0"/>
        <w:adjustRightInd w:val="0"/>
        <w:rPr>
          <w:rFonts w:cs="Times New Roman"/>
          <w:szCs w:val="24"/>
        </w:rPr>
      </w:pPr>
    </w:p>
    <w:p w14:paraId="4C8CB6CE" w14:textId="77777777" w:rsidR="0056102D" w:rsidRPr="004430AD" w:rsidRDefault="006A4CD7" w:rsidP="0056102D">
      <w:pPr>
        <w:spacing w:before="59" w:line="247" w:lineRule="auto"/>
        <w:ind w:left="100" w:right="288" w:firstLine="720"/>
        <w:rPr>
          <w:rFonts w:cs="Times New Roman"/>
        </w:rPr>
      </w:pPr>
      <w:r w:rsidRPr="006A4CD7">
        <w:rPr>
          <w:rFonts w:cs="Times New Roman"/>
          <w:szCs w:val="24"/>
        </w:rPr>
        <w:tab/>
      </w:r>
      <w:r w:rsidR="0056102D" w:rsidRPr="004430AD">
        <w:rPr>
          <w:rFonts w:cs="Times New Roman"/>
        </w:rPr>
        <w:t>The defendant’s work, [</w:t>
      </w:r>
      <w:r w:rsidR="0056102D" w:rsidRPr="004430AD">
        <w:rPr>
          <w:rFonts w:cs="Times New Roman"/>
          <w:i/>
          <w:u w:val="single"/>
        </w:rPr>
        <w:t>insert name of allegedly infringing work</w:t>
      </w:r>
      <w:r w:rsidR="0056102D" w:rsidRPr="004430AD">
        <w:rPr>
          <w:rFonts w:cs="Times New Roman"/>
        </w:rPr>
        <w:t>], is an expressive work that is protected by the First Amendment.</w:t>
      </w:r>
    </w:p>
    <w:p w14:paraId="4D4DE12A" w14:textId="77777777" w:rsidR="0056102D" w:rsidRPr="004430AD" w:rsidRDefault="0056102D" w:rsidP="0056102D">
      <w:pPr>
        <w:pStyle w:val="BodyText"/>
        <w:spacing w:before="5"/>
      </w:pPr>
    </w:p>
    <w:p w14:paraId="3FC3EA6A" w14:textId="77777777" w:rsidR="0056102D" w:rsidRPr="004430AD" w:rsidRDefault="0056102D" w:rsidP="0056102D">
      <w:pPr>
        <w:pStyle w:val="BodyText"/>
        <w:spacing w:line="247" w:lineRule="auto"/>
        <w:ind w:left="100" w:right="129" w:firstLine="720"/>
      </w:pPr>
      <w:r w:rsidRPr="004430AD">
        <w:t>Therefore, you may find for the plaintiff on [his] [her] [its] trademark infringement claim only if the plaintiff proves by a preponderance of the evidence that:</w:t>
      </w:r>
    </w:p>
    <w:p w14:paraId="5A04BC66" w14:textId="77777777" w:rsidR="0056102D" w:rsidRPr="004430AD" w:rsidRDefault="0056102D" w:rsidP="0056102D">
      <w:pPr>
        <w:pStyle w:val="BodyText"/>
        <w:spacing w:before="5"/>
      </w:pPr>
    </w:p>
    <w:p w14:paraId="02BC715F"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1255F499" w14:textId="77777777" w:rsidR="0056102D" w:rsidRPr="004430AD" w:rsidRDefault="0056102D" w:rsidP="0056102D">
      <w:pPr>
        <w:pStyle w:val="BodyText"/>
        <w:spacing w:before="5"/>
      </w:pPr>
    </w:p>
    <w:p w14:paraId="06955613"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A13BBC5" w14:textId="77777777" w:rsidR="0056102D" w:rsidRPr="004430AD" w:rsidRDefault="0056102D" w:rsidP="0056102D">
      <w:pPr>
        <w:pStyle w:val="BodyText"/>
        <w:spacing w:before="5"/>
      </w:pPr>
    </w:p>
    <w:p w14:paraId="52173621" w14:textId="77777777" w:rsidR="0056102D" w:rsidRPr="004430AD" w:rsidRDefault="0056102D" w:rsidP="0056102D">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5F84675A" w14:textId="77777777" w:rsidR="0056102D" w:rsidRDefault="0056102D" w:rsidP="0056102D">
      <w:pPr>
        <w:pStyle w:val="BodyText"/>
        <w:spacing w:before="9"/>
      </w:pPr>
    </w:p>
    <w:p w14:paraId="757DDFF4" w14:textId="77777777" w:rsidR="0056102D" w:rsidRPr="009A0A4E" w:rsidRDefault="0056102D" w:rsidP="009A0A4E">
      <w:pPr>
        <w:jc w:val="center"/>
        <w:rPr>
          <w:b/>
          <w:bCs/>
        </w:rPr>
      </w:pPr>
      <w:bookmarkStart w:id="266" w:name="_Toc103098271"/>
      <w:r w:rsidRPr="009A0A4E">
        <w:rPr>
          <w:b/>
          <w:bCs/>
        </w:rPr>
        <w:t>Comment</w:t>
      </w:r>
      <w:bookmarkEnd w:id="266"/>
    </w:p>
    <w:p w14:paraId="790581EF" w14:textId="77777777" w:rsidR="0056102D" w:rsidRDefault="0056102D" w:rsidP="0056102D">
      <w:pPr>
        <w:pStyle w:val="BodyText"/>
        <w:spacing w:before="10"/>
        <w:rPr>
          <w:b/>
        </w:rPr>
      </w:pPr>
    </w:p>
    <w:p w14:paraId="6356960C" w14:textId="77777777" w:rsidR="0056102D" w:rsidRDefault="0056102D" w:rsidP="0056102D">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0BC73DAD" w14:textId="77777777" w:rsidR="0056102D" w:rsidRDefault="0056102D" w:rsidP="0056102D">
      <w:pPr>
        <w:pStyle w:val="BodyText"/>
        <w:spacing w:before="3"/>
      </w:pPr>
    </w:p>
    <w:p w14:paraId="7595DE3A" w14:textId="77777777" w:rsidR="0056102D" w:rsidRDefault="0056102D" w:rsidP="0056102D">
      <w:pPr>
        <w:pStyle w:val="BodyText"/>
        <w:spacing w:line="247" w:lineRule="auto"/>
        <w:ind w:left="100" w:right="82" w:firstLine="720"/>
      </w:pPr>
      <w:r>
        <w:t xml:space="preserve">Where artistic expression is at issue, however, the courts are concerned that “the traditional test fails to account for the full weight of the public’s interest in free expression.” </w:t>
      </w:r>
      <w:r>
        <w:rPr>
          <w:i/>
        </w:rPr>
        <w:t>Id</w:t>
      </w:r>
      <w:r>
        <w:t xml:space="preserve">. The Ninth Circuit therefore uses the Second Circuit’s </w:t>
      </w:r>
      <w:r>
        <w:rPr>
          <w:i/>
        </w:rPr>
        <w:t xml:space="preserve">Rogers </w:t>
      </w:r>
      <w:r>
        <w:t xml:space="preserve">test. </w:t>
      </w:r>
      <w:r>
        <w:rPr>
          <w:i/>
        </w:rPr>
        <w:t>See Rogers v. Grimaldi</w:t>
      </w:r>
      <w:r>
        <w:t xml:space="preserve">, 875 F.2d 994 (2d Cir. 1989). Under that test, 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t xml:space="preserve">Gordon </w:t>
      </w:r>
      <w:r>
        <w:t>explained the application of that test as follows:</w:t>
      </w:r>
    </w:p>
    <w:p w14:paraId="117B42BF" w14:textId="77777777" w:rsidR="0056102D" w:rsidRDefault="0056102D" w:rsidP="0056102D">
      <w:pPr>
        <w:pStyle w:val="BodyText"/>
      </w:pPr>
    </w:p>
    <w:p w14:paraId="40BC4D9D" w14:textId="35BC1CC8" w:rsidR="0056102D" w:rsidRDefault="0056102D" w:rsidP="0056102D">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prongs . . . .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Amendment interests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12FA4AAB" w14:textId="77777777" w:rsidR="0056102D" w:rsidRDefault="0056102D" w:rsidP="0056102D">
      <w:pPr>
        <w:pStyle w:val="BodyText"/>
        <w:spacing w:before="133"/>
        <w:ind w:left="100"/>
      </w:pPr>
      <w:r>
        <w:rPr>
          <w:i/>
        </w:rPr>
        <w:t>Id</w:t>
      </w:r>
      <w:r>
        <w:t>. at 264-65.</w:t>
      </w:r>
    </w:p>
    <w:p w14:paraId="270F324D" w14:textId="77777777" w:rsidR="0056102D" w:rsidRDefault="0056102D" w:rsidP="0056102D">
      <w:pPr>
        <w:pStyle w:val="BodyText"/>
        <w:spacing w:before="3"/>
        <w:rPr>
          <w:sz w:val="25"/>
        </w:rPr>
      </w:pPr>
    </w:p>
    <w:p w14:paraId="0D0985F3" w14:textId="77777777" w:rsidR="0056102D" w:rsidRDefault="0056102D" w:rsidP="0056102D">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416463D0" w14:textId="77777777" w:rsidR="0056102D" w:rsidRDefault="0056102D" w:rsidP="0056102D">
      <w:pPr>
        <w:pStyle w:val="BodyText"/>
        <w:spacing w:before="4"/>
      </w:pPr>
    </w:p>
    <w:p w14:paraId="435606AB" w14:textId="77777777" w:rsidR="0056102D" w:rsidRDefault="0056102D" w:rsidP="0056102D">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564A9B5F" w14:textId="77777777" w:rsidR="0056102D" w:rsidRPr="00C97B6B" w:rsidRDefault="0056102D" w:rsidP="0056102D">
      <w:pPr>
        <w:pStyle w:val="BodyText"/>
        <w:spacing w:line="247" w:lineRule="auto"/>
        <w:ind w:left="100" w:right="129" w:firstLine="720"/>
      </w:pPr>
    </w:p>
    <w:p w14:paraId="07376FC5" w14:textId="77777777" w:rsidR="0056102D" w:rsidRPr="00C97B6B" w:rsidRDefault="0056102D" w:rsidP="0056102D">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 xml:space="preserve">Dr. Seuss </w:t>
      </w:r>
      <w:proofErr w:type="spellStart"/>
      <w:r w:rsidRPr="00C97B6B">
        <w:rPr>
          <w:i/>
          <w:iCs/>
        </w:rPr>
        <w:t>Entprs</w:t>
      </w:r>
      <w:proofErr w:type="spellEnd"/>
      <w:r w:rsidRPr="00C97B6B">
        <w:rPr>
          <w:i/>
          <w:iCs/>
        </w:rPr>
        <w:t xml:space="preserve">., L.P. v. </w:t>
      </w:r>
      <w:proofErr w:type="spellStart"/>
      <w:r w:rsidRPr="00C97B6B">
        <w:rPr>
          <w:i/>
          <w:iCs/>
        </w:rPr>
        <w:t>ComicMix</w:t>
      </w:r>
      <w:proofErr w:type="spellEnd"/>
      <w:r w:rsidRPr="00C97B6B">
        <w:rPr>
          <w:i/>
          <w:iCs/>
        </w:rPr>
        <w:t xml:space="preserve"> LLC</w:t>
      </w:r>
      <w:r w:rsidRPr="00C97B6B">
        <w:t xml:space="preserve">, 983 F.3d 443, 462 (9th Cir. 2020) (holding Lanham Act did not apply despite alleged use of trademark when junior use was not explicitly misleading and distinguishing </w:t>
      </w:r>
      <w:r w:rsidRPr="00C97B6B">
        <w:rPr>
          <w:i/>
          <w:iCs/>
        </w:rPr>
        <w:t>Gordon</w:t>
      </w:r>
      <w:r w:rsidRPr="00C97B6B">
        <w:t xml:space="preserve"> </w:t>
      </w:r>
      <w:r w:rsidRPr="00C97B6B">
        <w:rPr>
          <w:i/>
          <w:iCs/>
        </w:rPr>
        <w:t>v. Drape Creative, Inc.</w:t>
      </w:r>
      <w:r w:rsidRPr="00C97B6B">
        <w:t>, 909 F.3d 257 (9th Cir. 2018)).</w:t>
      </w:r>
    </w:p>
    <w:p w14:paraId="74C78D63" w14:textId="77777777" w:rsidR="0056102D" w:rsidRPr="00C97B6B" w:rsidRDefault="0056102D" w:rsidP="0056102D">
      <w:pPr>
        <w:pStyle w:val="BodyText"/>
        <w:spacing w:line="247" w:lineRule="auto"/>
        <w:ind w:right="129"/>
      </w:pPr>
    </w:p>
    <w:p w14:paraId="48D96F96" w14:textId="77777777" w:rsidR="00197473" w:rsidRDefault="00197473" w:rsidP="0056102D">
      <w:pPr>
        <w:pStyle w:val="BodyText"/>
        <w:spacing w:line="247" w:lineRule="auto"/>
        <w:ind w:right="129"/>
        <w:jc w:val="right"/>
        <w:rPr>
          <w:i/>
          <w:iCs/>
        </w:rPr>
      </w:pPr>
    </w:p>
    <w:p w14:paraId="26881158" w14:textId="0CA8F55C" w:rsidR="0056102D" w:rsidRPr="00C97B6B" w:rsidRDefault="0056102D" w:rsidP="0056102D">
      <w:pPr>
        <w:pStyle w:val="BodyText"/>
        <w:spacing w:line="247" w:lineRule="auto"/>
        <w:ind w:right="129"/>
        <w:jc w:val="right"/>
        <w:rPr>
          <w:i/>
          <w:iCs/>
        </w:rPr>
      </w:pPr>
      <w:r w:rsidRPr="00C97B6B">
        <w:rPr>
          <w:i/>
          <w:iCs/>
        </w:rPr>
        <w:t>Approved Mar. 2021</w:t>
      </w:r>
    </w:p>
    <w:p w14:paraId="6DA2D182" w14:textId="4D0E128B" w:rsidR="00AB3963" w:rsidRPr="006A4CD7" w:rsidRDefault="00AB3963" w:rsidP="0056102D">
      <w:pPr>
        <w:autoSpaceDE w:val="0"/>
        <w:autoSpaceDN w:val="0"/>
        <w:adjustRightInd w:val="0"/>
      </w:pPr>
    </w:p>
    <w:p w14:paraId="1A4C66A2" w14:textId="69050379" w:rsidR="006A4CD7" w:rsidRPr="006A4CD7" w:rsidRDefault="006A4CD7" w:rsidP="00AB3963">
      <w:pPr>
        <w:pStyle w:val="Heading2"/>
      </w:pPr>
      <w:r w:rsidRPr="006A4CD7">
        <w:br w:type="page"/>
      </w:r>
      <w:bookmarkStart w:id="267" w:name="_Toc117512550"/>
      <w:r w:rsidRPr="006A4CD7">
        <w:t xml:space="preserve">15.20 </w:t>
      </w:r>
      <w:r w:rsidR="002D3E69" w:rsidRPr="002D3E69">
        <w:t>Derivative Liability—Inducing Infringement</w:t>
      </w:r>
      <w:bookmarkEnd w:id="267"/>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infringed the plaintiff’s trademark;</w:t>
      </w:r>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62257A23" w14:textId="029F09C8" w:rsidR="006A4CD7" w:rsidRPr="006A4CD7" w:rsidRDefault="006A4CD7" w:rsidP="003E3B69">
      <w:pPr>
        <w:pStyle w:val="Heading2"/>
      </w:pPr>
      <w:r w:rsidRPr="006A4CD7">
        <w:br w:type="page"/>
      </w:r>
      <w:bookmarkStart w:id="268" w:name="_Toc117512551"/>
      <w:r w:rsidRPr="006A4CD7">
        <w:t xml:space="preserve">15.21 </w:t>
      </w:r>
      <w:r w:rsidR="002D3E69" w:rsidRPr="002D3E69">
        <w:t>Derivative Liability—Contributory Infringement</w:t>
      </w:r>
      <w:bookmarkEnd w:id="268"/>
    </w:p>
    <w:p w14:paraId="52CB7079" w14:textId="77777777" w:rsidR="006A4CD7" w:rsidRPr="006A4CD7" w:rsidRDefault="006A4CD7" w:rsidP="0060759C">
      <w:pPr>
        <w:autoSpaceDE w:val="0"/>
        <w:autoSpaceDN w:val="0"/>
        <w:adjustRightInd w:val="0"/>
        <w:rPr>
          <w:rFonts w:cs="Times New Roman"/>
          <w:szCs w:val="24"/>
        </w:rPr>
      </w:pPr>
    </w:p>
    <w:p w14:paraId="61A6B1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52E2B9BA" w14:textId="77777777" w:rsidR="006A4CD7" w:rsidRPr="006A4CD7" w:rsidRDefault="006A4CD7" w:rsidP="0060759C">
      <w:pPr>
        <w:autoSpaceDE w:val="0"/>
        <w:autoSpaceDN w:val="0"/>
        <w:adjustRightInd w:val="0"/>
        <w:rPr>
          <w:rFonts w:cs="Times New Roman"/>
          <w:szCs w:val="24"/>
        </w:rPr>
      </w:pPr>
    </w:p>
    <w:p w14:paraId="5EFC0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04A7E4C8" w14:textId="77777777" w:rsidR="006A4CD7" w:rsidRPr="006A4CD7" w:rsidRDefault="006A4CD7" w:rsidP="0060759C">
      <w:pPr>
        <w:autoSpaceDE w:val="0"/>
        <w:autoSpaceDN w:val="0"/>
        <w:adjustRightInd w:val="0"/>
        <w:rPr>
          <w:rFonts w:cs="Times New Roman"/>
          <w:szCs w:val="24"/>
        </w:rPr>
      </w:pPr>
    </w:p>
    <w:p w14:paraId="3800881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[sold] [supplied] [goods] [services] to [</w:t>
      </w:r>
      <w:r w:rsidRPr="006A4CD7">
        <w:rPr>
          <w:rFonts w:cs="Times New Roman"/>
          <w:i/>
          <w:iCs/>
          <w:szCs w:val="24"/>
          <w:u w:val="single"/>
        </w:rPr>
        <w:t>name of direct infringer</w:t>
      </w:r>
      <w:r w:rsidRPr="006A4CD7">
        <w:rPr>
          <w:rFonts w:cs="Times New Roman"/>
          <w:szCs w:val="24"/>
        </w:rPr>
        <w:t xml:space="preserve">]; </w:t>
      </w:r>
    </w:p>
    <w:p w14:paraId="07711C52" w14:textId="77777777" w:rsidR="006A4CD7" w:rsidRPr="006A4CD7" w:rsidRDefault="006A4CD7" w:rsidP="00C67800">
      <w:pPr>
        <w:autoSpaceDE w:val="0"/>
        <w:autoSpaceDN w:val="0"/>
        <w:adjustRightInd w:val="0"/>
        <w:ind w:left="1440"/>
        <w:rPr>
          <w:rFonts w:cs="Times New Roman"/>
          <w:szCs w:val="24"/>
        </w:rPr>
      </w:pPr>
    </w:p>
    <w:p w14:paraId="195819FB"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used the [goods] [services] the defendant [sold] [supplied] to infringe the plaintiff’s trademark;</w:t>
      </w:r>
    </w:p>
    <w:p w14:paraId="63E981C1" w14:textId="77777777" w:rsidR="006A4CD7" w:rsidRPr="006A4CD7" w:rsidRDefault="006A4CD7" w:rsidP="00C67800">
      <w:pPr>
        <w:autoSpaceDE w:val="0"/>
        <w:autoSpaceDN w:val="0"/>
        <w:adjustRightInd w:val="0"/>
        <w:ind w:left="1440"/>
        <w:rPr>
          <w:rFonts w:cs="Times New Roman"/>
          <w:szCs w:val="24"/>
        </w:rPr>
      </w:pPr>
    </w:p>
    <w:p w14:paraId="1023C593"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knew or had reason to know [</w:t>
      </w:r>
      <w:r w:rsidRPr="006A4CD7">
        <w:rPr>
          <w:rFonts w:cs="Times New Roman"/>
          <w:i/>
          <w:iCs/>
          <w:szCs w:val="24"/>
          <w:u w:val="single"/>
        </w:rPr>
        <w:t>name of direct infringer</w:t>
      </w:r>
      <w:r w:rsidRPr="006A4CD7">
        <w:rPr>
          <w:rFonts w:cs="Times New Roman"/>
          <w:szCs w:val="24"/>
        </w:rPr>
        <w:t>] [would use the goods to infringe the plaintiff’s trademark] [was infringing the plaintiff’s trademark and the defendant continued to supply its services]; [and]</w:t>
      </w:r>
    </w:p>
    <w:p w14:paraId="475F4090" w14:textId="77777777" w:rsidR="00C67800" w:rsidRDefault="00C67800" w:rsidP="00C67800">
      <w:pPr>
        <w:autoSpaceDE w:val="0"/>
        <w:autoSpaceDN w:val="0"/>
        <w:adjustRightInd w:val="0"/>
        <w:ind w:left="1440" w:hanging="720"/>
        <w:rPr>
          <w:rFonts w:cs="Times New Roman"/>
          <w:szCs w:val="24"/>
        </w:rPr>
      </w:pPr>
    </w:p>
    <w:p w14:paraId="2C3CBBF1" w14:textId="77777777" w:rsidR="00C67800" w:rsidRDefault="00C67800" w:rsidP="00C67800">
      <w:pPr>
        <w:autoSpaceDE w:val="0"/>
        <w:autoSpaceDN w:val="0"/>
        <w:adjustRightInd w:val="0"/>
        <w:ind w:left="1440" w:hanging="720"/>
        <w:rPr>
          <w:rFonts w:cs="Times New Roman"/>
          <w:szCs w:val="24"/>
        </w:rPr>
      </w:pPr>
      <w:r>
        <w:rPr>
          <w:rFonts w:cs="Times New Roman"/>
          <w:szCs w:val="24"/>
        </w:rPr>
        <w:tab/>
      </w:r>
      <w:r w:rsidR="006A4CD7" w:rsidRPr="006A4CD7">
        <w:rPr>
          <w:rFonts w:cs="Times New Roman"/>
          <w:szCs w:val="24"/>
        </w:rPr>
        <w:t>[4.</w:t>
      </w:r>
      <w:r>
        <w:rPr>
          <w:rFonts w:cs="Times New Roman"/>
          <w:szCs w:val="24"/>
        </w:rPr>
        <w:tab/>
      </w:r>
      <w:r w:rsidR="006A4CD7" w:rsidRPr="006A4CD7">
        <w:rPr>
          <w:rFonts w:cs="Times New Roman"/>
          <w:szCs w:val="24"/>
        </w:rPr>
        <w:t>the defendant providing the services to [</w:t>
      </w:r>
      <w:r w:rsidR="006A4CD7" w:rsidRPr="006A4CD7">
        <w:rPr>
          <w:rFonts w:cs="Times New Roman"/>
          <w:i/>
          <w:iCs/>
          <w:szCs w:val="24"/>
          <w:u w:val="single"/>
        </w:rPr>
        <w:t>name of direct infringer</w:t>
      </w:r>
      <w:r w:rsidR="006A4CD7" w:rsidRPr="006A4CD7">
        <w:rPr>
          <w:rFonts w:cs="Times New Roman"/>
          <w:szCs w:val="24"/>
        </w:rPr>
        <w:t>] had direct control and monitoring of the instrumentality used by [</w:t>
      </w:r>
      <w:r w:rsidR="006A4CD7" w:rsidRPr="006A4CD7">
        <w:rPr>
          <w:rFonts w:cs="Times New Roman"/>
          <w:i/>
          <w:iCs/>
          <w:szCs w:val="24"/>
          <w:u w:val="single"/>
        </w:rPr>
        <w:t>name of direct infringer</w:t>
      </w:r>
      <w:r w:rsidR="006A4CD7" w:rsidRPr="006A4CD7">
        <w:rPr>
          <w:rFonts w:cs="Times New Roman"/>
          <w:szCs w:val="24"/>
        </w:rPr>
        <w:t xml:space="preserve">] to infringe; and] </w:t>
      </w:r>
    </w:p>
    <w:p w14:paraId="3102C80C" w14:textId="77777777" w:rsidR="00C67800" w:rsidRDefault="00C67800" w:rsidP="00C67800">
      <w:pPr>
        <w:autoSpaceDE w:val="0"/>
        <w:autoSpaceDN w:val="0"/>
        <w:adjustRightInd w:val="0"/>
        <w:ind w:left="1440" w:hanging="720"/>
        <w:rPr>
          <w:rFonts w:cs="Times New Roman"/>
          <w:szCs w:val="24"/>
        </w:rPr>
      </w:pPr>
    </w:p>
    <w:p w14:paraId="52C130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 xml:space="preserve">4. </w:t>
      </w:r>
      <w:r w:rsidR="00C67800">
        <w:rPr>
          <w:rFonts w:cs="Times New Roman"/>
          <w:szCs w:val="24"/>
        </w:rPr>
        <w:tab/>
      </w:r>
      <w:r w:rsidRPr="006A4CD7">
        <w:rPr>
          <w:rFonts w:cs="Times New Roman"/>
          <w:szCs w:val="24"/>
        </w:rPr>
        <w:t>[5.]</w:t>
      </w:r>
      <w:r w:rsidRPr="006A4CD7">
        <w:rPr>
          <w:rFonts w:cs="Times New Roman"/>
          <w:szCs w:val="24"/>
        </w:rPr>
        <w:tab/>
        <w:t>the plaintiff was damaged by the infringement.</w:t>
      </w:r>
    </w:p>
    <w:p w14:paraId="5869BFAB" w14:textId="77777777" w:rsidR="006A4CD7" w:rsidRPr="006A4CD7" w:rsidRDefault="006A4CD7" w:rsidP="0060759C">
      <w:pPr>
        <w:autoSpaceDE w:val="0"/>
        <w:autoSpaceDN w:val="0"/>
        <w:adjustRightInd w:val="0"/>
        <w:rPr>
          <w:rFonts w:cs="Times New Roman"/>
          <w:szCs w:val="24"/>
        </w:rPr>
      </w:pPr>
    </w:p>
    <w:p w14:paraId="6BEAF9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06FE9E6" w14:textId="77777777" w:rsidR="006A4CD7" w:rsidRPr="006A4CD7" w:rsidRDefault="006A4CD7" w:rsidP="0060759C">
      <w:pPr>
        <w:autoSpaceDE w:val="0"/>
        <w:autoSpaceDN w:val="0"/>
        <w:adjustRightInd w:val="0"/>
        <w:rPr>
          <w:rFonts w:cs="Times New Roman"/>
          <w:szCs w:val="24"/>
        </w:rPr>
      </w:pPr>
    </w:p>
    <w:p w14:paraId="506CD6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A728932" w14:textId="77777777" w:rsidR="006A4CD7" w:rsidRPr="006A4CD7" w:rsidRDefault="006A4CD7" w:rsidP="0060759C">
      <w:pPr>
        <w:autoSpaceDE w:val="0"/>
        <w:autoSpaceDN w:val="0"/>
        <w:adjustRightInd w:val="0"/>
        <w:rPr>
          <w:rFonts w:cs="Times New Roman"/>
          <w:szCs w:val="24"/>
        </w:rPr>
      </w:pPr>
    </w:p>
    <w:p w14:paraId="1706318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w:t>
      </w:r>
      <w:r w:rsidRPr="006A4CD7">
        <w:rPr>
          <w:rFonts w:cs="Times New Roman"/>
          <w:szCs w:val="24"/>
        </w:rPr>
        <w:t xml:space="preserve"> Comment following Instruction 15.20 (Derivative Liability—Inducing Infringement). </w:t>
      </w:r>
      <w:r w:rsidRPr="006A4CD7">
        <w:rPr>
          <w:rFonts w:cs="Times New Roman"/>
          <w:i/>
          <w:iCs/>
          <w:szCs w:val="24"/>
        </w:rPr>
        <w:t xml:space="preserve">See </w:t>
      </w:r>
      <w:r w:rsidRPr="006A4CD7">
        <w:rPr>
          <w:rFonts w:cs="Times New Roman"/>
          <w:szCs w:val="24"/>
        </w:rPr>
        <w:t xml:space="preserve">4 </w:t>
      </w:r>
      <w:r w:rsidRPr="006A4CD7">
        <w:rPr>
          <w:rFonts w:cs="Times New Roman"/>
          <w:smallCaps/>
          <w:szCs w:val="24"/>
        </w:rPr>
        <w:t>J. Thomas McCarthy, Trademarks And Unfair Competition</w:t>
      </w:r>
      <w:r w:rsidRPr="006A4CD7">
        <w:rPr>
          <w:rFonts w:cs="Times New Roman"/>
          <w:szCs w:val="24"/>
        </w:rPr>
        <w:t xml:space="preserve"> § 25.17 (4th ed. 2015) (discussing contributory infringement).</w:t>
      </w:r>
    </w:p>
    <w:p w14:paraId="63A71DAC" w14:textId="77777777" w:rsidR="006A4CD7" w:rsidRPr="006A4CD7" w:rsidRDefault="006A4CD7" w:rsidP="0060759C">
      <w:pPr>
        <w:autoSpaceDE w:val="0"/>
        <w:autoSpaceDN w:val="0"/>
        <w:adjustRightInd w:val="0"/>
        <w:rPr>
          <w:rFonts w:cs="Times New Roman"/>
          <w:szCs w:val="24"/>
        </w:rPr>
      </w:pPr>
    </w:p>
    <w:p w14:paraId="1D2A4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elements of contributory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Lockheed Martin Corp. v. Network Sols., Inc.</w:t>
      </w:r>
      <w:r w:rsidRPr="006A4CD7">
        <w:rPr>
          <w:rFonts w:cs="Times New Roman"/>
          <w:szCs w:val="24"/>
        </w:rPr>
        <w:t>, 194 F.3d 980, 984-85 (9th Cir. 1999) (discussing elements of contributory infringement);</w:t>
      </w:r>
      <w:r w:rsidRPr="006A4CD7">
        <w:rPr>
          <w:rFonts w:cs="Times New Roman"/>
          <w:i/>
          <w:iCs/>
          <w:szCs w:val="24"/>
        </w:rPr>
        <w:t xml:space="preserve"> Rolex Watch, U.S.A., Inc. v. Michel Co.</w:t>
      </w:r>
      <w:r w:rsidRPr="006A4CD7">
        <w:rPr>
          <w:rFonts w:cs="Times New Roman"/>
          <w:szCs w:val="24"/>
        </w:rPr>
        <w:t xml:space="preserve">, 179 F.3d 704, 712-13 (9th Cir. 1999) (discussing intent element of contributory infringement); </w:t>
      </w:r>
      <w:r w:rsidRPr="006A4CD7">
        <w:rPr>
          <w:rFonts w:cs="Times New Roman"/>
          <w:i/>
          <w:iCs/>
          <w:szCs w:val="24"/>
        </w:rPr>
        <w:t>see also Mini Maid Servs. Co. v. Maid Brigade Sys</w:t>
      </w:r>
      <w:r w:rsidRPr="006A4CD7">
        <w:rPr>
          <w:rFonts w:cs="Times New Roman"/>
          <w:szCs w:val="24"/>
        </w:rPr>
        <w:t xml:space="preserve">., 967 F.2d 1516, 1521 (11th Cir.1992) (noting that although </w:t>
      </w:r>
      <w:r w:rsidRPr="006A4CD7">
        <w:rPr>
          <w:rFonts w:cs="Times New Roman"/>
          <w:i/>
          <w:iCs/>
          <w:szCs w:val="24"/>
        </w:rPr>
        <w:t xml:space="preserve">Inwood Laboratories, Inc. v. Ives Laboratories, Inc., </w:t>
      </w:r>
      <w:r w:rsidRPr="006A4CD7">
        <w:rPr>
          <w:rFonts w:cs="Times New Roman"/>
          <w:szCs w:val="24"/>
        </w:rPr>
        <w:t>456 U.S. 844 (1982), involved relationship between manufacturers and retailers, its analysis is equally applicable to relationship between franchisor and franchisee).</w:t>
      </w:r>
    </w:p>
    <w:p w14:paraId="79BBD611" w14:textId="77777777" w:rsidR="006A4CD7" w:rsidRPr="006A4CD7" w:rsidRDefault="006A4CD7" w:rsidP="0060759C">
      <w:pPr>
        <w:autoSpaceDE w:val="0"/>
        <w:autoSpaceDN w:val="0"/>
        <w:adjustRightInd w:val="0"/>
        <w:rPr>
          <w:rFonts w:cs="Times New Roman"/>
          <w:szCs w:val="24"/>
        </w:rPr>
      </w:pPr>
    </w:p>
    <w:p w14:paraId="6C453B3F" w14:textId="77777777" w:rsidR="00604299" w:rsidRDefault="006A4CD7" w:rsidP="0060759C">
      <w:pPr>
        <w:autoSpaceDE w:val="0"/>
        <w:autoSpaceDN w:val="0"/>
        <w:adjustRightInd w:val="0"/>
        <w:rPr>
          <w:rFonts w:cs="Times New Roman"/>
          <w:szCs w:val="24"/>
        </w:rPr>
      </w:pPr>
      <w:r w:rsidRPr="006A4CD7">
        <w:rPr>
          <w:rFonts w:cs="Times New Roman"/>
          <w:szCs w:val="24"/>
        </w:rPr>
        <w:tab/>
      </w:r>
      <w:r w:rsidRPr="00644AB3">
        <w:rPr>
          <w:rFonts w:cs="Times New Roman"/>
          <w:szCs w:val="24"/>
        </w:rPr>
        <w:t xml:space="preserve">When a defendant provides servers or other Internet services to a direct infringer, a plaintiff may prevail on a claim of contributory trademark infringement if the defendant “continued to supply its services to one who it knew or had reason to know was engaging in </w:t>
      </w:r>
    </w:p>
    <w:p w14:paraId="361036D3" w14:textId="71AF470A" w:rsidR="006A4CD7" w:rsidRPr="006A4CD7" w:rsidRDefault="006A4CD7" w:rsidP="0060759C">
      <w:pPr>
        <w:autoSpaceDE w:val="0"/>
        <w:autoSpaceDN w:val="0"/>
        <w:adjustRightInd w:val="0"/>
        <w:rPr>
          <w:rFonts w:cs="Times New Roman"/>
          <w:szCs w:val="24"/>
        </w:rPr>
      </w:pPr>
      <w:r w:rsidRPr="00644AB3">
        <w:rPr>
          <w:rFonts w:cs="Times New Roman"/>
          <w:szCs w:val="24"/>
        </w:rPr>
        <w:t>trademark infringement” and the defendant had “[d]</w:t>
      </w:r>
      <w:proofErr w:type="spellStart"/>
      <w:r w:rsidRPr="00644AB3">
        <w:rPr>
          <w:rFonts w:cs="Times New Roman"/>
          <w:szCs w:val="24"/>
        </w:rPr>
        <w:t>irect</w:t>
      </w:r>
      <w:proofErr w:type="spellEnd"/>
      <w:r w:rsidRPr="00644AB3">
        <w:rPr>
          <w:rFonts w:cs="Times New Roman"/>
          <w:szCs w:val="24"/>
        </w:rPr>
        <w:t xml:space="preserve"> control and monitoring of the</w:t>
      </w:r>
      <w:r w:rsidRPr="006A4CD7">
        <w:rPr>
          <w:rFonts w:cs="Times New Roman"/>
          <w:szCs w:val="24"/>
        </w:rPr>
        <w:t xml:space="preserve"> instrumentality used by a third party to infringe.”  </w:t>
      </w:r>
      <w:r w:rsidRPr="006A4CD7">
        <w:rPr>
          <w:rFonts w:cs="Times New Roman"/>
          <w:i/>
          <w:iCs/>
          <w:szCs w:val="24"/>
        </w:rPr>
        <w:t xml:space="preserve">Louis Vuitton Malletier, S.A. v. </w:t>
      </w:r>
      <w:proofErr w:type="spellStart"/>
      <w:r w:rsidRPr="006A4CD7">
        <w:rPr>
          <w:rFonts w:cs="Times New Roman"/>
          <w:i/>
          <w:iCs/>
          <w:szCs w:val="24"/>
        </w:rPr>
        <w:t>Akanoc</w:t>
      </w:r>
      <w:proofErr w:type="spellEnd"/>
      <w:r w:rsidRPr="006A4CD7">
        <w:rPr>
          <w:rFonts w:cs="Times New Roman"/>
          <w:i/>
          <w:iCs/>
          <w:szCs w:val="24"/>
        </w:rPr>
        <w:t xml:space="preserve"> Sols., Inc.</w:t>
      </w:r>
      <w:r w:rsidRPr="006A4CD7">
        <w:rPr>
          <w:rFonts w:cs="Times New Roman"/>
          <w:szCs w:val="24"/>
        </w:rPr>
        <w:t xml:space="preserve">, 658 F.3d 936, 942 (9th Cir. 2011) (alteration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6A4CD7">
        <w:rPr>
          <w:rFonts w:cs="Times New Roman"/>
          <w:i/>
          <w:iCs/>
          <w:szCs w:val="24"/>
        </w:rPr>
        <w:t>Id</w:t>
      </w:r>
      <w:r w:rsidRPr="006A4CD7">
        <w:rPr>
          <w:rFonts w:cs="Times New Roman"/>
          <w:szCs w:val="24"/>
        </w:rPr>
        <w:t xml:space="preserve">. at 943 (“An express finding of intent is not required.”).  Also, statutory damages may be awarded against contributory infringers.  </w:t>
      </w:r>
      <w:r w:rsidRPr="006A4CD7">
        <w:rPr>
          <w:rFonts w:cs="Times New Roman"/>
          <w:i/>
          <w:iCs/>
          <w:szCs w:val="24"/>
        </w:rPr>
        <w:t xml:space="preserve">Id. </w:t>
      </w:r>
      <w:r w:rsidRPr="006A4CD7">
        <w:rPr>
          <w:rFonts w:cs="Times New Roman"/>
          <w:szCs w:val="24"/>
        </w:rPr>
        <w:t xml:space="preserve">at 944-45.   </w:t>
      </w: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41DE4EA8" w14:textId="606267CB" w:rsidR="003964B4" w:rsidRDefault="006A4CD7" w:rsidP="00982B7E">
      <w:pPr>
        <w:pStyle w:val="Heading2"/>
      </w:pPr>
      <w:bookmarkStart w:id="269" w:name="_Toc117512552"/>
      <w:r w:rsidRPr="006A4CD7">
        <w:t xml:space="preserve">15.22 </w:t>
      </w:r>
      <w:r w:rsidR="002D3E69" w:rsidRPr="002D3E69">
        <w:t>Defenses—Abandonment—Affirmative Defense—Defendant’s Burden of Proof</w:t>
      </w:r>
      <w:bookmarkEnd w:id="269"/>
      <w:r w:rsidR="002D3E69" w:rsidRPr="002D3E69">
        <w:t xml:space="preserve"> </w:t>
      </w:r>
    </w:p>
    <w:p w14:paraId="2ACB1BFD" w14:textId="68E2941E" w:rsidR="006A4CD7" w:rsidRPr="006A4CD7" w:rsidRDefault="006A4CD7" w:rsidP="00982B7E">
      <w:pPr>
        <w:pStyle w:val="Heading2"/>
      </w:pPr>
      <w:bookmarkStart w:id="270" w:name="_Toc117512553"/>
      <w:r w:rsidRPr="006A4CD7">
        <w:t>(15 U.S.C. § 1127)</w:t>
      </w:r>
      <w:bookmarkEnd w:id="270"/>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discontinues its [good faith] use in the ordinary course of trade, intending not to resume using it;</w:t>
      </w:r>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 xml:space="preserve">Electro Source, LLC v. </w:t>
      </w:r>
      <w:proofErr w:type="spellStart"/>
      <w:r w:rsidRPr="006A4CD7">
        <w:rPr>
          <w:rFonts w:cs="Times New Roman"/>
          <w:i/>
          <w:iCs/>
          <w:szCs w:val="24"/>
        </w:rPr>
        <w:t>Brandess</w:t>
      </w:r>
      <w:proofErr w:type="spellEnd"/>
      <w:r w:rsidRPr="006A4CD7">
        <w:rPr>
          <w:rFonts w:cs="Times New Roman"/>
          <w:i/>
          <w:iCs/>
          <w:szCs w:val="24"/>
        </w:rPr>
        <w:t>-</w:t>
      </w:r>
      <w:proofErr w:type="spellStart"/>
      <w:r w:rsidRPr="006A4CD7">
        <w:rPr>
          <w:rFonts w:cs="Times New Roman"/>
          <w:i/>
          <w:iCs/>
          <w:szCs w:val="24"/>
        </w:rPr>
        <w:t>Kalt</w:t>
      </w:r>
      <w:proofErr w:type="spellEnd"/>
      <w:r w:rsidRPr="006A4CD7">
        <w:rPr>
          <w:rFonts w:cs="Times New Roman"/>
          <w:i/>
          <w:iCs/>
          <w:szCs w:val="24"/>
        </w:rPr>
        <w:t>-Aetna Grp., Inc.</w:t>
      </w:r>
      <w:r w:rsidRPr="006A4CD7">
        <w:rPr>
          <w:rFonts w:cs="Times New Roman"/>
          <w:szCs w:val="24"/>
        </w:rPr>
        <w:t>, 458 F.3d 931, 938 (9th Cir. 2006) (“[A]</w:t>
      </w:r>
      <w:proofErr w:type="spellStart"/>
      <w:r w:rsidRPr="006A4CD7">
        <w:rPr>
          <w:rFonts w:cs="Times New Roman"/>
          <w:szCs w:val="24"/>
        </w:rPr>
        <w:t>bandonment</w:t>
      </w:r>
      <w:proofErr w:type="spellEnd"/>
      <w:r w:rsidRPr="006A4CD7">
        <w:rPr>
          <w:rFonts w:cs="Times New Roman"/>
          <w:szCs w:val="24"/>
        </w:rPr>
        <w:t xml:space="preserve">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 xml:space="preserve">see </w:t>
      </w:r>
      <w:proofErr w:type="spellStart"/>
      <w:r w:rsidRPr="006A4CD7">
        <w:rPr>
          <w:rFonts w:cs="Times New Roman"/>
          <w:i/>
          <w:iCs/>
          <w:szCs w:val="24"/>
        </w:rPr>
        <w:t>Barcamerica</w:t>
      </w:r>
      <w:proofErr w:type="spellEnd"/>
      <w:r w:rsidRPr="006A4CD7">
        <w:rPr>
          <w:rFonts w:cs="Times New Roman"/>
          <w:i/>
          <w:iCs/>
          <w:szCs w:val="24"/>
        </w:rPr>
        <w:t xml:space="preserve"> Int’l USA Trust v. </w:t>
      </w:r>
      <w:proofErr w:type="spellStart"/>
      <w:r w:rsidRPr="006A4CD7">
        <w:rPr>
          <w:rFonts w:cs="Times New Roman"/>
          <w:i/>
          <w:iCs/>
          <w:szCs w:val="24"/>
        </w:rPr>
        <w:t>Tyfield</w:t>
      </w:r>
      <w:proofErr w:type="spellEnd"/>
      <w:r w:rsidRPr="006A4CD7">
        <w:rPr>
          <w:rFonts w:cs="Times New Roman"/>
          <w:i/>
          <w:iCs/>
          <w:szCs w:val="24"/>
        </w:rPr>
        <w:t xml:space="preserve">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6AF32395"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w:t>
      </w:r>
      <w:r w:rsidR="00644AB3" w:rsidRPr="006A4CD7">
        <w:rPr>
          <w:rFonts w:cs="Times New Roman"/>
          <w:i/>
          <w:iCs/>
          <w:szCs w:val="24"/>
        </w:rPr>
        <w:t>LLC</w:t>
      </w:r>
      <w:r w:rsidR="00644AB3" w:rsidRPr="006A4CD7">
        <w:rPr>
          <w:rFonts w:cs="Times New Roman"/>
          <w:szCs w:val="24"/>
        </w:rPr>
        <w:t>,</w:t>
      </w:r>
      <w:r w:rsidRPr="006A4CD7">
        <w:rPr>
          <w:rFonts w:cs="Times New Roman"/>
          <w:szCs w:val="24"/>
        </w:rPr>
        <w:t xml:space="preserve"> 458 F.3d at 935 n.2 (noting that defendant, “as the party asserting abandonment, is required to ‘strictly prove’ its claim. …We do not need to flesh out the contours of the ‘strict proof’ standard because our </w:t>
      </w:r>
    </w:p>
    <w:p w14:paraId="32F4026C" w14:textId="36FEE064" w:rsidR="006A4CD7" w:rsidRDefault="006A4CD7" w:rsidP="0060759C">
      <w:pPr>
        <w:autoSpaceDE w:val="0"/>
        <w:autoSpaceDN w:val="0"/>
        <w:adjustRightInd w:val="0"/>
        <w:rPr>
          <w:rFonts w:cs="Times New Roman"/>
          <w:szCs w:val="24"/>
        </w:rPr>
      </w:pPr>
      <w:r w:rsidRPr="006A4CD7">
        <w:rPr>
          <w:rFonts w:cs="Times New Roman"/>
          <w:szCs w:val="24"/>
        </w:rPr>
        <w:t xml:space="preserve">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087EB2BF" w14:textId="67132593" w:rsidR="009519FE" w:rsidRDefault="006A4CD7" w:rsidP="00982B7E">
      <w:pPr>
        <w:pStyle w:val="Heading2"/>
      </w:pPr>
      <w:r w:rsidRPr="006A4CD7">
        <w:br w:type="page"/>
      </w:r>
      <w:bookmarkStart w:id="271" w:name="_Toc117512554"/>
      <w:r w:rsidRPr="006A4CD7">
        <w:t xml:space="preserve">15.23 </w:t>
      </w:r>
      <w:r w:rsidR="002D3E69" w:rsidRPr="002D3E69">
        <w:t>Defenses—Continuous Prior Use Within Remote Geographic</w:t>
      </w:r>
      <w:bookmarkEnd w:id="271"/>
      <w:r w:rsidR="002D3E69" w:rsidRPr="002D3E69">
        <w:t xml:space="preserve"> </w:t>
      </w:r>
    </w:p>
    <w:p w14:paraId="65CB668F" w14:textId="5ECD60D6" w:rsidR="003E3B69" w:rsidRPr="006A4CD7" w:rsidRDefault="002D3E69" w:rsidP="00982B7E">
      <w:pPr>
        <w:pStyle w:val="Heading2"/>
      </w:pPr>
      <w:bookmarkStart w:id="272" w:name="_Toc117512555"/>
      <w:r w:rsidRPr="002D3E69">
        <w:t xml:space="preserve">Area—Affirmative Defense </w:t>
      </w:r>
      <w:r w:rsidR="006A4CD7" w:rsidRPr="006A4CD7">
        <w:t>(15 U.S.C. § 1115(b)(5))</w:t>
      </w:r>
      <w:bookmarkEnd w:id="272"/>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32B94E6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 xml:space="preserve">see also </w:t>
      </w:r>
      <w:proofErr w:type="spellStart"/>
      <w:r w:rsidRPr="006A4CD7">
        <w:rPr>
          <w:rFonts w:cs="Times New Roman"/>
          <w:i/>
          <w:iCs/>
          <w:szCs w:val="24"/>
        </w:rPr>
        <w:t>Watec</w:t>
      </w:r>
      <w:proofErr w:type="spellEnd"/>
      <w:r w:rsidRPr="006A4CD7">
        <w:rPr>
          <w:rFonts w:cs="Times New Roman"/>
          <w:i/>
          <w:iCs/>
          <w:szCs w:val="24"/>
        </w:rPr>
        <w:t xml:space="preserve"> Co., Ltd. v. Liu</w:t>
      </w:r>
      <w:r w:rsidRPr="006A4CD7">
        <w:rPr>
          <w:rFonts w:cs="Times New Roman"/>
          <w:szCs w:val="24"/>
        </w:rPr>
        <w:t xml:space="preserve">,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w:t>
      </w:r>
      <w:r w:rsidR="00315B5D" w:rsidRPr="006A4CD7">
        <w:rPr>
          <w:rFonts w:cs="Times New Roman"/>
          <w:szCs w:val="24"/>
        </w:rPr>
        <w:t>marketplace</w:t>
      </w:r>
      <w:r w:rsidRPr="006A4CD7">
        <w:rPr>
          <w:rFonts w:cs="Times New Roman"/>
          <w:szCs w:val="24"/>
        </w:rPr>
        <w:t xml:space="preserv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AA63EE7"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w:t>
      </w:r>
    </w:p>
    <w:p w14:paraId="4F4C6BED" w14:textId="0CA9015F" w:rsidR="006A4CD7" w:rsidRDefault="006A4CD7" w:rsidP="0060759C">
      <w:pPr>
        <w:autoSpaceDE w:val="0"/>
        <w:autoSpaceDN w:val="0"/>
        <w:adjustRightInd w:val="0"/>
        <w:rPr>
          <w:rFonts w:cs="Times New Roman"/>
          <w:szCs w:val="24"/>
        </w:rPr>
      </w:pPr>
      <w:r w:rsidRPr="006A4CD7">
        <w:rPr>
          <w:rFonts w:cs="Times New Roman"/>
          <w:szCs w:val="24"/>
        </w:rPr>
        <w:t xml:space="preserve">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260F282B" w14:textId="6AC0F859" w:rsidR="003964B4" w:rsidRDefault="006A4CD7" w:rsidP="00982B7E">
      <w:pPr>
        <w:pStyle w:val="Heading2"/>
      </w:pPr>
      <w:r w:rsidRPr="006A4CD7">
        <w:br w:type="page"/>
      </w:r>
      <w:bookmarkStart w:id="273" w:name="_Toc117512556"/>
      <w:r w:rsidRPr="006A4CD7">
        <w:t xml:space="preserve">15.24 </w:t>
      </w:r>
      <w:r w:rsidR="00BF24DD" w:rsidRPr="00BF24DD">
        <w:t>Defenses</w:t>
      </w:r>
      <w:r w:rsidR="00644AB3" w:rsidRPr="00BF24DD">
        <w:t>— “</w:t>
      </w:r>
      <w:r w:rsidR="00BF24DD" w:rsidRPr="00BF24DD">
        <w:t>Classic” Fair Use</w:t>
      </w:r>
      <w:bookmarkEnd w:id="273"/>
      <w:r w:rsidR="00BF24DD" w:rsidRPr="00BF24DD">
        <w:t xml:space="preserve"> </w:t>
      </w:r>
    </w:p>
    <w:p w14:paraId="2B7021CB" w14:textId="3C6A792E" w:rsidR="006A4CD7" w:rsidRPr="006A4CD7" w:rsidRDefault="006A4CD7" w:rsidP="00982B7E">
      <w:pPr>
        <w:pStyle w:val="Heading2"/>
      </w:pPr>
      <w:bookmarkStart w:id="274" w:name="_Toc117512557"/>
      <w:r w:rsidRPr="006A4CD7">
        <w:t>(15 U.S.C. § 1115(b)(4))</w:t>
      </w:r>
      <w:bookmarkEnd w:id="274"/>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used the mark [other than as a trademark] [other than to distinguish the defendant’s goods from the plaintiff’s and to indicate the source of the defendant’s goods];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 xml:space="preserve">mark  ‘to describe the plaintiff’s product’ for the purpose of, for example, comparison to the defendant’s product.”) (citation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1F4B051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w:t>
      </w:r>
    </w:p>
    <w:p w14:paraId="5B541EE4" w14:textId="66C7EFE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292 F.3d at 1150-51 (noting that to establish a classic fair use defense under 15 U.S.C. § 1115, a defendant must prove: “‘1. Defendant’s use of the term is not as a trademark or service mark; 2. Defendant uses the term ‘fairly and in good faith’; and 3. [Defendant uses the term] “[o]</w:t>
      </w:r>
      <w:proofErr w:type="spellStart"/>
      <w:r w:rsidRPr="006A4CD7">
        <w:rPr>
          <w:rFonts w:cs="Times New Roman"/>
          <w:szCs w:val="24"/>
        </w:rPr>
        <w:t>nly</w:t>
      </w:r>
      <w:proofErr w:type="spellEnd"/>
      <w:r w:rsidRPr="006A4CD7">
        <w:rPr>
          <w:rFonts w:cs="Times New Roman"/>
          <w:szCs w:val="24"/>
        </w:rPr>
        <w:t xml:space="preserve"> to describe” its goods or services.’”) (citations omitted); </w:t>
      </w:r>
      <w:r w:rsidRPr="006A4CD7">
        <w:rPr>
          <w:rFonts w:cs="Times New Roman"/>
          <w:i/>
          <w:iCs/>
          <w:szCs w:val="24"/>
        </w:rPr>
        <w:t xml:space="preserve">see also </w:t>
      </w:r>
      <w:proofErr w:type="spellStart"/>
      <w:r w:rsidRPr="006A4CD7">
        <w:rPr>
          <w:rFonts w:cs="Times New Roman"/>
          <w:i/>
          <w:iCs/>
          <w:szCs w:val="24"/>
        </w:rPr>
        <w:t>Horphag</w:t>
      </w:r>
      <w:proofErr w:type="spellEnd"/>
      <w:r w:rsidRPr="006A4CD7">
        <w:rPr>
          <w:rFonts w:cs="Times New Roman"/>
          <w:i/>
          <w:iCs/>
          <w:szCs w:val="24"/>
        </w:rPr>
        <w:t xml:space="preserve">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w:t>
      </w:r>
      <w:proofErr w:type="spellStart"/>
      <w:r w:rsidRPr="006A4CD7">
        <w:rPr>
          <w:rFonts w:cs="Times New Roman"/>
          <w:i/>
          <w:iCs/>
          <w:szCs w:val="24"/>
        </w:rPr>
        <w:t>Horphag</w:t>
      </w:r>
      <w:proofErr w:type="spellEnd"/>
      <w:r w:rsidRPr="006A4CD7">
        <w:rPr>
          <w:rFonts w:cs="Times New Roman"/>
          <w:i/>
          <w:iCs/>
          <w:szCs w:val="24"/>
        </w:rPr>
        <w:t>,</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(quoting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0A02A2F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Cairns</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4C3A3E0" w14:textId="1C0E7E6D" w:rsid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unlikely”; determining that it follows (contrary to Court of </w:t>
      </w:r>
      <w:r w:rsidR="00644AB3" w:rsidRPr="006A4CD7">
        <w:rPr>
          <w:rFonts w:cs="Times New Roman"/>
          <w:szCs w:val="24"/>
        </w:rPr>
        <w:t>Appeals’</w:t>
      </w:r>
      <w:r w:rsidRPr="006A4CD7">
        <w:rPr>
          <w:rFonts w:cs="Times New Roman"/>
          <w:szCs w:val="24"/>
        </w:rPr>
        <w:t xml:space="preserve"> view) that “some possibility of consumer confusion must be compatible with fair use, and so it is”). </w:t>
      </w:r>
    </w:p>
    <w:p w14:paraId="7314CAE0" w14:textId="77777777" w:rsidR="00604299" w:rsidRPr="006A4CD7" w:rsidRDefault="00604299"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xml:space="preserve">,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(footnotes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xml:space="preserve">, 353 F.3d at 812 (holding that trademark owner “cannot use ‘trademark laws to ... censor all parodies or satires which use [its] name’ or dress.”) (quoting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w:t>
      </w:r>
      <w:proofErr w:type="spellStart"/>
      <w:r w:rsidRPr="006A4CD7">
        <w:rPr>
          <w:rFonts w:cs="Times New Roman"/>
          <w:i/>
          <w:iCs/>
          <w:szCs w:val="24"/>
        </w:rPr>
        <w:t>Marketquest</w:t>
      </w:r>
      <w:proofErr w:type="spellEnd"/>
      <w:r w:rsidRPr="006A4CD7">
        <w:rPr>
          <w:rFonts w:cs="Times New Roman"/>
          <w:i/>
          <w:iCs/>
          <w:szCs w:val="24"/>
        </w:rPr>
        <w:t xml:space="preserve">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Tea Rose-</w:t>
      </w:r>
      <w:proofErr w:type="spellStart"/>
      <w:r w:rsidRPr="006A4CD7">
        <w:rPr>
          <w:rFonts w:cs="Times New Roman"/>
          <w:i/>
          <w:iCs/>
          <w:szCs w:val="24"/>
        </w:rPr>
        <w:t>Rectanus</w:t>
      </w:r>
      <w:proofErr w:type="spellEnd"/>
      <w:r w:rsidRPr="006A4CD7">
        <w:rPr>
          <w:rFonts w:cs="Times New Roman"/>
          <w:i/>
          <w:iCs/>
          <w:szCs w:val="24"/>
        </w:rPr>
        <w:t xml:space="preserve">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327B4D06" w:rsidR="006A4CD7" w:rsidRPr="006A4CD7" w:rsidRDefault="006A4CD7" w:rsidP="003E3B69">
      <w:pPr>
        <w:pStyle w:val="Heading2"/>
      </w:pPr>
      <w:r w:rsidRPr="006A4CD7">
        <w:br w:type="page"/>
      </w:r>
      <w:bookmarkStart w:id="275" w:name="_Toc117512558"/>
      <w:r w:rsidRPr="006A4CD7">
        <w:t xml:space="preserve">15.25 </w:t>
      </w:r>
      <w:r w:rsidR="00BF24DD" w:rsidRPr="00BF24DD">
        <w:t>Defenses—Nominative Fair Use</w:t>
      </w:r>
      <w:bookmarkEnd w:id="275"/>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ultimate goal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Uses the mark in connection with the plaintiff’s [product] [service], which was not readily identifiable without use of that [trademark] [mark];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defendant’s.  A defendant’s use of the plaintiff’s trademark to describe the plaintiff’s product may not necessarily suggest plaintiff’s sponsorship or endorsement, even if the defendant’s ultimate goal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4CD20010" w14:textId="77777777" w:rsidR="00604299" w:rsidRDefault="006A4CD7" w:rsidP="00315B5D">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w:t>
      </w:r>
    </w:p>
    <w:p w14:paraId="10E29933" w14:textId="77777777" w:rsidR="00604299" w:rsidRDefault="00604299" w:rsidP="00315B5D">
      <w:pPr>
        <w:autoSpaceDE w:val="0"/>
        <w:autoSpaceDN w:val="0"/>
        <w:adjustRightInd w:val="0"/>
        <w:rPr>
          <w:rFonts w:cs="Times New Roman"/>
          <w:szCs w:val="24"/>
        </w:rPr>
      </w:pPr>
    </w:p>
    <w:p w14:paraId="2DF7786D" w14:textId="601C0521" w:rsidR="006A4CD7" w:rsidRDefault="006A4CD7" w:rsidP="00315B5D">
      <w:pPr>
        <w:autoSpaceDE w:val="0"/>
        <w:autoSpaceDN w:val="0"/>
        <w:adjustRightInd w:val="0"/>
        <w:rPr>
          <w:rFonts w:cs="Times New Roman"/>
          <w:szCs w:val="24"/>
        </w:rPr>
      </w:pPr>
      <w:r w:rsidRPr="006A4CD7">
        <w:rPr>
          <w:rFonts w:cs="Times New Roman"/>
          <w:szCs w:val="24"/>
        </w:rPr>
        <w:t xml:space="preserve">help in competing with the mark owner does not mean the use was not a fair use.] </w:t>
      </w:r>
    </w:p>
    <w:p w14:paraId="2DFDA765" w14:textId="77777777" w:rsidR="00604299" w:rsidRPr="00315B5D" w:rsidRDefault="00604299" w:rsidP="00315B5D">
      <w:pPr>
        <w:autoSpaceDE w:val="0"/>
        <w:autoSpaceDN w:val="0"/>
        <w:adjustRightInd w:val="0"/>
        <w:rPr>
          <w:rFonts w:cs="Times New Roman"/>
          <w:szCs w:val="24"/>
        </w:rPr>
      </w:pPr>
    </w:p>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6E93ED2"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(citation omitted) (emphasis in original).  </w:t>
      </w:r>
      <w:r w:rsidRPr="006A4CD7">
        <w:rPr>
          <w:rFonts w:cs="Times New Roman"/>
          <w:i/>
          <w:iCs/>
          <w:szCs w:val="24"/>
        </w:rPr>
        <w:t>See</w:t>
      </w:r>
      <w:r w:rsidRPr="006A4CD7">
        <w:rPr>
          <w:rFonts w:cs="Times New Roman"/>
          <w:szCs w:val="24"/>
        </w:rPr>
        <w:t xml:space="preserve"> Instruction 15.24 (Defenses</w:t>
      </w:r>
      <w:r w:rsidR="00644AB3" w:rsidRPr="006A4CD7">
        <w:rPr>
          <w:rFonts w:cs="Times New Roman"/>
          <w:szCs w:val="24"/>
        </w:rPr>
        <w:t>— “</w:t>
      </w:r>
      <w:r w:rsidRPr="006A4CD7">
        <w:rPr>
          <w:rFonts w:cs="Times New Roman"/>
          <w:szCs w:val="24"/>
        </w:rPr>
        <w:t xml:space="preserve">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1D0AF40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w:t>
      </w:r>
      <w:r w:rsidRPr="00644AB3">
        <w:rPr>
          <w:rFonts w:cs="Times New Roman"/>
          <w:i/>
          <w:iCs/>
          <w:szCs w:val="24"/>
        </w:rPr>
        <w:t>Holbrook &amp; Harris</w:t>
      </w:r>
      <w:r w:rsidRPr="006A4CD7">
        <w:rPr>
          <w:rFonts w:cs="Times New Roman"/>
          <w:szCs w:val="24"/>
        </w:rPr>
        <w:t xml:space="preserve">,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w:t>
      </w:r>
      <w:r w:rsidR="00644AB3" w:rsidRPr="006A4CD7">
        <w:rPr>
          <w:rFonts w:cs="Times New Roman"/>
          <w:szCs w:val="24"/>
        </w:rPr>
        <w:t>. . ..</w:t>
      </w:r>
      <w:r w:rsidRPr="006A4CD7">
        <w:rPr>
          <w:rFonts w:cs="Times New Roman"/>
          <w:szCs w:val="24"/>
        </w:rPr>
        <w:t xml:space="preserve"> The few exceptions are very limited and include only those cases involving fraud or possible loss of individual liberty, citizenship, or parental rights. ‘The interests at stake in those cases are deemed to be more substantial than the mere loss of money </w:t>
      </w:r>
      <w:r w:rsidR="00644AB3" w:rsidRPr="006A4CD7">
        <w:rPr>
          <w:rFonts w:cs="Times New Roman"/>
          <w:szCs w:val="24"/>
        </w:rPr>
        <w:t>. . .’</w:t>
      </w:r>
      <w:r w:rsidRPr="006A4CD7">
        <w:rPr>
          <w:rFonts w:cs="Times New Roman"/>
          <w:szCs w:val="24"/>
        </w:rPr>
        <w:t xml:space="preserve">.”)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proofErr w:type="spellStart"/>
      <w:r w:rsidRPr="006A4CD7">
        <w:rPr>
          <w:rFonts w:cs="Times New Roman"/>
          <w:i/>
          <w:iCs/>
          <w:szCs w:val="24"/>
        </w:rPr>
        <w:t>Horphag</w:t>
      </w:r>
      <w:proofErr w:type="spellEnd"/>
      <w:r w:rsidRPr="006A4CD7">
        <w:rPr>
          <w:rFonts w:cs="Times New Roman"/>
          <w:i/>
          <w:iCs/>
          <w:szCs w:val="24"/>
        </w:rPr>
        <w:t xml:space="preserve">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xml:space="preserve">, 292 F.3d at 1151 (“The nominative fair use analysis is appropriate where a defendant has used the plaintiff’s mark to describe the plaintiff’s product, even if the defendant’s ultimate goal is to describe his own product.” (footnote omitted)).  The nominative fair use defense is unavailable if the marks are 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181B5383"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w:t>
      </w:r>
      <w:r w:rsidR="002E554E" w:rsidRPr="006A4CD7">
        <w:rPr>
          <w:rFonts w:cs="Times New Roman"/>
          <w:szCs w:val="24"/>
        </w:rPr>
        <w:t>— “</w:t>
      </w:r>
      <w:r w:rsidRPr="006A4CD7">
        <w:rPr>
          <w:rFonts w:cs="Times New Roman"/>
          <w:szCs w:val="24"/>
        </w:rPr>
        <w:t xml:space="preserve">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403CDEAE" w14:textId="3C915C33" w:rsidR="009519FE" w:rsidRPr="009519FE" w:rsidRDefault="006A4CD7" w:rsidP="00013716">
      <w:pPr>
        <w:pStyle w:val="Heading2"/>
      </w:pPr>
      <w:r w:rsidRPr="006A4CD7">
        <w:br w:type="page"/>
      </w:r>
      <w:bookmarkStart w:id="276" w:name="_Toc117512559"/>
      <w:r w:rsidRPr="009519FE">
        <w:t>15.2</w:t>
      </w:r>
      <w:r w:rsidR="00B3204F">
        <w:t>5A</w:t>
      </w:r>
      <w:r w:rsidRPr="006A4CD7">
        <w:t xml:space="preserve"> </w:t>
      </w:r>
      <w:r w:rsidR="009519FE" w:rsidRPr="009519FE">
        <w:t>Defenses—First Sale</w:t>
      </w:r>
      <w:bookmarkEnd w:id="276"/>
    </w:p>
    <w:p w14:paraId="1DA91DC6" w14:textId="77777777" w:rsidR="006A4CD7" w:rsidRPr="006A4CD7" w:rsidRDefault="006A4CD7" w:rsidP="0060759C">
      <w:pPr>
        <w:autoSpaceDE w:val="0"/>
        <w:autoSpaceDN w:val="0"/>
        <w:adjustRightInd w:val="0"/>
        <w:rPr>
          <w:rFonts w:cs="Times New Roman"/>
          <w:szCs w:val="24"/>
        </w:rPr>
      </w:pPr>
    </w:p>
    <w:p w14:paraId="4CB1342C" w14:textId="77777777" w:rsidR="009519FE" w:rsidRPr="009519FE" w:rsidRDefault="006A4CD7" w:rsidP="009519FE">
      <w:pPr>
        <w:kinsoku w:val="0"/>
        <w:overflowPunct w:val="0"/>
        <w:autoSpaceDE w:val="0"/>
        <w:autoSpaceDN w:val="0"/>
        <w:adjustRightInd w:val="0"/>
        <w:ind w:left="40" w:right="209" w:firstLine="720"/>
        <w:rPr>
          <w:rFonts w:cs="Times New Roman"/>
          <w:szCs w:val="24"/>
        </w:rPr>
      </w:pPr>
      <w:r w:rsidRPr="006A4CD7">
        <w:rPr>
          <w:rFonts w:cs="Times New Roman"/>
          <w:szCs w:val="24"/>
        </w:rPr>
        <w:tab/>
      </w:r>
      <w:r w:rsidR="009519FE" w:rsidRPr="009519FE">
        <w:rPr>
          <w:rFonts w:cs="Times New Roman"/>
          <w:szCs w:val="24"/>
        </w:rPr>
        <w:t>The defendant contends that [he] [she] [it] is not liable for trademark infringement for [distributing] [selling] [stocking] [displaying] the plaintiff’s product under the plaintiff’s trademark because there was previously an authorized sale of the item.  After the first authorized sale of an item, the holder of the item’s trademark may not claim trademark infringement for subsequent [sales] [distributions] [displays] of the item under that mark.</w:t>
      </w:r>
    </w:p>
    <w:p w14:paraId="452B4F28" w14:textId="77777777" w:rsidR="009519FE" w:rsidRPr="009519FE" w:rsidRDefault="009519FE" w:rsidP="009519FE">
      <w:pPr>
        <w:kinsoku w:val="0"/>
        <w:overflowPunct w:val="0"/>
        <w:autoSpaceDE w:val="0"/>
        <w:autoSpaceDN w:val="0"/>
        <w:adjustRightInd w:val="0"/>
        <w:rPr>
          <w:rFonts w:cs="Times New Roman"/>
          <w:szCs w:val="24"/>
        </w:rPr>
      </w:pPr>
    </w:p>
    <w:p w14:paraId="29887CD6"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If you find that the item the defendant [distributed] [sold] [stocked] [displayed] was previously subject to an authorized sale, your verdict should be for the defendant on the plaintiff’s trademark infringement claim.</w:t>
      </w:r>
    </w:p>
    <w:p w14:paraId="7429E645"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p>
    <w:p w14:paraId="0673DEAE" w14:textId="77777777" w:rsidR="009519FE" w:rsidRPr="009519FE" w:rsidRDefault="009519FE" w:rsidP="009519FE">
      <w:pPr>
        <w:spacing w:after="160" w:line="259" w:lineRule="auto"/>
        <w:jc w:val="center"/>
        <w:rPr>
          <w:rFonts w:cs="Times New Roman"/>
          <w:b/>
          <w:bCs/>
          <w:szCs w:val="24"/>
        </w:rPr>
      </w:pPr>
      <w:r w:rsidRPr="009519FE">
        <w:rPr>
          <w:rFonts w:cs="Times New Roman"/>
          <w:b/>
          <w:bCs/>
          <w:szCs w:val="24"/>
        </w:rPr>
        <w:t>Comment</w:t>
      </w:r>
    </w:p>
    <w:p w14:paraId="26326532"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The first sale doctrine is an affirmative defense to trademark infringement.  </w:t>
      </w:r>
      <w:r w:rsidRPr="009519FE">
        <w:rPr>
          <w:rFonts w:cs="Times New Roman"/>
          <w:i/>
          <w:iCs/>
          <w:szCs w:val="24"/>
        </w:rPr>
        <w:t>See Bluetooth SIG Inc. v. FCA US LLC</w:t>
      </w:r>
      <w:r w:rsidRPr="009519FE">
        <w:rPr>
          <w:rFonts w:cs="Times New Roman"/>
          <w:szCs w:val="24"/>
        </w:rPr>
        <w:t xml:space="preserve">, 30 F.4th 870, 871 (9th Cir. 2022).  “Under the first sale doctrine, ‘with certain well-defined exceptions, the right of a producer to control the distribution of its trademarked product does not extend beyond the first sale of the product.’”  </w:t>
      </w:r>
      <w:r w:rsidRPr="009519FE">
        <w:rPr>
          <w:rFonts w:cs="Times New Roman"/>
          <w:i/>
          <w:iCs/>
          <w:szCs w:val="24"/>
        </w:rPr>
        <w:t xml:space="preserve">Id. </w:t>
      </w:r>
      <w:r w:rsidRPr="009519FE">
        <w:rPr>
          <w:rFonts w:cs="Times New Roman"/>
          <w:szCs w:val="24"/>
        </w:rPr>
        <w:t xml:space="preserve">at 872 (quoting </w:t>
      </w:r>
      <w:r w:rsidRPr="009519FE">
        <w:rPr>
          <w:rFonts w:cs="Times New Roman"/>
          <w:i/>
          <w:iCs/>
          <w:szCs w:val="24"/>
        </w:rPr>
        <w:t>Sebastian Int’l, Inc. v. Longs Drug Stores Corp.</w:t>
      </w:r>
      <w:r w:rsidRPr="009519FE">
        <w:rPr>
          <w:rFonts w:cs="Times New Roman"/>
          <w:szCs w:val="24"/>
        </w:rPr>
        <w:t xml:space="preserve">, 53 F.3d 1073, 1074 (9th Cir. 1995) (per </w:t>
      </w:r>
      <w:proofErr w:type="spellStart"/>
      <w:r w:rsidRPr="009519FE">
        <w:rPr>
          <w:rFonts w:cs="Times New Roman"/>
          <w:szCs w:val="24"/>
        </w:rPr>
        <w:t>curiam</w:t>
      </w:r>
      <w:proofErr w:type="spellEnd"/>
      <w:r w:rsidRPr="009519FE">
        <w:rPr>
          <w:rFonts w:cs="Times New Roman"/>
          <w:szCs w:val="24"/>
        </w:rPr>
        <w:t xml:space="preserve">)).  “Trademark rights are ‘exhausted’ as to a given item upon the first authorized sale of that item.”  </w:t>
      </w:r>
      <w:r w:rsidRPr="009519FE">
        <w:rPr>
          <w:rFonts w:cs="Times New Roman"/>
          <w:i/>
          <w:iCs/>
          <w:szCs w:val="24"/>
        </w:rPr>
        <w:t>Bluetooth</w:t>
      </w:r>
      <w:r w:rsidRPr="009519FE">
        <w:rPr>
          <w:rFonts w:cs="Times New Roman"/>
          <w:szCs w:val="24"/>
        </w:rPr>
        <w:t xml:space="preserve">, 30 F.4th at 872 (quoting </w:t>
      </w:r>
      <w:r w:rsidRPr="009519FE">
        <w:rPr>
          <w:rFonts w:cs="Times New Roman"/>
          <w:i/>
          <w:iCs/>
          <w:szCs w:val="24"/>
        </w:rPr>
        <w:t xml:space="preserve">McCarthy on Trademarks and Unfair Competition </w:t>
      </w:r>
      <w:r w:rsidRPr="009519FE">
        <w:rPr>
          <w:rFonts w:cs="Times New Roman"/>
          <w:szCs w:val="24"/>
        </w:rPr>
        <w:t>§ 25:41).</w:t>
      </w:r>
    </w:p>
    <w:p w14:paraId="7660FA8A" w14:textId="77777777" w:rsidR="009519FE" w:rsidRPr="009519FE" w:rsidRDefault="009519FE" w:rsidP="009519FE">
      <w:pPr>
        <w:kinsoku w:val="0"/>
        <w:overflowPunct w:val="0"/>
        <w:autoSpaceDE w:val="0"/>
        <w:autoSpaceDN w:val="0"/>
        <w:adjustRightInd w:val="0"/>
        <w:rPr>
          <w:rFonts w:cs="Times New Roman"/>
          <w:szCs w:val="24"/>
        </w:rPr>
      </w:pPr>
    </w:p>
    <w:p w14:paraId="01787600" w14:textId="77777777" w:rsidR="009519FE" w:rsidRPr="009519FE" w:rsidRDefault="009519FE" w:rsidP="009519FE">
      <w:pPr>
        <w:kinsoku w:val="0"/>
        <w:overflowPunct w:val="0"/>
        <w:autoSpaceDE w:val="0"/>
        <w:autoSpaceDN w:val="0"/>
        <w:adjustRightInd w:val="0"/>
        <w:ind w:left="40" w:right="209" w:firstLine="720"/>
        <w:rPr>
          <w:rFonts w:cs="Times New Roman"/>
          <w:szCs w:val="24"/>
        </w:rPr>
      </w:pPr>
      <w:r w:rsidRPr="009519FE">
        <w:rPr>
          <w:rFonts w:cs="Times New Roman"/>
          <w:szCs w:val="24"/>
        </w:rPr>
        <w:t xml:space="preserve">Application of the first sale doctrine “has generally focused on the likelihood of confusion among consumers,” </w:t>
      </w:r>
      <w:r w:rsidRPr="009519FE">
        <w:rPr>
          <w:rFonts w:cs="Times New Roman"/>
          <w:i/>
          <w:iCs/>
          <w:szCs w:val="24"/>
        </w:rPr>
        <w:t>Au-</w:t>
      </w:r>
      <w:proofErr w:type="spellStart"/>
      <w:r w:rsidRPr="009519FE">
        <w:rPr>
          <w:rFonts w:cs="Times New Roman"/>
          <w:i/>
          <w:iCs/>
          <w:szCs w:val="24"/>
        </w:rPr>
        <w:t>Tomotive</w:t>
      </w:r>
      <w:proofErr w:type="spellEnd"/>
      <w:r w:rsidRPr="009519FE">
        <w:rPr>
          <w:rFonts w:cs="Times New Roman"/>
          <w:i/>
          <w:iCs/>
          <w:szCs w:val="24"/>
        </w:rPr>
        <w:t xml:space="preserve"> Gold Inc. v. Volkswagen of America, Inc.</w:t>
      </w:r>
      <w:r w:rsidRPr="009519FE">
        <w:rPr>
          <w:rFonts w:cs="Times New Roman"/>
          <w:szCs w:val="24"/>
        </w:rPr>
        <w:t xml:space="preserve">, 603 F.3d 1133, 1136 (9th Cir. 2010).  Its “essence” is that “a purchaser who does no more than stock, display, and resell a producer’s product under the producer’s trademark violates no right conferred upon the producer by the Lanham Act.”  </w:t>
      </w:r>
      <w:r w:rsidRPr="009519FE">
        <w:rPr>
          <w:rFonts w:cs="Times New Roman"/>
          <w:i/>
          <w:iCs/>
          <w:szCs w:val="24"/>
        </w:rPr>
        <w:t>Sebastian</w:t>
      </w:r>
      <w:r w:rsidRPr="009519FE">
        <w:rPr>
          <w:rFonts w:cs="Times New Roman"/>
          <w:szCs w:val="24"/>
        </w:rPr>
        <w:t>, 53 F.3d at 1076.  However, “[b]</w:t>
      </w:r>
      <w:proofErr w:type="spellStart"/>
      <w:r w:rsidRPr="009519FE">
        <w:rPr>
          <w:rFonts w:cs="Times New Roman"/>
          <w:szCs w:val="24"/>
        </w:rPr>
        <w:t>inding</w:t>
      </w:r>
      <w:proofErr w:type="spellEnd"/>
      <w:r w:rsidRPr="009519FE">
        <w:rPr>
          <w:rFonts w:cs="Times New Roman"/>
          <w:szCs w:val="24"/>
        </w:rPr>
        <w:t xml:space="preserve"> precedent extends the first sale doctrine beyond what </w:t>
      </w:r>
      <w:r w:rsidRPr="009519FE">
        <w:rPr>
          <w:rFonts w:cs="Times New Roman"/>
          <w:i/>
          <w:iCs/>
          <w:szCs w:val="24"/>
        </w:rPr>
        <w:t xml:space="preserve">Sebastian </w:t>
      </w:r>
      <w:r w:rsidRPr="009519FE">
        <w:rPr>
          <w:rFonts w:cs="Times New Roman"/>
          <w:szCs w:val="24"/>
        </w:rPr>
        <w:t xml:space="preserve">described as the doctrine’s ‘essence.’”  </w:t>
      </w:r>
      <w:r w:rsidRPr="009519FE">
        <w:rPr>
          <w:rFonts w:cs="Times New Roman"/>
          <w:i/>
          <w:iCs/>
          <w:szCs w:val="24"/>
        </w:rPr>
        <w:t>Bluetooth</w:t>
      </w:r>
      <w:r w:rsidRPr="009519FE">
        <w:rPr>
          <w:rFonts w:cs="Times New Roman"/>
          <w:szCs w:val="24"/>
        </w:rPr>
        <w:t xml:space="preserve">, 30 F.4th at 873.  The first sale doctrine’s accommodation between the policies of protecting good will and preventing confusion on the one hand, and preserving an area for competition on the other, raises different issues in the context of pure resales (where confusion ordinarily does not exist), than in the context of incorporated products, where the likelihood of confusion “will depend in some way on how a seller uses the mark of the incorporated product in connection with a new product.”  </w:t>
      </w:r>
      <w:r w:rsidRPr="009519FE">
        <w:rPr>
          <w:rFonts w:cs="Times New Roman"/>
          <w:i/>
          <w:iCs/>
          <w:szCs w:val="24"/>
        </w:rPr>
        <w:t>Id.</w:t>
      </w:r>
    </w:p>
    <w:p w14:paraId="055386D7" w14:textId="77777777" w:rsidR="009519FE" w:rsidRPr="009519FE" w:rsidRDefault="009519FE" w:rsidP="009519FE">
      <w:pPr>
        <w:kinsoku w:val="0"/>
        <w:overflowPunct w:val="0"/>
        <w:autoSpaceDE w:val="0"/>
        <w:autoSpaceDN w:val="0"/>
        <w:adjustRightInd w:val="0"/>
        <w:rPr>
          <w:rFonts w:cs="Times New Roman"/>
          <w:szCs w:val="24"/>
        </w:rPr>
      </w:pPr>
    </w:p>
    <w:p w14:paraId="7068995B" w14:textId="77777777" w:rsidR="009519FE" w:rsidRPr="009519FE" w:rsidRDefault="009519FE" w:rsidP="009519FE">
      <w:pPr>
        <w:kinsoku w:val="0"/>
        <w:overflowPunct w:val="0"/>
        <w:ind w:firstLine="720"/>
        <w:rPr>
          <w:rFonts w:cs="Times New Roman"/>
          <w:szCs w:val="24"/>
        </w:rPr>
      </w:pPr>
      <w:r w:rsidRPr="009519FE">
        <w:rPr>
          <w:rFonts w:cs="Times New Roman"/>
          <w:szCs w:val="24"/>
        </w:rPr>
        <w:t xml:space="preserve">For instance, a retailer may repackage a producer’s trademarked goods, so long as it discloses the fact of repackaging to the public.  </w:t>
      </w:r>
      <w:r w:rsidRPr="009519FE">
        <w:rPr>
          <w:rFonts w:cs="Times New Roman"/>
          <w:i/>
          <w:iCs/>
          <w:szCs w:val="24"/>
        </w:rPr>
        <w:t>Enesco Corp. v. Price/Costco Inc.</w:t>
      </w:r>
      <w:r w:rsidRPr="009519FE">
        <w:rPr>
          <w:rFonts w:cs="Times New Roman"/>
          <w:szCs w:val="24"/>
        </w:rPr>
        <w:t xml:space="preserve">, 146 F.3d 1083, 1086-87 (9th Cir. 1998).  Similarly, a manufacturer may modify a producer’s trademarked product and use the mark to indicate that the “[trademarked] product is a constituent in the article now offered as new and changed.”  </w:t>
      </w:r>
      <w:proofErr w:type="spellStart"/>
      <w:r w:rsidRPr="009519FE">
        <w:rPr>
          <w:rFonts w:cs="Times New Roman"/>
          <w:i/>
          <w:iCs/>
          <w:szCs w:val="24"/>
        </w:rPr>
        <w:t>Prestonettes</w:t>
      </w:r>
      <w:proofErr w:type="spellEnd"/>
      <w:r w:rsidRPr="009519FE">
        <w:rPr>
          <w:rFonts w:cs="Times New Roman"/>
          <w:i/>
          <w:iCs/>
          <w:szCs w:val="24"/>
        </w:rPr>
        <w:t>, Inc. v. Coty</w:t>
      </w:r>
      <w:r w:rsidRPr="009519FE">
        <w:rPr>
          <w:rFonts w:cs="Times New Roman"/>
          <w:szCs w:val="24"/>
        </w:rPr>
        <w:t>, 264 U.S. 359, 369 (1924).  The first sale doctrine permits use of a mark “to refer to a component incorporated into a new end product,” such as an auto manufacturer’s display of the word “Bluetooth” in a vehicle containing</w:t>
      </w:r>
    </w:p>
    <w:p w14:paraId="77D026AF"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t xml:space="preserve">a Bluetooth-equipped head unit.  </w:t>
      </w:r>
      <w:r w:rsidRPr="009519FE">
        <w:rPr>
          <w:rFonts w:cs="Times New Roman"/>
          <w:i/>
          <w:iCs/>
          <w:szCs w:val="24"/>
        </w:rPr>
        <w:t>Bluetooth</w:t>
      </w:r>
      <w:r w:rsidRPr="009519FE">
        <w:rPr>
          <w:rFonts w:cs="Times New Roman"/>
          <w:szCs w:val="24"/>
        </w:rPr>
        <w:t xml:space="preserve">, 30 F.4th at 872-73.  However, the seller’s disclosure of how a trademarked product was incorporated must be adequate, and a seller’s liability is </w:t>
      </w:r>
    </w:p>
    <w:p w14:paraId="0768F473" w14:textId="77777777" w:rsidR="009519FE" w:rsidRPr="009519FE" w:rsidRDefault="009519FE" w:rsidP="009519FE">
      <w:pPr>
        <w:kinsoku w:val="0"/>
        <w:overflowPunct w:val="0"/>
        <w:autoSpaceDE w:val="0"/>
        <w:autoSpaceDN w:val="0"/>
        <w:adjustRightInd w:val="0"/>
        <w:rPr>
          <w:rFonts w:cs="Times New Roman"/>
          <w:szCs w:val="24"/>
        </w:rPr>
      </w:pPr>
    </w:p>
    <w:p w14:paraId="3F8EBB33" w14:textId="77777777" w:rsidR="009519FE" w:rsidRPr="009519FE" w:rsidRDefault="009519FE" w:rsidP="009519FE">
      <w:pPr>
        <w:kinsoku w:val="0"/>
        <w:overflowPunct w:val="0"/>
        <w:autoSpaceDE w:val="0"/>
        <w:autoSpaceDN w:val="0"/>
        <w:adjustRightInd w:val="0"/>
        <w:rPr>
          <w:rFonts w:cs="Times New Roman"/>
          <w:szCs w:val="24"/>
        </w:rPr>
      </w:pPr>
      <w:r w:rsidRPr="009519FE">
        <w:rPr>
          <w:rFonts w:cs="Times New Roman"/>
          <w:szCs w:val="24"/>
        </w:rPr>
        <w:t xml:space="preserve">limited by the first sale doctrine only “to the extent that adequate disclosures are made.”  </w:t>
      </w:r>
      <w:r w:rsidRPr="009519FE">
        <w:rPr>
          <w:rFonts w:cs="Times New Roman"/>
          <w:i/>
          <w:iCs/>
          <w:szCs w:val="24"/>
        </w:rPr>
        <w:t>Id.</w:t>
      </w:r>
    </w:p>
    <w:p w14:paraId="61B07010" w14:textId="77777777" w:rsidR="009519FE" w:rsidRPr="009519FE" w:rsidRDefault="009519FE" w:rsidP="009519FE">
      <w:pPr>
        <w:spacing w:after="160" w:line="259" w:lineRule="auto"/>
        <w:rPr>
          <w:rFonts w:asciiTheme="minorHAnsi" w:hAnsiTheme="minorHAnsi"/>
          <w:sz w:val="22"/>
        </w:rPr>
      </w:pPr>
    </w:p>
    <w:p w14:paraId="48C7FC2A" w14:textId="0E95A0A7" w:rsidR="009519FE" w:rsidRDefault="009519FE" w:rsidP="009519FE">
      <w:pPr>
        <w:spacing w:after="160" w:line="259" w:lineRule="auto"/>
        <w:jc w:val="right"/>
        <w:rPr>
          <w:rFonts w:cs="Times New Roman"/>
          <w:i/>
          <w:iCs/>
          <w:szCs w:val="24"/>
        </w:rPr>
      </w:pPr>
      <w:r w:rsidRPr="009519FE">
        <w:rPr>
          <w:rFonts w:cs="Times New Roman"/>
          <w:i/>
          <w:iCs/>
          <w:szCs w:val="24"/>
        </w:rPr>
        <w:t>Revised June 2022</w:t>
      </w:r>
    </w:p>
    <w:p w14:paraId="1D40E755" w14:textId="5DF7785A" w:rsidR="005B0AB0" w:rsidRDefault="005B0AB0" w:rsidP="009519FE">
      <w:pPr>
        <w:spacing w:after="160" w:line="259" w:lineRule="auto"/>
        <w:jc w:val="right"/>
        <w:rPr>
          <w:rFonts w:cs="Times New Roman"/>
          <w:i/>
          <w:iCs/>
          <w:szCs w:val="24"/>
        </w:rPr>
      </w:pPr>
    </w:p>
    <w:p w14:paraId="79D0F1AE" w14:textId="5FD48A02" w:rsidR="005B0AB0" w:rsidRDefault="005B0AB0" w:rsidP="009519FE">
      <w:pPr>
        <w:spacing w:after="160" w:line="259" w:lineRule="auto"/>
        <w:jc w:val="right"/>
        <w:rPr>
          <w:rFonts w:cs="Times New Roman"/>
          <w:i/>
          <w:iCs/>
          <w:szCs w:val="24"/>
        </w:rPr>
      </w:pPr>
    </w:p>
    <w:p w14:paraId="77BF5AD8" w14:textId="030D14CC" w:rsidR="005B0AB0" w:rsidRDefault="005B0AB0" w:rsidP="009519FE">
      <w:pPr>
        <w:spacing w:after="160" w:line="259" w:lineRule="auto"/>
        <w:jc w:val="right"/>
        <w:rPr>
          <w:rFonts w:cs="Times New Roman"/>
          <w:i/>
          <w:iCs/>
          <w:szCs w:val="24"/>
        </w:rPr>
      </w:pPr>
    </w:p>
    <w:p w14:paraId="27E38132" w14:textId="5DE01FA6" w:rsidR="005B0AB0" w:rsidRDefault="005B0AB0" w:rsidP="009519FE">
      <w:pPr>
        <w:spacing w:after="160" w:line="259" w:lineRule="auto"/>
        <w:jc w:val="right"/>
        <w:rPr>
          <w:rFonts w:cs="Times New Roman"/>
          <w:i/>
          <w:iCs/>
          <w:szCs w:val="24"/>
        </w:rPr>
      </w:pPr>
    </w:p>
    <w:p w14:paraId="7A2B14E5" w14:textId="61CD7D1D" w:rsidR="005B0AB0" w:rsidRDefault="005B0AB0" w:rsidP="009519FE">
      <w:pPr>
        <w:spacing w:after="160" w:line="259" w:lineRule="auto"/>
        <w:jc w:val="right"/>
        <w:rPr>
          <w:rFonts w:cs="Times New Roman"/>
          <w:i/>
          <w:iCs/>
          <w:szCs w:val="24"/>
        </w:rPr>
      </w:pPr>
    </w:p>
    <w:p w14:paraId="2345BF58" w14:textId="45CA4578" w:rsidR="005B0AB0" w:rsidRDefault="005B0AB0" w:rsidP="009519FE">
      <w:pPr>
        <w:spacing w:after="160" w:line="259" w:lineRule="auto"/>
        <w:jc w:val="right"/>
        <w:rPr>
          <w:rFonts w:cs="Times New Roman"/>
          <w:i/>
          <w:iCs/>
          <w:szCs w:val="24"/>
        </w:rPr>
      </w:pPr>
    </w:p>
    <w:p w14:paraId="7BD7F6C4" w14:textId="2722A5CE" w:rsidR="005B0AB0" w:rsidRDefault="005B0AB0" w:rsidP="009519FE">
      <w:pPr>
        <w:spacing w:after="160" w:line="259" w:lineRule="auto"/>
        <w:jc w:val="right"/>
        <w:rPr>
          <w:rFonts w:cs="Times New Roman"/>
          <w:i/>
          <w:iCs/>
          <w:szCs w:val="24"/>
        </w:rPr>
      </w:pPr>
    </w:p>
    <w:p w14:paraId="773F9930" w14:textId="5DE4BFF8" w:rsidR="005B0AB0" w:rsidRDefault="005B0AB0" w:rsidP="009519FE">
      <w:pPr>
        <w:spacing w:after="160" w:line="259" w:lineRule="auto"/>
        <w:jc w:val="right"/>
        <w:rPr>
          <w:rFonts w:cs="Times New Roman"/>
          <w:i/>
          <w:iCs/>
          <w:szCs w:val="24"/>
        </w:rPr>
      </w:pPr>
    </w:p>
    <w:p w14:paraId="2BA57EE9" w14:textId="0702871E" w:rsidR="005B0AB0" w:rsidRDefault="005B0AB0" w:rsidP="009519FE">
      <w:pPr>
        <w:spacing w:after="160" w:line="259" w:lineRule="auto"/>
        <w:jc w:val="right"/>
        <w:rPr>
          <w:rFonts w:cs="Times New Roman"/>
          <w:i/>
          <w:iCs/>
          <w:szCs w:val="24"/>
        </w:rPr>
      </w:pPr>
    </w:p>
    <w:p w14:paraId="07062E8B" w14:textId="13343728" w:rsidR="005B0AB0" w:rsidRDefault="005B0AB0" w:rsidP="009519FE">
      <w:pPr>
        <w:spacing w:after="160" w:line="259" w:lineRule="auto"/>
        <w:jc w:val="right"/>
        <w:rPr>
          <w:rFonts w:cs="Times New Roman"/>
          <w:i/>
          <w:iCs/>
          <w:szCs w:val="24"/>
        </w:rPr>
      </w:pPr>
    </w:p>
    <w:p w14:paraId="5534B6E6" w14:textId="62596653" w:rsidR="005B0AB0" w:rsidRDefault="005B0AB0" w:rsidP="009519FE">
      <w:pPr>
        <w:spacing w:after="160" w:line="259" w:lineRule="auto"/>
        <w:jc w:val="right"/>
        <w:rPr>
          <w:rFonts w:cs="Times New Roman"/>
          <w:i/>
          <w:iCs/>
          <w:szCs w:val="24"/>
        </w:rPr>
      </w:pPr>
    </w:p>
    <w:p w14:paraId="1AB77704" w14:textId="0B5D8768" w:rsidR="005B0AB0" w:rsidRDefault="005B0AB0" w:rsidP="009519FE">
      <w:pPr>
        <w:spacing w:after="160" w:line="259" w:lineRule="auto"/>
        <w:jc w:val="right"/>
        <w:rPr>
          <w:rFonts w:cs="Times New Roman"/>
          <w:i/>
          <w:iCs/>
          <w:szCs w:val="24"/>
        </w:rPr>
      </w:pPr>
    </w:p>
    <w:p w14:paraId="1E20680A" w14:textId="5C441781" w:rsidR="005B0AB0" w:rsidRDefault="005B0AB0" w:rsidP="009519FE">
      <w:pPr>
        <w:spacing w:after="160" w:line="259" w:lineRule="auto"/>
        <w:jc w:val="right"/>
        <w:rPr>
          <w:rFonts w:cs="Times New Roman"/>
          <w:i/>
          <w:iCs/>
          <w:szCs w:val="24"/>
        </w:rPr>
      </w:pPr>
    </w:p>
    <w:p w14:paraId="3B46A1D4" w14:textId="1FBB266C" w:rsidR="005B0AB0" w:rsidRDefault="005B0AB0" w:rsidP="009519FE">
      <w:pPr>
        <w:spacing w:after="160" w:line="259" w:lineRule="auto"/>
        <w:jc w:val="right"/>
        <w:rPr>
          <w:rFonts w:cs="Times New Roman"/>
          <w:i/>
          <w:iCs/>
          <w:szCs w:val="24"/>
        </w:rPr>
      </w:pPr>
    </w:p>
    <w:p w14:paraId="69BDBFFE" w14:textId="2F7B6D68" w:rsidR="005B0AB0" w:rsidRDefault="005B0AB0" w:rsidP="009519FE">
      <w:pPr>
        <w:spacing w:after="160" w:line="259" w:lineRule="auto"/>
        <w:jc w:val="right"/>
        <w:rPr>
          <w:rFonts w:cs="Times New Roman"/>
          <w:i/>
          <w:iCs/>
          <w:szCs w:val="24"/>
        </w:rPr>
      </w:pPr>
    </w:p>
    <w:p w14:paraId="2D210B78" w14:textId="67C1C884" w:rsidR="005B0AB0" w:rsidRDefault="005B0AB0" w:rsidP="009519FE">
      <w:pPr>
        <w:spacing w:after="160" w:line="259" w:lineRule="auto"/>
        <w:jc w:val="right"/>
        <w:rPr>
          <w:rFonts w:cs="Times New Roman"/>
          <w:i/>
          <w:iCs/>
          <w:szCs w:val="24"/>
        </w:rPr>
      </w:pPr>
    </w:p>
    <w:p w14:paraId="10366C90" w14:textId="12EF866A" w:rsidR="005B0AB0" w:rsidRDefault="005B0AB0" w:rsidP="009519FE">
      <w:pPr>
        <w:spacing w:after="160" w:line="259" w:lineRule="auto"/>
        <w:jc w:val="right"/>
        <w:rPr>
          <w:rFonts w:cs="Times New Roman"/>
          <w:i/>
          <w:iCs/>
          <w:szCs w:val="24"/>
        </w:rPr>
      </w:pPr>
    </w:p>
    <w:p w14:paraId="0A044988" w14:textId="6185A2A6" w:rsidR="005B0AB0" w:rsidRDefault="005B0AB0" w:rsidP="009519FE">
      <w:pPr>
        <w:spacing w:after="160" w:line="259" w:lineRule="auto"/>
        <w:jc w:val="right"/>
        <w:rPr>
          <w:rFonts w:cs="Times New Roman"/>
          <w:i/>
          <w:iCs/>
          <w:szCs w:val="24"/>
        </w:rPr>
      </w:pPr>
    </w:p>
    <w:p w14:paraId="5EBD95A4" w14:textId="2A229E87" w:rsidR="005B0AB0" w:rsidRDefault="005B0AB0" w:rsidP="009519FE">
      <w:pPr>
        <w:spacing w:after="160" w:line="259" w:lineRule="auto"/>
        <w:jc w:val="right"/>
        <w:rPr>
          <w:rFonts w:cs="Times New Roman"/>
          <w:i/>
          <w:iCs/>
          <w:szCs w:val="24"/>
        </w:rPr>
      </w:pPr>
    </w:p>
    <w:p w14:paraId="0D2874BE" w14:textId="64134C60" w:rsidR="005B0AB0" w:rsidRDefault="005B0AB0" w:rsidP="009519FE">
      <w:pPr>
        <w:spacing w:after="160" w:line="259" w:lineRule="auto"/>
        <w:jc w:val="right"/>
        <w:rPr>
          <w:rFonts w:cs="Times New Roman"/>
          <w:i/>
          <w:iCs/>
          <w:szCs w:val="24"/>
        </w:rPr>
      </w:pPr>
    </w:p>
    <w:p w14:paraId="5365F749" w14:textId="09CC8164" w:rsidR="005B0AB0" w:rsidRDefault="005B0AB0" w:rsidP="009519FE">
      <w:pPr>
        <w:spacing w:after="160" w:line="259" w:lineRule="auto"/>
        <w:jc w:val="right"/>
        <w:rPr>
          <w:rFonts w:cs="Times New Roman"/>
          <w:i/>
          <w:iCs/>
          <w:szCs w:val="24"/>
        </w:rPr>
      </w:pPr>
    </w:p>
    <w:p w14:paraId="058C92F4" w14:textId="7CEE41E6" w:rsidR="005B0AB0" w:rsidRDefault="005B0AB0" w:rsidP="009519FE">
      <w:pPr>
        <w:spacing w:after="160" w:line="259" w:lineRule="auto"/>
        <w:jc w:val="right"/>
        <w:rPr>
          <w:rFonts w:cs="Times New Roman"/>
          <w:i/>
          <w:iCs/>
          <w:szCs w:val="24"/>
        </w:rPr>
      </w:pPr>
    </w:p>
    <w:p w14:paraId="5B631BA6" w14:textId="04289C54" w:rsidR="005B0AB0" w:rsidRDefault="005B0AB0" w:rsidP="009519FE">
      <w:pPr>
        <w:spacing w:after="160" w:line="259" w:lineRule="auto"/>
        <w:jc w:val="right"/>
        <w:rPr>
          <w:rFonts w:cs="Times New Roman"/>
          <w:i/>
          <w:iCs/>
          <w:szCs w:val="24"/>
        </w:rPr>
      </w:pPr>
    </w:p>
    <w:p w14:paraId="25020102" w14:textId="58ED6FEF" w:rsidR="005B0AB0" w:rsidRDefault="005B0AB0" w:rsidP="009519FE">
      <w:pPr>
        <w:spacing w:after="160" w:line="259" w:lineRule="auto"/>
        <w:jc w:val="right"/>
        <w:rPr>
          <w:rFonts w:cs="Times New Roman"/>
          <w:i/>
          <w:iCs/>
          <w:szCs w:val="24"/>
        </w:rPr>
      </w:pPr>
    </w:p>
    <w:p w14:paraId="27EC053C" w14:textId="2491875F" w:rsidR="005B0AB0" w:rsidRDefault="005B0AB0" w:rsidP="009519FE">
      <w:pPr>
        <w:spacing w:after="160" w:line="259" w:lineRule="auto"/>
        <w:jc w:val="right"/>
        <w:rPr>
          <w:rFonts w:cs="Times New Roman"/>
          <w:i/>
          <w:iCs/>
          <w:szCs w:val="24"/>
        </w:rPr>
      </w:pPr>
    </w:p>
    <w:p w14:paraId="7E03004E" w14:textId="542FA466" w:rsidR="005B0AB0" w:rsidRDefault="005B0AB0" w:rsidP="009519FE">
      <w:pPr>
        <w:spacing w:after="160" w:line="259" w:lineRule="auto"/>
        <w:jc w:val="right"/>
        <w:rPr>
          <w:rFonts w:cs="Times New Roman"/>
          <w:i/>
          <w:iCs/>
          <w:szCs w:val="24"/>
        </w:rPr>
      </w:pPr>
    </w:p>
    <w:p w14:paraId="31211A9A" w14:textId="66504FA8" w:rsidR="005B0AB0" w:rsidRPr="005B0AB0" w:rsidRDefault="005B0AB0" w:rsidP="005B0AB0">
      <w:pPr>
        <w:autoSpaceDE w:val="0"/>
        <w:autoSpaceDN w:val="0"/>
        <w:adjustRightInd w:val="0"/>
        <w:jc w:val="center"/>
        <w:outlineLvl w:val="1"/>
        <w:rPr>
          <w:rFonts w:cs="Times New Roman"/>
          <w:b/>
          <w:bCs/>
          <w:szCs w:val="24"/>
        </w:rPr>
      </w:pPr>
      <w:bookmarkStart w:id="277" w:name="_Toc117512560"/>
      <w:r w:rsidRPr="005B0AB0">
        <w:rPr>
          <w:rFonts w:cs="Times New Roman"/>
          <w:b/>
          <w:bCs/>
          <w:szCs w:val="24"/>
        </w:rPr>
        <w:t>15.2</w:t>
      </w:r>
      <w:r w:rsidR="00B3204F">
        <w:rPr>
          <w:rFonts w:cs="Times New Roman"/>
          <w:b/>
          <w:bCs/>
          <w:szCs w:val="24"/>
        </w:rPr>
        <w:t>6</w:t>
      </w:r>
      <w:r w:rsidRPr="005B0AB0">
        <w:rPr>
          <w:rFonts w:cs="Times New Roman"/>
          <w:b/>
          <w:bCs/>
          <w:szCs w:val="24"/>
        </w:rPr>
        <w:t xml:space="preserve"> Trademark Damages—Actual or Statutory Notice</w:t>
      </w:r>
      <w:r w:rsidRPr="005B0AB0">
        <w:rPr>
          <w:rFonts w:cs="Times New Roman"/>
          <w:b/>
          <w:bCs/>
          <w:szCs w:val="24"/>
        </w:rPr>
        <w:br/>
        <w:t>(15 U.S.C. § 1111)</w:t>
      </w:r>
      <w:bookmarkStart w:id="278" w:name="Trademak"/>
      <w:bookmarkEnd w:id="277"/>
    </w:p>
    <w:bookmarkEnd w:id="278"/>
    <w:p w14:paraId="5E0656F1" w14:textId="77777777" w:rsidR="005B0AB0" w:rsidRPr="005B0AB0" w:rsidRDefault="005B0AB0" w:rsidP="005B0AB0">
      <w:pPr>
        <w:autoSpaceDE w:val="0"/>
        <w:autoSpaceDN w:val="0"/>
        <w:adjustRightInd w:val="0"/>
        <w:rPr>
          <w:rFonts w:cs="Times New Roman"/>
          <w:szCs w:val="24"/>
        </w:rPr>
      </w:pPr>
    </w:p>
    <w:p w14:paraId="344242F4"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In order for plaintiff to recover damages, the plaintiff has the burden of proving by a preponderance of the evidence that defendant had [either statutory or] actual notice that the plaintiff’s the trademark was registered. </w:t>
      </w:r>
    </w:p>
    <w:p w14:paraId="6D0F5797" w14:textId="77777777" w:rsidR="005B0AB0" w:rsidRPr="005B0AB0" w:rsidRDefault="005B0AB0" w:rsidP="005B0AB0">
      <w:pPr>
        <w:autoSpaceDE w:val="0"/>
        <w:autoSpaceDN w:val="0"/>
        <w:adjustRightInd w:val="0"/>
        <w:rPr>
          <w:rFonts w:cs="Times New Roman"/>
          <w:szCs w:val="24"/>
        </w:rPr>
      </w:pPr>
    </w:p>
    <w:p w14:paraId="00A02A9B" w14:textId="77777777" w:rsidR="005B0AB0" w:rsidRPr="005B0AB0" w:rsidRDefault="005B0AB0" w:rsidP="005B0AB0">
      <w:pPr>
        <w:autoSpaceDE w:val="0"/>
        <w:autoSpaceDN w:val="0"/>
        <w:adjustRightInd w:val="0"/>
        <w:rPr>
          <w:rFonts w:cs="Times New Roman"/>
          <w:szCs w:val="24"/>
        </w:rPr>
      </w:pPr>
      <w:r w:rsidRPr="005B0AB0">
        <w:rPr>
          <w:rFonts w:cs="Times New Roman"/>
          <w:szCs w:val="24"/>
        </w:rPr>
        <w:tab/>
        <w:t xml:space="preserve">[Defendant had statutory notice if:] </w:t>
      </w:r>
    </w:p>
    <w:p w14:paraId="1B8F1B68" w14:textId="77777777" w:rsidR="005B0AB0" w:rsidRPr="005B0AB0" w:rsidRDefault="005B0AB0" w:rsidP="005B0AB0">
      <w:pPr>
        <w:autoSpaceDE w:val="0"/>
        <w:autoSpaceDN w:val="0"/>
        <w:adjustRightInd w:val="0"/>
        <w:rPr>
          <w:rFonts w:cs="Times New Roman"/>
          <w:szCs w:val="24"/>
        </w:rPr>
      </w:pPr>
    </w:p>
    <w:p w14:paraId="5C1B26DE"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[1.</w:t>
      </w:r>
      <w:r w:rsidRPr="005B0AB0">
        <w:rPr>
          <w:rFonts w:cs="Times New Roman"/>
          <w:szCs w:val="24"/>
        </w:rPr>
        <w:tab/>
        <w:t xml:space="preserve">plaintiff displayed the trademark with the words “Registered in U.S. Patent and Trademark Office”] [or] </w:t>
      </w:r>
    </w:p>
    <w:p w14:paraId="18AEFFEF" w14:textId="77777777" w:rsidR="005B0AB0" w:rsidRPr="005B0AB0" w:rsidRDefault="005B0AB0" w:rsidP="005B0AB0">
      <w:pPr>
        <w:autoSpaceDE w:val="0"/>
        <w:autoSpaceDN w:val="0"/>
        <w:adjustRightInd w:val="0"/>
        <w:ind w:left="1440" w:right="720"/>
        <w:rPr>
          <w:rFonts w:cs="Times New Roman"/>
          <w:szCs w:val="24"/>
        </w:rPr>
      </w:pPr>
    </w:p>
    <w:p w14:paraId="0C9D3790"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[2.</w:t>
      </w:r>
      <w:r w:rsidRPr="005B0AB0">
        <w:rPr>
          <w:rFonts w:cs="Times New Roman"/>
          <w:szCs w:val="24"/>
        </w:rPr>
        <w:tab/>
        <w:t xml:space="preserve">plaintiff displayed the trademark with the words “Reg. U.S. Pat. &amp; Tm. Off.”] [or] </w:t>
      </w:r>
    </w:p>
    <w:p w14:paraId="06694A96" w14:textId="77777777" w:rsidR="005B0AB0" w:rsidRPr="005B0AB0" w:rsidRDefault="005B0AB0" w:rsidP="005B0AB0">
      <w:pPr>
        <w:autoSpaceDE w:val="0"/>
        <w:autoSpaceDN w:val="0"/>
        <w:adjustRightInd w:val="0"/>
        <w:ind w:left="1440" w:right="720"/>
        <w:rPr>
          <w:rFonts w:cs="Times New Roman"/>
          <w:szCs w:val="24"/>
        </w:rPr>
      </w:pPr>
    </w:p>
    <w:p w14:paraId="105F039C" w14:textId="77777777" w:rsidR="005B0AB0" w:rsidRPr="005B0AB0" w:rsidRDefault="005B0AB0" w:rsidP="005B0AB0">
      <w:pPr>
        <w:autoSpaceDE w:val="0"/>
        <w:autoSpaceDN w:val="0"/>
        <w:adjustRightInd w:val="0"/>
        <w:ind w:left="1440" w:right="720" w:hanging="720"/>
        <w:rPr>
          <w:rFonts w:cs="Times New Roman"/>
          <w:szCs w:val="24"/>
        </w:rPr>
      </w:pPr>
      <w:r w:rsidRPr="005B0AB0">
        <w:rPr>
          <w:rFonts w:cs="Times New Roman"/>
          <w:szCs w:val="24"/>
        </w:rPr>
        <w:t>[3.</w:t>
      </w:r>
      <w:r w:rsidRPr="005B0AB0">
        <w:rPr>
          <w:rFonts w:cs="Times New Roman"/>
          <w:szCs w:val="24"/>
        </w:rPr>
        <w:tab/>
        <w:t>plaintiff displayed the trademark with the letter R enclosed within a circle, thus ®.]</w:t>
      </w:r>
    </w:p>
    <w:p w14:paraId="281A241B" w14:textId="77777777" w:rsidR="005B0AB0" w:rsidRPr="005B0AB0" w:rsidRDefault="005B0AB0" w:rsidP="005B0AB0">
      <w:pPr>
        <w:autoSpaceDE w:val="0"/>
        <w:autoSpaceDN w:val="0"/>
        <w:adjustRightInd w:val="0"/>
        <w:rPr>
          <w:rFonts w:cs="Times New Roman"/>
          <w:szCs w:val="24"/>
        </w:rPr>
      </w:pPr>
    </w:p>
    <w:p w14:paraId="0DE7EEA3" w14:textId="77777777" w:rsidR="005B0AB0" w:rsidRPr="005B0AB0" w:rsidRDefault="005B0AB0" w:rsidP="005B0AB0">
      <w:pPr>
        <w:autoSpaceDE w:val="0"/>
        <w:autoSpaceDN w:val="0"/>
        <w:adjustRightInd w:val="0"/>
        <w:jc w:val="center"/>
        <w:rPr>
          <w:rFonts w:cs="Times New Roman"/>
          <w:b/>
          <w:bCs/>
          <w:szCs w:val="24"/>
        </w:rPr>
      </w:pPr>
      <w:r w:rsidRPr="005B0AB0">
        <w:rPr>
          <w:rFonts w:cs="Times New Roman"/>
          <w:b/>
          <w:bCs/>
          <w:szCs w:val="24"/>
        </w:rPr>
        <w:t>Comment</w:t>
      </w:r>
    </w:p>
    <w:p w14:paraId="15BA99FE" w14:textId="77777777" w:rsidR="005B0AB0" w:rsidRPr="005B0AB0" w:rsidRDefault="005B0AB0" w:rsidP="005B0AB0"/>
    <w:p w14:paraId="32B25049" w14:textId="77777777" w:rsidR="005B0AB0" w:rsidRPr="005B0AB0" w:rsidRDefault="005B0AB0" w:rsidP="005B0AB0">
      <w:pPr>
        <w:autoSpaceDE w:val="0"/>
        <w:autoSpaceDN w:val="0"/>
        <w:adjustRightInd w:val="0"/>
        <w:rPr>
          <w:rFonts w:asciiTheme="minorHAnsi" w:hAnsiTheme="minorHAnsi"/>
          <w:sz w:val="22"/>
        </w:rPr>
      </w:pPr>
      <w:r w:rsidRPr="005B0AB0">
        <w:rPr>
          <w:rFonts w:cs="Times New Roman"/>
          <w:szCs w:val="24"/>
        </w:rPr>
        <w:tab/>
        <w:t>Although elements of a claim in trademark may overlap with a claim in copyright, the acts do not preempt each other.</w:t>
      </w:r>
      <w:r w:rsidRPr="005B0AB0">
        <w:rPr>
          <w:rFonts w:cs="Times New Roman"/>
          <w:i/>
          <w:iCs/>
          <w:szCs w:val="24"/>
        </w:rPr>
        <w:t xml:space="preserve">  See Polar Bear Prods., Inc. v. Timex Corp</w:t>
      </w:r>
      <w:r w:rsidRPr="005B0AB0">
        <w:rPr>
          <w:rFonts w:cs="Times New Roman"/>
          <w:szCs w:val="24"/>
        </w:rPr>
        <w:t>., 384 F.3d 700, 721 &amp; n.18 (9th Cir. 2004) (“Copyright and trademark are related but distinct property rights, evidenced by different federal statutes governing their protection” so that “[a]</w:t>
      </w:r>
      <w:proofErr w:type="spellStart"/>
      <w:r w:rsidRPr="005B0AB0">
        <w:rPr>
          <w:rFonts w:cs="Times New Roman"/>
          <w:szCs w:val="24"/>
        </w:rPr>
        <w:t>lthough</w:t>
      </w:r>
      <w:proofErr w:type="spellEnd"/>
      <w:r w:rsidRPr="005B0AB0">
        <w:rPr>
          <w:rFonts w:cs="Times New Roman"/>
          <w:szCs w:val="24"/>
        </w:rPr>
        <w:t xml:space="preserve"> there is a general bar to double recovery, we caution that damages arising from a copyright violation do not necessarily overlap wholly with damages from a trademark violation, even though there might be only one underlying action.”); </w:t>
      </w:r>
      <w:r w:rsidRPr="005B0AB0">
        <w:rPr>
          <w:rFonts w:cs="Times New Roman"/>
          <w:i/>
          <w:iCs/>
          <w:szCs w:val="24"/>
        </w:rPr>
        <w:t>Nintendo of America, Inc. v. Dragon Pac. Int’l</w:t>
      </w:r>
      <w:r w:rsidRPr="005B0AB0">
        <w:rPr>
          <w:rFonts w:cs="Times New Roman"/>
          <w:szCs w:val="24"/>
        </w:rPr>
        <w:t>, 40 F.3d 1007, 1011 (9th Cir. 1994) (upholding award for statutory damages under Copyright Act and actual damages under trademark statute).</w:t>
      </w:r>
    </w:p>
    <w:p w14:paraId="20562BDE" w14:textId="3B21B5BE" w:rsidR="003E3B69" w:rsidRPr="006A4CD7" w:rsidRDefault="003E3B69" w:rsidP="009519FE">
      <w:pPr>
        <w:autoSpaceDE w:val="0"/>
        <w:autoSpaceDN w:val="0"/>
        <w:adjustRightInd w:val="0"/>
        <w:rPr>
          <w:rFonts w:cs="Times New Roman"/>
          <w:szCs w:val="24"/>
        </w:rPr>
      </w:pPr>
    </w:p>
    <w:p w14:paraId="24DDA583" w14:textId="49CA99E5" w:rsidR="003E3B69" w:rsidRPr="006A4CD7" w:rsidRDefault="006A4CD7" w:rsidP="003E3B69">
      <w:pPr>
        <w:pStyle w:val="Heading2"/>
      </w:pPr>
      <w:r w:rsidRPr="006A4CD7">
        <w:br w:type="page"/>
      </w:r>
      <w:bookmarkStart w:id="279" w:name="_Toc117512561"/>
      <w:r w:rsidRPr="006A4CD7">
        <w:t>15.2</w:t>
      </w:r>
      <w:r w:rsidR="00B3204F">
        <w:t>7</w:t>
      </w:r>
      <w:r w:rsidRPr="006A4CD7">
        <w:t xml:space="preserve"> </w:t>
      </w:r>
      <w:r w:rsidR="00BF24DD" w:rsidRPr="00BF24DD">
        <w:t>Trademark Damages—Plaintiff’s Actual Damages</w:t>
      </w:r>
      <w:r w:rsidR="003E3B69">
        <w:br/>
      </w:r>
      <w:r w:rsidRPr="006A4CD7">
        <w:t>(15 U.S.C. § 1117(a))</w:t>
      </w:r>
      <w:bookmarkEnd w:id="279"/>
    </w:p>
    <w:p w14:paraId="66235F77" w14:textId="77777777" w:rsidR="006A4CD7" w:rsidRPr="006A4CD7" w:rsidRDefault="006A4CD7" w:rsidP="0060759C">
      <w:pPr>
        <w:autoSpaceDE w:val="0"/>
        <w:autoSpaceDN w:val="0"/>
        <w:adjustRightInd w:val="0"/>
        <w:rPr>
          <w:rFonts w:cs="Times New Roman"/>
          <w:szCs w:val="24"/>
        </w:rPr>
      </w:pPr>
    </w:p>
    <w:p w14:paraId="761240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352E5628" w14:textId="77777777" w:rsidR="006A4CD7" w:rsidRPr="006A4CD7" w:rsidRDefault="006A4CD7" w:rsidP="0060759C">
      <w:pPr>
        <w:autoSpaceDE w:val="0"/>
        <w:autoSpaceDN w:val="0"/>
        <w:adjustRightInd w:val="0"/>
        <w:rPr>
          <w:rFonts w:cs="Times New Roman"/>
          <w:szCs w:val="24"/>
        </w:rPr>
      </w:pPr>
    </w:p>
    <w:p w14:paraId="4DAC1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5DEE8BAA" w14:textId="77777777" w:rsidR="006A4CD7" w:rsidRPr="006A4CD7" w:rsidRDefault="006A4CD7" w:rsidP="0060759C">
      <w:pPr>
        <w:autoSpaceDE w:val="0"/>
        <w:autoSpaceDN w:val="0"/>
        <w:adjustRightInd w:val="0"/>
        <w:rPr>
          <w:rFonts w:cs="Times New Roman"/>
          <w:szCs w:val="24"/>
        </w:rPr>
      </w:pPr>
    </w:p>
    <w:p w14:paraId="2370E8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consider the following: </w:t>
      </w:r>
    </w:p>
    <w:p w14:paraId="3D822444" w14:textId="77777777" w:rsidR="006A4CD7" w:rsidRPr="006A4CD7" w:rsidRDefault="006A4CD7" w:rsidP="0060759C">
      <w:pPr>
        <w:autoSpaceDE w:val="0"/>
        <w:autoSpaceDN w:val="0"/>
        <w:adjustRightInd w:val="0"/>
        <w:rPr>
          <w:rFonts w:cs="Times New Roman"/>
          <w:szCs w:val="24"/>
        </w:rPr>
      </w:pPr>
    </w:p>
    <w:p w14:paraId="44B628B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w:t>
      </w:r>
      <w:r w:rsidRPr="006A4CD7">
        <w:rPr>
          <w:rFonts w:cs="Times New Roman"/>
          <w:szCs w:val="24"/>
        </w:rPr>
        <w:tab/>
        <w:t xml:space="preserve">[The [injury to] [loss of] the plaintiff’s reputation][;] </w:t>
      </w:r>
    </w:p>
    <w:p w14:paraId="1B457A95" w14:textId="77777777" w:rsidR="006A4CD7" w:rsidRPr="006A4CD7" w:rsidRDefault="006A4CD7" w:rsidP="00C67800">
      <w:pPr>
        <w:autoSpaceDE w:val="0"/>
        <w:autoSpaceDN w:val="0"/>
        <w:adjustRightInd w:val="0"/>
        <w:ind w:left="1440" w:hanging="720"/>
        <w:rPr>
          <w:rFonts w:cs="Times New Roman"/>
          <w:szCs w:val="24"/>
        </w:rPr>
      </w:pPr>
    </w:p>
    <w:p w14:paraId="537C682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w:t>
      </w:r>
      <w:r w:rsidRPr="006A4CD7">
        <w:rPr>
          <w:rFonts w:cs="Times New Roman"/>
          <w:szCs w:val="24"/>
        </w:rPr>
        <w:tab/>
        <w:t xml:space="preserve">[The [injury to] [loss of] plaintiff’s goodwill, including injury to the plaintiff’s general business reputation][;] </w:t>
      </w:r>
    </w:p>
    <w:p w14:paraId="66B407E4" w14:textId="77777777" w:rsidR="006A4CD7" w:rsidRPr="006A4CD7" w:rsidRDefault="006A4CD7" w:rsidP="00C67800">
      <w:pPr>
        <w:autoSpaceDE w:val="0"/>
        <w:autoSpaceDN w:val="0"/>
        <w:adjustRightInd w:val="0"/>
        <w:ind w:left="1440" w:hanging="720"/>
        <w:rPr>
          <w:rFonts w:cs="Times New Roman"/>
          <w:szCs w:val="24"/>
        </w:rPr>
      </w:pPr>
    </w:p>
    <w:p w14:paraId="239F955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w:t>
      </w:r>
      <w:r w:rsidRPr="006A4CD7">
        <w:rPr>
          <w:rFonts w:cs="Times New Roman"/>
          <w:szCs w:val="24"/>
        </w:rPr>
        <w:tab/>
        <w:t xml:space="preserve">[The lost profits that the plaintiff would have earned but for the defendant’s infringement. Profit is determined by deducting all expenses from gross revenue][;] </w:t>
      </w:r>
    </w:p>
    <w:p w14:paraId="3C31DAF7" w14:textId="77777777" w:rsidR="006A4CD7" w:rsidRPr="006A4CD7" w:rsidRDefault="006A4CD7" w:rsidP="00C67800">
      <w:pPr>
        <w:autoSpaceDE w:val="0"/>
        <w:autoSpaceDN w:val="0"/>
        <w:adjustRightInd w:val="0"/>
        <w:ind w:left="1440" w:hanging="720"/>
        <w:rPr>
          <w:rFonts w:cs="Times New Roman"/>
          <w:szCs w:val="24"/>
        </w:rPr>
      </w:pPr>
    </w:p>
    <w:p w14:paraId="5FAA08D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w:t>
      </w:r>
      <w:r w:rsidRPr="006A4CD7">
        <w:rPr>
          <w:rFonts w:cs="Times New Roman"/>
          <w:szCs w:val="24"/>
        </w:rPr>
        <w:tab/>
        <w:t xml:space="preserve">[The expense of preventing customers from being deceived][;] </w:t>
      </w:r>
    </w:p>
    <w:p w14:paraId="1921715A" w14:textId="77777777" w:rsidR="006A4CD7" w:rsidRPr="006A4CD7" w:rsidRDefault="006A4CD7" w:rsidP="00C67800">
      <w:pPr>
        <w:autoSpaceDE w:val="0"/>
        <w:autoSpaceDN w:val="0"/>
        <w:adjustRightInd w:val="0"/>
        <w:ind w:left="1440" w:hanging="720"/>
        <w:rPr>
          <w:rFonts w:cs="Times New Roman"/>
          <w:szCs w:val="24"/>
        </w:rPr>
      </w:pPr>
    </w:p>
    <w:p w14:paraId="3306565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w:t>
      </w:r>
      <w:r w:rsidRPr="006A4CD7">
        <w:rPr>
          <w:rFonts w:cs="Times New Roman"/>
          <w:szCs w:val="24"/>
        </w:rPr>
        <w:tab/>
        <w:t xml:space="preserve">[The cost of future corrective advertising reasonably required to correct any public confusion caused by the infringement][;] [and] </w:t>
      </w:r>
    </w:p>
    <w:p w14:paraId="152B6735" w14:textId="77777777" w:rsidR="006A4CD7" w:rsidRPr="006A4CD7" w:rsidRDefault="006A4CD7" w:rsidP="00C67800">
      <w:pPr>
        <w:autoSpaceDE w:val="0"/>
        <w:autoSpaceDN w:val="0"/>
        <w:adjustRightInd w:val="0"/>
        <w:ind w:left="1440" w:hanging="720"/>
        <w:rPr>
          <w:rFonts w:cs="Times New Roman"/>
          <w:szCs w:val="24"/>
        </w:rPr>
      </w:pPr>
    </w:p>
    <w:p w14:paraId="3D230BAF"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w:t>
      </w:r>
      <w:r w:rsidRPr="006A4CD7">
        <w:rPr>
          <w:rFonts w:cs="Times New Roman"/>
          <w:szCs w:val="24"/>
        </w:rPr>
        <w:tab/>
        <w:t>[</w:t>
      </w:r>
      <w:r w:rsidRPr="006A4CD7">
        <w:rPr>
          <w:rFonts w:cs="Times New Roman"/>
          <w:i/>
          <w:iCs/>
          <w:szCs w:val="24"/>
          <w:u w:val="single"/>
        </w:rPr>
        <w:t>Insert any other factors that bear on plaintiff’s actual damages</w:t>
      </w:r>
      <w:r w:rsidRPr="006A4CD7">
        <w:rPr>
          <w:rFonts w:cs="Times New Roman"/>
          <w:szCs w:val="24"/>
        </w:rPr>
        <w:t xml:space="preserve">]. </w:t>
      </w:r>
    </w:p>
    <w:p w14:paraId="04841198" w14:textId="77777777" w:rsidR="006A4CD7" w:rsidRPr="006A4CD7" w:rsidRDefault="006A4CD7" w:rsidP="003E3B69"/>
    <w:p w14:paraId="59A39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752EB74D" w14:textId="77777777" w:rsidR="006A4CD7" w:rsidRPr="006A4CD7" w:rsidRDefault="006A4CD7" w:rsidP="0060759C">
      <w:pPr>
        <w:autoSpaceDE w:val="0"/>
        <w:autoSpaceDN w:val="0"/>
        <w:adjustRightInd w:val="0"/>
        <w:rPr>
          <w:rFonts w:cs="Times New Roman"/>
          <w:szCs w:val="24"/>
        </w:rPr>
      </w:pPr>
    </w:p>
    <w:p w14:paraId="1C3AF5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E6BC41" w14:textId="77777777" w:rsidR="006A4CD7" w:rsidRPr="006A4CD7" w:rsidRDefault="006A4CD7" w:rsidP="0060759C">
      <w:pPr>
        <w:autoSpaceDE w:val="0"/>
        <w:autoSpaceDN w:val="0"/>
        <w:adjustRightInd w:val="0"/>
        <w:rPr>
          <w:rFonts w:cs="Times New Roman"/>
          <w:szCs w:val="24"/>
        </w:rPr>
      </w:pPr>
    </w:p>
    <w:p w14:paraId="5AD0D9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both the fact and the amount of damages.  </w:t>
      </w:r>
      <w:r w:rsidRPr="006A4CD7">
        <w:rPr>
          <w:rFonts w:cs="Times New Roman"/>
          <w:i/>
          <w:iCs/>
          <w:szCs w:val="24"/>
        </w:rPr>
        <w:t>See Intel Corp. v. Terabyte Int’l, Inc</w:t>
      </w:r>
      <w:r w:rsidRPr="006A4CD7">
        <w:rPr>
          <w:rFonts w:cs="Times New Roman"/>
          <w:szCs w:val="24"/>
        </w:rPr>
        <w:t>., 6 F.3d 614, 621 (9th Cir. 1993);</w:t>
      </w:r>
      <w:r w:rsidRPr="006A4CD7">
        <w:rPr>
          <w:rFonts w:cs="Times New Roman"/>
          <w:i/>
          <w:iCs/>
          <w:szCs w:val="24"/>
        </w:rPr>
        <w:t xml:space="preserve"> Lindy Pen Co. v. Bic Pen Corp</w:t>
      </w:r>
      <w:r w:rsidRPr="006A4CD7">
        <w:rPr>
          <w:rFonts w:cs="Times New Roman"/>
          <w:szCs w:val="24"/>
        </w:rPr>
        <w:t xml:space="preserve">., 982 F.2d 1400, 1407 (9th Cir. 1993). </w:t>
      </w:r>
    </w:p>
    <w:p w14:paraId="19231CCB" w14:textId="77777777" w:rsidR="006A4CD7" w:rsidRPr="006A4CD7" w:rsidRDefault="006A4CD7" w:rsidP="0060759C">
      <w:pPr>
        <w:autoSpaceDE w:val="0"/>
        <w:autoSpaceDN w:val="0"/>
        <w:adjustRightInd w:val="0"/>
        <w:rPr>
          <w:rFonts w:cs="Times New Roman"/>
          <w:szCs w:val="24"/>
        </w:rPr>
      </w:pPr>
    </w:p>
    <w:p w14:paraId="11B185EA" w14:textId="77777777" w:rsidR="00604299" w:rsidRDefault="006A4CD7" w:rsidP="0060759C">
      <w:pPr>
        <w:autoSpaceDE w:val="0"/>
        <w:autoSpaceDN w:val="0"/>
        <w:adjustRightInd w:val="0"/>
        <w:rPr>
          <w:rFonts w:cs="Times New Roman"/>
          <w:i/>
          <w:iCs/>
          <w:szCs w:val="24"/>
        </w:rPr>
      </w:pPr>
      <w:r w:rsidRPr="006A4CD7">
        <w:rPr>
          <w:rFonts w:cs="Times New Roman"/>
          <w:szCs w:val="24"/>
        </w:rPr>
        <w:tab/>
        <w:t>The plaintiff’s actual damages are measured by any direct injury that plaintiff proves</w:t>
      </w:r>
      <w:r w:rsidR="00315B5D">
        <w:rPr>
          <w:rFonts w:cs="Times New Roman"/>
          <w:szCs w:val="24"/>
        </w:rPr>
        <w:t>,</w:t>
      </w:r>
      <w:r w:rsidRPr="006A4CD7">
        <w:rPr>
          <w:rFonts w:cs="Times New Roman"/>
          <w:szCs w:val="24"/>
        </w:rPr>
        <w:t xml:space="preserve"> and any lost profits plaintiff would have earned but for the infringement.  </w:t>
      </w:r>
      <w:r w:rsidRPr="006A4CD7">
        <w:rPr>
          <w:rFonts w:cs="Times New Roman"/>
          <w:i/>
          <w:iCs/>
          <w:szCs w:val="24"/>
        </w:rPr>
        <w:t>See Lindy Pen Co</w:t>
      </w:r>
      <w:r w:rsidRPr="006A4CD7">
        <w:rPr>
          <w:rFonts w:cs="Times New Roman"/>
          <w:szCs w:val="24"/>
        </w:rPr>
        <w:t xml:space="preserve">, 982 F.2d at 1407 (holding that when proof of actual damage is difficult, court may base damage award on defendant’s profits, on theory of unjust enrichment).  However, the fact that the infringer did not profit from the infringement does not preclude an award of damages. </w:t>
      </w:r>
      <w:r w:rsidRPr="006A4CD7">
        <w:rPr>
          <w:rFonts w:cs="Times New Roman"/>
          <w:i/>
          <w:iCs/>
          <w:szCs w:val="24"/>
        </w:rPr>
        <w:t xml:space="preserve"> See Intel </w:t>
      </w:r>
    </w:p>
    <w:p w14:paraId="73144826" w14:textId="770B9073" w:rsidR="006A4CD7" w:rsidRPr="006A4CD7" w:rsidRDefault="006A4CD7" w:rsidP="0060759C">
      <w:pPr>
        <w:autoSpaceDE w:val="0"/>
        <w:autoSpaceDN w:val="0"/>
        <w:adjustRightInd w:val="0"/>
        <w:rPr>
          <w:rFonts w:cs="Times New Roman"/>
          <w:szCs w:val="24"/>
        </w:rPr>
      </w:pPr>
      <w:r w:rsidRPr="006A4CD7">
        <w:rPr>
          <w:rFonts w:cs="Times New Roman"/>
          <w:i/>
          <w:iCs/>
          <w:szCs w:val="24"/>
        </w:rPr>
        <w:t>Corp</w:t>
      </w:r>
      <w:r w:rsidRPr="006A4CD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C20C0AE" w14:textId="77777777" w:rsidR="006A4CD7" w:rsidRPr="006A4CD7" w:rsidRDefault="006A4CD7" w:rsidP="0060759C">
      <w:pPr>
        <w:autoSpaceDE w:val="0"/>
        <w:autoSpaceDN w:val="0"/>
        <w:adjustRightInd w:val="0"/>
        <w:rPr>
          <w:rFonts w:cs="Times New Roman"/>
          <w:szCs w:val="24"/>
        </w:rPr>
      </w:pPr>
    </w:p>
    <w:p w14:paraId="3F8CBC30" w14:textId="699EC68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general discussion of plaintiff’s actual damages, </w:t>
      </w:r>
      <w:r w:rsidRPr="006A4CD7">
        <w:rPr>
          <w:rFonts w:cs="Times New Roman"/>
          <w:i/>
          <w:iCs/>
          <w:szCs w:val="24"/>
        </w:rPr>
        <w:t xml:space="preserve">see </w:t>
      </w:r>
      <w:r w:rsidRPr="006A4CD7">
        <w:rPr>
          <w:rFonts w:cs="Times New Roman"/>
          <w:szCs w:val="24"/>
        </w:rPr>
        <w:t>5</w:t>
      </w:r>
      <w:r w:rsidRPr="006A4CD7">
        <w:rPr>
          <w:rFonts w:cs="Times New Roman"/>
          <w:smallCaps/>
          <w:szCs w:val="24"/>
        </w:rPr>
        <w:t xml:space="preserve"> J. Thomas McCarthy, Trademarks And Unfair Competition</w:t>
      </w:r>
      <w:r w:rsidRPr="006A4CD7">
        <w:rPr>
          <w:rFonts w:cs="Times New Roman"/>
          <w:szCs w:val="24"/>
        </w:rPr>
        <w:t xml:space="preserve"> § 30:72 (4th ed. 2015). </w:t>
      </w:r>
      <w:r w:rsidRPr="006A4CD7">
        <w:rPr>
          <w:rFonts w:cs="Times New Roman"/>
          <w:i/>
          <w:iCs/>
          <w:szCs w:val="24"/>
        </w:rPr>
        <w:t xml:space="preserve"> See also</w:t>
      </w:r>
      <w:r w:rsidRPr="006A4CD7">
        <w:rPr>
          <w:rFonts w:cs="Times New Roman"/>
          <w:szCs w:val="24"/>
        </w:rPr>
        <w:t xml:space="preserve"> 1a </w:t>
      </w:r>
      <w:r w:rsidRPr="006A4CD7">
        <w:rPr>
          <w:rFonts w:cs="Times New Roman"/>
          <w:smallCaps/>
          <w:szCs w:val="24"/>
        </w:rPr>
        <w:t>Jerome Gilson, Trademark Protection and Practice</w:t>
      </w:r>
      <w:r w:rsidRPr="006A4CD7">
        <w:rPr>
          <w:rFonts w:cs="Times New Roman"/>
          <w:szCs w:val="24"/>
        </w:rPr>
        <w:t xml:space="preserve"> § 8.08(2) (1996) (listing examples of recoverable damages). </w:t>
      </w:r>
    </w:p>
    <w:p w14:paraId="151C4359" w14:textId="77777777" w:rsidR="006A4CD7" w:rsidRPr="006A4CD7" w:rsidRDefault="006A4CD7" w:rsidP="0060759C">
      <w:pPr>
        <w:autoSpaceDE w:val="0"/>
        <w:autoSpaceDN w:val="0"/>
        <w:adjustRightInd w:val="0"/>
        <w:rPr>
          <w:rFonts w:cs="Times New Roman"/>
          <w:szCs w:val="24"/>
        </w:rPr>
      </w:pPr>
    </w:p>
    <w:p w14:paraId="785072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6A4CD7">
        <w:rPr>
          <w:rFonts w:cs="Times New Roman"/>
          <w:i/>
          <w:iCs/>
          <w:szCs w:val="24"/>
        </w:rPr>
        <w:t xml:space="preserve">See </w:t>
      </w:r>
      <w:proofErr w:type="spellStart"/>
      <w:r w:rsidRPr="006A4CD7">
        <w:rPr>
          <w:rFonts w:cs="Times New Roman"/>
          <w:i/>
          <w:iCs/>
          <w:szCs w:val="24"/>
        </w:rPr>
        <w:t>Adray</w:t>
      </w:r>
      <w:proofErr w:type="spellEnd"/>
      <w:r w:rsidRPr="006A4CD7">
        <w:rPr>
          <w:rFonts w:cs="Times New Roman"/>
          <w:i/>
          <w:iCs/>
          <w:szCs w:val="24"/>
        </w:rPr>
        <w:t xml:space="preserve"> v. </w:t>
      </w:r>
      <w:proofErr w:type="spellStart"/>
      <w:r w:rsidRPr="006A4CD7">
        <w:rPr>
          <w:rFonts w:cs="Times New Roman"/>
          <w:i/>
          <w:iCs/>
          <w:szCs w:val="24"/>
        </w:rPr>
        <w:t>Adry</w:t>
      </w:r>
      <w:proofErr w:type="spellEnd"/>
      <w:r w:rsidRPr="006A4CD7">
        <w:rPr>
          <w:rFonts w:cs="Times New Roman"/>
          <w:i/>
          <w:iCs/>
          <w:szCs w:val="24"/>
        </w:rPr>
        <w:t>-Mart, Inc</w:t>
      </w:r>
      <w:r w:rsidRPr="006A4CD7">
        <w:rPr>
          <w:rFonts w:cs="Times New Roman"/>
          <w:szCs w:val="24"/>
        </w:rPr>
        <w:t xml:space="preserve">., 76 F.3d 984, 989 (9th Cir. 1995). </w:t>
      </w:r>
    </w:p>
    <w:p w14:paraId="415377B4" w14:textId="77777777" w:rsidR="006A4CD7" w:rsidRPr="006A4CD7" w:rsidRDefault="006A4CD7" w:rsidP="0060759C">
      <w:pPr>
        <w:autoSpaceDE w:val="0"/>
        <w:autoSpaceDN w:val="0"/>
        <w:adjustRightInd w:val="0"/>
        <w:rPr>
          <w:rFonts w:cs="Times New Roman"/>
          <w:szCs w:val="24"/>
        </w:rPr>
      </w:pPr>
    </w:p>
    <w:p w14:paraId="3A2412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may argue that plaintiff’s loss in sales may be caused by other market factors and not as a result of defendant’s infringement.  If defendant makes such an argument, an appropriate instruction should be drafted. </w:t>
      </w:r>
    </w:p>
    <w:p w14:paraId="14D83862" w14:textId="77777777" w:rsidR="006A4CD7" w:rsidRPr="006A4CD7" w:rsidRDefault="006A4CD7" w:rsidP="0060759C">
      <w:pPr>
        <w:autoSpaceDE w:val="0"/>
        <w:autoSpaceDN w:val="0"/>
        <w:adjustRightInd w:val="0"/>
        <w:rPr>
          <w:rFonts w:cs="Times New Roman"/>
          <w:szCs w:val="24"/>
        </w:rPr>
      </w:pPr>
    </w:p>
    <w:p w14:paraId="45F7CA83"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5.2 (Measure of Types of Damages), 5.3 (Damages—Mitigation), and 5.4 (Damages Arising in the Future—Discount to Present Cash Value). </w:t>
      </w:r>
    </w:p>
    <w:p w14:paraId="4E20E54C" w14:textId="77777777" w:rsidR="003E3B69" w:rsidRPr="006A4CD7" w:rsidRDefault="003E3B69" w:rsidP="0060759C">
      <w:pPr>
        <w:autoSpaceDE w:val="0"/>
        <w:autoSpaceDN w:val="0"/>
        <w:adjustRightInd w:val="0"/>
        <w:rPr>
          <w:rFonts w:cs="Times New Roman"/>
          <w:szCs w:val="24"/>
        </w:rPr>
      </w:pPr>
    </w:p>
    <w:p w14:paraId="73899139" w14:textId="39AEA74C" w:rsidR="009A3F8A" w:rsidRDefault="006A4CD7" w:rsidP="003E3B69">
      <w:pPr>
        <w:pStyle w:val="Heading2"/>
      </w:pPr>
      <w:r w:rsidRPr="006A4CD7">
        <w:br w:type="page"/>
      </w:r>
      <w:bookmarkStart w:id="280" w:name="_Toc117512562"/>
      <w:r w:rsidRPr="006A4CD7">
        <w:t>15.2</w:t>
      </w:r>
      <w:r w:rsidR="00B3204F">
        <w:t>8</w:t>
      </w:r>
      <w:r w:rsidRPr="006A4CD7">
        <w:t xml:space="preserve"> </w:t>
      </w:r>
      <w:r w:rsidR="00BF24DD" w:rsidRPr="00BF24DD">
        <w:t>Trademark Damages—Plaintiff’s Statutory Damages</w:t>
      </w:r>
      <w:bookmarkEnd w:id="280"/>
      <w:r w:rsidR="00982B7E">
        <w:t xml:space="preserve"> </w:t>
      </w:r>
    </w:p>
    <w:p w14:paraId="5F09690D" w14:textId="5F9ED344" w:rsidR="003E3B69" w:rsidRPr="006A4CD7" w:rsidRDefault="006A4CD7" w:rsidP="003E3B69">
      <w:pPr>
        <w:pStyle w:val="Heading2"/>
      </w:pPr>
      <w:bookmarkStart w:id="281" w:name="_Toc117512563"/>
      <w:r w:rsidRPr="006A4CD7">
        <w:t>(15 U.S.C. § 1117(c) and (d))</w:t>
      </w:r>
      <w:bookmarkEnd w:id="281"/>
    </w:p>
    <w:p w14:paraId="07100CC4" w14:textId="77777777" w:rsidR="006A4CD7" w:rsidRPr="006A4CD7" w:rsidRDefault="006A4CD7" w:rsidP="003E3B69"/>
    <w:p w14:paraId="0DC6640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EF8AD40" w14:textId="77777777" w:rsidR="006A4CD7" w:rsidRPr="006A4CD7" w:rsidRDefault="006A4CD7" w:rsidP="0060759C">
      <w:pPr>
        <w:autoSpaceDE w:val="0"/>
        <w:autoSpaceDN w:val="0"/>
        <w:adjustRightInd w:val="0"/>
        <w:rPr>
          <w:rFonts w:cs="Times New Roman"/>
          <w:szCs w:val="24"/>
        </w:rPr>
      </w:pPr>
    </w:p>
    <w:p w14:paraId="751B2D0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Statutory damages are available under 15 U.S.C. 1117(c) and (d).  Statutory damages may be awarded against contributory infringers.  </w:t>
      </w:r>
      <w:r w:rsidRPr="006A4CD7">
        <w:rPr>
          <w:rFonts w:cs="Times New Roman"/>
          <w:i/>
          <w:iCs/>
          <w:szCs w:val="24"/>
        </w:rPr>
        <w:t xml:space="preserve">Louis Vuitton Malletier, S.A. v. </w:t>
      </w:r>
      <w:proofErr w:type="spellStart"/>
      <w:r w:rsidRPr="006A4CD7">
        <w:rPr>
          <w:rFonts w:cs="Times New Roman"/>
          <w:i/>
          <w:iCs/>
          <w:szCs w:val="24"/>
        </w:rPr>
        <w:t>Akanoc</w:t>
      </w:r>
      <w:proofErr w:type="spellEnd"/>
      <w:r w:rsidRPr="006A4CD7">
        <w:rPr>
          <w:rFonts w:cs="Times New Roman"/>
          <w:i/>
          <w:iCs/>
          <w:szCs w:val="24"/>
        </w:rPr>
        <w:t xml:space="preserve"> Sols. Inc.</w:t>
      </w:r>
      <w:r w:rsidRPr="006A4CD7">
        <w:rPr>
          <w:rFonts w:cs="Times New Roman"/>
          <w:szCs w:val="24"/>
        </w:rPr>
        <w:t xml:space="preserve">, 658 F.3d 936, 944-45 (9th Cir. 2011). </w:t>
      </w:r>
    </w:p>
    <w:p w14:paraId="2E9AD835" w14:textId="77777777" w:rsidR="003E3B69" w:rsidRPr="006A4CD7" w:rsidRDefault="003E3B69" w:rsidP="0060759C">
      <w:pPr>
        <w:autoSpaceDE w:val="0"/>
        <w:autoSpaceDN w:val="0"/>
        <w:adjustRightInd w:val="0"/>
        <w:rPr>
          <w:rFonts w:cs="Times New Roman"/>
          <w:szCs w:val="24"/>
        </w:rPr>
      </w:pPr>
    </w:p>
    <w:p w14:paraId="18FC4980" w14:textId="5246E1FD" w:rsidR="009A3F8A" w:rsidRDefault="006A4CD7" w:rsidP="003E3B69">
      <w:pPr>
        <w:pStyle w:val="Heading2"/>
      </w:pPr>
      <w:r w:rsidRPr="006A4CD7">
        <w:br w:type="page"/>
      </w:r>
      <w:bookmarkStart w:id="282" w:name="_Toc117512564"/>
      <w:r w:rsidRPr="006A4CD7">
        <w:t>15.</w:t>
      </w:r>
      <w:r w:rsidR="00B3204F">
        <w:t>29</w:t>
      </w:r>
      <w:r w:rsidRPr="006A4CD7">
        <w:t xml:space="preserve"> </w:t>
      </w:r>
      <w:r w:rsidR="00BF24DD" w:rsidRPr="00BF24DD">
        <w:t>Trademark Damages—Defendant’s Profits</w:t>
      </w:r>
      <w:bookmarkEnd w:id="282"/>
      <w:r w:rsidR="00982B7E">
        <w:t xml:space="preserve"> </w:t>
      </w:r>
    </w:p>
    <w:p w14:paraId="05653682" w14:textId="3AAE9059" w:rsidR="006A4CD7" w:rsidRPr="006A4CD7" w:rsidRDefault="006A4CD7" w:rsidP="003E3B69">
      <w:pPr>
        <w:pStyle w:val="Heading2"/>
      </w:pPr>
      <w:bookmarkStart w:id="283" w:name="_Toc117512565"/>
      <w:r w:rsidRPr="006A4CD7">
        <w:t>(15 U.S.C. § 1117(a))</w:t>
      </w:r>
      <w:bookmarkEnd w:id="283"/>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BF24DD" w:rsidRDefault="006A4CD7" w:rsidP="0060759C">
      <w:pPr>
        <w:autoSpaceDE w:val="0"/>
        <w:autoSpaceDN w:val="0"/>
        <w:adjustRightInd w:val="0"/>
        <w:rPr>
          <w:rFonts w:cs="Times New Roman"/>
          <w:szCs w:val="24"/>
        </w:rPr>
      </w:pPr>
      <w:r w:rsidRPr="006A4CD7">
        <w:rPr>
          <w:rFonts w:cs="Times New Roman"/>
          <w:szCs w:val="24"/>
        </w:rPr>
        <w:tab/>
      </w:r>
      <w:r w:rsidRPr="00BF24DD">
        <w:rPr>
          <w:rFonts w:cs="Times New Roman"/>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took into account in determining actual damages. </w:t>
      </w:r>
    </w:p>
    <w:p w14:paraId="5045A901" w14:textId="77777777" w:rsidR="006A4CD7" w:rsidRPr="00BF24DD" w:rsidRDefault="006A4CD7" w:rsidP="0060759C">
      <w:pPr>
        <w:autoSpaceDE w:val="0"/>
        <w:autoSpaceDN w:val="0"/>
        <w:adjustRightInd w:val="0"/>
        <w:rPr>
          <w:rFonts w:cs="Times New Roman"/>
          <w:szCs w:val="24"/>
        </w:rPr>
      </w:pPr>
    </w:p>
    <w:p w14:paraId="1B71674E"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Profit is determined by deducting all expenses from gross revenue. </w:t>
      </w:r>
    </w:p>
    <w:p w14:paraId="6894C9F0" w14:textId="77777777" w:rsidR="006A4CD7" w:rsidRPr="00BF24DD" w:rsidRDefault="006A4CD7" w:rsidP="0060759C">
      <w:pPr>
        <w:autoSpaceDE w:val="0"/>
        <w:autoSpaceDN w:val="0"/>
        <w:adjustRightInd w:val="0"/>
        <w:rPr>
          <w:rFonts w:cs="Times New Roman"/>
          <w:szCs w:val="24"/>
        </w:rPr>
      </w:pPr>
    </w:p>
    <w:p w14:paraId="2F13FBA4"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BF24DD" w:rsidRDefault="006A4CD7" w:rsidP="0060759C">
      <w:pPr>
        <w:autoSpaceDE w:val="0"/>
        <w:autoSpaceDN w:val="0"/>
        <w:adjustRightInd w:val="0"/>
        <w:rPr>
          <w:rFonts w:cs="Times New Roman"/>
          <w:szCs w:val="24"/>
        </w:rPr>
      </w:pPr>
    </w:p>
    <w:p w14:paraId="01B7687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BF24DD" w:rsidRDefault="006A4CD7" w:rsidP="0060759C">
      <w:pPr>
        <w:autoSpaceDE w:val="0"/>
        <w:autoSpaceDN w:val="0"/>
        <w:adjustRightInd w:val="0"/>
        <w:rPr>
          <w:rFonts w:cs="Times New Roman"/>
          <w:szCs w:val="24"/>
        </w:rPr>
      </w:pPr>
    </w:p>
    <w:p w14:paraId="76692EA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Unless you find that a portion of the profit from the sale of the [</w:t>
      </w:r>
      <w:r w:rsidRPr="00BF24DD">
        <w:rPr>
          <w:rFonts w:cs="Times New Roman"/>
          <w:i/>
          <w:iCs/>
          <w:szCs w:val="24"/>
          <w:u w:val="single"/>
        </w:rPr>
        <w:t>specify goods</w:t>
      </w:r>
      <w:r w:rsidRPr="00BF24DD">
        <w:rPr>
          <w:rFonts w:cs="Times New Roman"/>
          <w:szCs w:val="24"/>
        </w:rPr>
        <w:t>] using the trademark is attributable to factors other than use of the trademark, you should find that the total profit is attributable to the infringement.</w:t>
      </w:r>
    </w:p>
    <w:p w14:paraId="3C2F8786" w14:textId="77777777" w:rsidR="006A4CD7" w:rsidRPr="00BF24DD" w:rsidRDefault="006A4CD7" w:rsidP="0060759C">
      <w:pPr>
        <w:autoSpaceDE w:val="0"/>
        <w:autoSpaceDN w:val="0"/>
        <w:adjustRightInd w:val="0"/>
        <w:rPr>
          <w:rFonts w:cs="Times New Roman"/>
          <w:szCs w:val="24"/>
        </w:rPr>
      </w:pPr>
    </w:p>
    <w:p w14:paraId="066EE4D8" w14:textId="77777777" w:rsidR="006A4CD7" w:rsidRPr="00BF24DD" w:rsidRDefault="006A4CD7" w:rsidP="0060759C">
      <w:pPr>
        <w:autoSpaceDE w:val="0"/>
        <w:autoSpaceDN w:val="0"/>
        <w:adjustRightInd w:val="0"/>
        <w:jc w:val="center"/>
        <w:rPr>
          <w:rFonts w:cs="Times New Roman"/>
          <w:szCs w:val="24"/>
        </w:rPr>
      </w:pPr>
      <w:r w:rsidRPr="00BF24DD">
        <w:rPr>
          <w:rFonts w:cs="Times New Roman"/>
          <w:b/>
          <w:bCs/>
          <w:szCs w:val="24"/>
        </w:rPr>
        <w:t>Comment</w:t>
      </w:r>
      <w:r w:rsidRPr="00BF24DD">
        <w:rPr>
          <w:rFonts w:cs="Times New Roman"/>
          <w:szCs w:val="24"/>
        </w:rPr>
        <w:t xml:space="preserve"> </w:t>
      </w:r>
    </w:p>
    <w:p w14:paraId="674DD8AE" w14:textId="77777777" w:rsidR="006A4CD7" w:rsidRPr="00BF24DD" w:rsidRDefault="006A4CD7" w:rsidP="0060759C">
      <w:pPr>
        <w:autoSpaceDE w:val="0"/>
        <w:autoSpaceDN w:val="0"/>
        <w:adjustRightInd w:val="0"/>
        <w:rPr>
          <w:rFonts w:cs="Times New Roman"/>
          <w:szCs w:val="24"/>
        </w:rPr>
      </w:pPr>
    </w:p>
    <w:p w14:paraId="307E7D7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“[D]</w:t>
      </w:r>
      <w:proofErr w:type="spellStart"/>
      <w:r w:rsidRPr="00BF24DD">
        <w:rPr>
          <w:rFonts w:cs="Times New Roman"/>
          <w:szCs w:val="24"/>
        </w:rPr>
        <w:t>isgorgement</w:t>
      </w:r>
      <w:proofErr w:type="spellEnd"/>
      <w:r w:rsidRPr="00BF24DD">
        <w:rPr>
          <w:rFonts w:cs="Times New Roman"/>
          <w:szCs w:val="24"/>
        </w:rPr>
        <w:t xml:space="preserve"> of profits is a traditional trademark remedy,” </w:t>
      </w:r>
      <w:r w:rsidRPr="00BF24DD">
        <w:rPr>
          <w:rFonts w:cs="Times New Roman"/>
          <w:i/>
          <w:iCs/>
          <w:szCs w:val="24"/>
        </w:rPr>
        <w:t>Jerry’s Famous Deli, Inc. v. Papanicolaou</w:t>
      </w:r>
      <w:r w:rsidRPr="00BF24DD">
        <w:rPr>
          <w:rFonts w:cs="Times New Roman"/>
          <w:szCs w:val="24"/>
        </w:rPr>
        <w:t>, 383 F.3d 998, 1004-05 (9th Cir. 2004) (describing remedy, in enforcement of trademark injunction case, as “akin to an award of the infringer’s profits under trademark law” and noting “[u]</w:t>
      </w:r>
      <w:proofErr w:type="spellStart"/>
      <w:r w:rsidRPr="00BF24DD">
        <w:rPr>
          <w:rFonts w:cs="Times New Roman"/>
          <w:szCs w:val="24"/>
        </w:rPr>
        <w:t>nder</w:t>
      </w:r>
      <w:proofErr w:type="spellEnd"/>
      <w:r w:rsidRPr="00BF24DD">
        <w:rPr>
          <w:rFonts w:cs="Times New Roman"/>
          <w:szCs w:val="24"/>
        </w:rPr>
        <w:t xml:space="preserve"> established law, once gross profits related to the infringement are established, [infringer] has the burden of documenting any legitimate offsets”).</w:t>
      </w:r>
    </w:p>
    <w:p w14:paraId="7FA08B3B" w14:textId="77777777" w:rsidR="006A4CD7" w:rsidRPr="00BF24DD" w:rsidRDefault="006A4CD7" w:rsidP="0060759C">
      <w:pPr>
        <w:autoSpaceDE w:val="0"/>
        <w:autoSpaceDN w:val="0"/>
        <w:adjustRightInd w:val="0"/>
        <w:rPr>
          <w:rFonts w:cs="Times New Roman"/>
          <w:szCs w:val="24"/>
        </w:rPr>
      </w:pPr>
    </w:p>
    <w:p w14:paraId="4D0A5570"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“Recovery of both plaintiff’s lost profits and disgorgement of defendant’s profits is generally considered a double recovery under the Lanham Act.” </w:t>
      </w:r>
      <w:r w:rsidRPr="00BF24DD">
        <w:rPr>
          <w:rFonts w:cs="Times New Roman"/>
          <w:i/>
          <w:iCs/>
          <w:szCs w:val="24"/>
        </w:rPr>
        <w:t xml:space="preserve"> Nintendo of America, Inc. v. Dragon Pacific Int’l</w:t>
      </w:r>
      <w:r w:rsidRPr="00BF24DD">
        <w:rPr>
          <w:rFonts w:cs="Times New Roman"/>
          <w:szCs w:val="24"/>
        </w:rPr>
        <w:t xml:space="preserve">, 40 F.3d 1007, 1010 (9th Cir. 1994). </w:t>
      </w:r>
    </w:p>
    <w:p w14:paraId="207C7F08" w14:textId="77777777" w:rsidR="006A4CD7" w:rsidRPr="00BF24DD" w:rsidRDefault="006A4CD7" w:rsidP="0060759C">
      <w:pPr>
        <w:autoSpaceDE w:val="0"/>
        <w:autoSpaceDN w:val="0"/>
        <w:adjustRightInd w:val="0"/>
        <w:rPr>
          <w:rFonts w:cs="Times New Roman"/>
          <w:szCs w:val="24"/>
        </w:rPr>
      </w:pPr>
    </w:p>
    <w:p w14:paraId="63222B7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Regarding establishing and calculating defendant’s profits, </w:t>
      </w:r>
      <w:r w:rsidRPr="00BF24DD">
        <w:rPr>
          <w:rFonts w:cs="Times New Roman"/>
          <w:i/>
          <w:iCs/>
          <w:szCs w:val="24"/>
        </w:rPr>
        <w:t>see Lindy Pen Co. v. Bic Pen Corp.</w:t>
      </w:r>
      <w:r w:rsidRPr="00BF24DD">
        <w:rPr>
          <w:rFonts w:cs="Times New Roman"/>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BF24DD">
        <w:rPr>
          <w:rFonts w:cs="Times New Roman"/>
          <w:i/>
          <w:iCs/>
          <w:szCs w:val="24"/>
        </w:rPr>
        <w:t xml:space="preserve"> Louis Vuitton S.A. v. Spencer Handbags Corp.</w:t>
      </w:r>
      <w:r w:rsidRPr="00BF24DD">
        <w:rPr>
          <w:rFonts w:cs="Times New Roman"/>
          <w:szCs w:val="24"/>
        </w:rPr>
        <w:t xml:space="preserve">, 765 F.2d 966, 973 (2d Cir.1985) (holding that defendant’s own statements as to profits provided sufficient basis for calculation of defendant’s profits under 15 U.S.C. § 1117(a)).  </w:t>
      </w:r>
      <w:r w:rsidRPr="00BF24DD">
        <w:rPr>
          <w:rFonts w:cs="Times New Roman"/>
          <w:i/>
          <w:iCs/>
          <w:szCs w:val="24"/>
        </w:rPr>
        <w:t>See also American Honda Motor Co. v. Two Wheel Corp.</w:t>
      </w:r>
      <w:r w:rsidRPr="00BF24DD">
        <w:rPr>
          <w:rFonts w:cs="Times New Roman"/>
          <w:szCs w:val="24"/>
        </w:rPr>
        <w:t>, 918 F.2d 1060, 1063 (2d Cir.1990) (holding that plaintiff is entitled to amount of gross sales unless defendant adequately proves amount of costs to be deducted from it);</w:t>
      </w:r>
      <w:r w:rsidRPr="00BF24DD">
        <w:rPr>
          <w:rFonts w:cs="Times New Roman"/>
          <w:i/>
          <w:iCs/>
          <w:szCs w:val="24"/>
        </w:rPr>
        <w:t xml:space="preserve"> Polo Fashions, Inc. v. Dick Bruhn, Inc</w:t>
      </w:r>
      <w:r w:rsidRPr="00BF24DD">
        <w:rPr>
          <w:rFonts w:cs="Times New Roman"/>
          <w:szCs w:val="24"/>
        </w:rPr>
        <w:t xml:space="preserve">., 793 F.2d 1132, 1135 (9th Cir. 1986) (awarding receipts from sales pursuant to 15 U.S.C. § 1117(a)); 5 </w:t>
      </w:r>
      <w:r w:rsidRPr="00BF24DD">
        <w:rPr>
          <w:rFonts w:cs="Times New Roman"/>
          <w:smallCaps/>
          <w:szCs w:val="24"/>
        </w:rPr>
        <w:t>J. Thomas McCarthy, Trademarks and Unfair Competition</w:t>
      </w:r>
      <w:r w:rsidRPr="00BF24DD">
        <w:rPr>
          <w:rFonts w:cs="Times New Roman"/>
          <w:szCs w:val="24"/>
        </w:rPr>
        <w:t xml:space="preserve"> § 30.65 (4th ed. 2015) (discussing computation of defendant’s profits from infringing sales).</w:t>
      </w:r>
    </w:p>
    <w:p w14:paraId="30EAAB6E" w14:textId="77777777" w:rsidR="006A4CD7" w:rsidRPr="00BF24DD" w:rsidRDefault="006A4CD7" w:rsidP="0060759C">
      <w:pPr>
        <w:autoSpaceDE w:val="0"/>
        <w:autoSpaceDN w:val="0"/>
        <w:adjustRightInd w:val="0"/>
        <w:rPr>
          <w:rFonts w:cs="Times New Roman"/>
          <w:szCs w:val="24"/>
        </w:rPr>
      </w:pPr>
    </w:p>
    <w:p w14:paraId="35BF7912"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Plaintiff has the burden of proof as to damages.  </w:t>
      </w:r>
      <w:r w:rsidRPr="00BF24DD">
        <w:rPr>
          <w:rFonts w:cs="Times New Roman"/>
          <w:i/>
          <w:iCs/>
          <w:szCs w:val="24"/>
        </w:rPr>
        <w:t>See Rolex Watch, U.S.A., Inc., v. Michel Co.</w:t>
      </w:r>
      <w:r w:rsidRPr="00BF24DD">
        <w:rPr>
          <w:rFonts w:cs="Times New Roman"/>
          <w:szCs w:val="24"/>
        </w:rPr>
        <w:t>, 179 F.3d 704, 712 (9th Cir. 1999) (holding that plaintiff carries burden to show with “reasonable certainty” defendant’s gross sales from infringing activity);</w:t>
      </w:r>
      <w:r w:rsidRPr="00BF24DD">
        <w:rPr>
          <w:rFonts w:cs="Times New Roman"/>
          <w:i/>
          <w:iCs/>
          <w:szCs w:val="24"/>
        </w:rPr>
        <w:t xml:space="preserve"> Lindy Pen Co., </w:t>
      </w:r>
      <w:r w:rsidRPr="00BF24DD">
        <w:rPr>
          <w:rFonts w:cs="Times New Roman"/>
          <w:szCs w:val="24"/>
        </w:rPr>
        <w:t>982 F.2d at 1405-1408;</w:t>
      </w:r>
      <w:r w:rsidRPr="00BF24DD">
        <w:rPr>
          <w:rFonts w:cs="Times New Roman"/>
          <w:i/>
          <w:iCs/>
          <w:szCs w:val="24"/>
        </w:rPr>
        <w:t xml:space="preserve"> Nintendo of America, </w:t>
      </w:r>
      <w:r w:rsidRPr="00BF24DD">
        <w:rPr>
          <w:rFonts w:cs="Times New Roman"/>
          <w:szCs w:val="24"/>
        </w:rPr>
        <w:t xml:space="preserve">40 F.3d at 1012 (holding that when infringing and </w:t>
      </w:r>
      <w:proofErr w:type="spellStart"/>
      <w:r w:rsidRPr="00BF24DD">
        <w:rPr>
          <w:rFonts w:cs="Times New Roman"/>
          <w:szCs w:val="24"/>
        </w:rPr>
        <w:t>noninfringing</w:t>
      </w:r>
      <w:proofErr w:type="spellEnd"/>
      <w:r w:rsidRPr="00BF24DD">
        <w:rPr>
          <w:rFonts w:cs="Times New Roman"/>
          <w:szCs w:val="24"/>
        </w:rPr>
        <w:t xml:space="preserve"> elements of work cannot be readily separated, all of defendant’s profits should be awarded to plaintiff). </w:t>
      </w:r>
    </w:p>
    <w:p w14:paraId="0D9486C7" w14:textId="77777777" w:rsidR="003E3B69" w:rsidRPr="00BF24DD" w:rsidRDefault="003E3B69" w:rsidP="0060759C">
      <w:pPr>
        <w:autoSpaceDE w:val="0"/>
        <w:autoSpaceDN w:val="0"/>
        <w:adjustRightInd w:val="0"/>
        <w:rPr>
          <w:rFonts w:cs="Times New Roman"/>
          <w:szCs w:val="24"/>
        </w:rPr>
      </w:pPr>
    </w:p>
    <w:p w14:paraId="16032E9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A district court “has discretion to increase the profit award above the net profits proven ‘[</w:t>
      </w:r>
      <w:proofErr w:type="spellStart"/>
      <w:r w:rsidRPr="00BF24DD">
        <w:rPr>
          <w:rFonts w:cs="Times New Roman"/>
          <w:szCs w:val="24"/>
        </w:rPr>
        <w:t>i</w:t>
      </w:r>
      <w:proofErr w:type="spellEnd"/>
      <w:r w:rsidRPr="00BF24DD">
        <w:rPr>
          <w:rFonts w:cs="Times New Roman"/>
          <w:szCs w:val="24"/>
        </w:rPr>
        <w:t xml:space="preserve">]f the court shall find . . . the amount of the recovery . . . inadequate.’” </w:t>
      </w:r>
      <w:r w:rsidRPr="00BF24DD">
        <w:rPr>
          <w:rFonts w:cs="Times New Roman"/>
          <w:i/>
          <w:iCs/>
          <w:color w:val="010101"/>
          <w:szCs w:val="24"/>
        </w:rPr>
        <w:t>Fifty-Six Hope Road Music, Ltd. v. A.V.E.L.A., Inc.</w:t>
      </w:r>
      <w:r w:rsidRPr="00BF24DD">
        <w:rPr>
          <w:rFonts w:cs="Times New Roman"/>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BF24DD">
        <w:rPr>
          <w:rFonts w:cs="Times New Roman"/>
          <w:i/>
          <w:iCs/>
          <w:color w:val="010101"/>
          <w:szCs w:val="24"/>
        </w:rPr>
        <w:t>Id</w:t>
      </w:r>
      <w:r w:rsidRPr="00BF24DD">
        <w:rPr>
          <w:rFonts w:cs="Times New Roman"/>
          <w:color w:val="010101"/>
          <w:szCs w:val="24"/>
        </w:rPr>
        <w:t xml:space="preserve">. </w:t>
      </w:r>
    </w:p>
    <w:p w14:paraId="131F872A" w14:textId="77777777" w:rsidR="006A4CD7" w:rsidRPr="00BF24DD" w:rsidRDefault="006A4CD7" w:rsidP="0060759C">
      <w:pPr>
        <w:autoSpaceDE w:val="0"/>
        <w:autoSpaceDN w:val="0"/>
        <w:adjustRightInd w:val="0"/>
        <w:rPr>
          <w:rFonts w:cs="Times New Roman"/>
          <w:szCs w:val="24"/>
        </w:rPr>
      </w:pPr>
    </w:p>
    <w:p w14:paraId="0736D283" w14:textId="77777777" w:rsidR="00BF5CD7" w:rsidRPr="00590001" w:rsidRDefault="006A4CD7" w:rsidP="00BF5CD7">
      <w:pPr>
        <w:autoSpaceDE w:val="0"/>
        <w:autoSpaceDN w:val="0"/>
        <w:adjustRightInd w:val="0"/>
        <w:ind w:firstLine="720"/>
        <w:rPr>
          <w:rFonts w:cs="Times New Roman"/>
          <w:szCs w:val="24"/>
        </w:rPr>
      </w:pPr>
      <w:r w:rsidRPr="00BF24DD">
        <w:rPr>
          <w:rFonts w:cs="Times New Roman"/>
          <w:szCs w:val="24"/>
        </w:rPr>
        <w:tab/>
      </w:r>
      <w:r w:rsidR="00BF5CD7" w:rsidRPr="00590001">
        <w:rPr>
          <w:rFonts w:cs="Times New Roman"/>
          <w:szCs w:val="24"/>
        </w:rPr>
        <w:t xml:space="preserve">“[A] trademark defendant’s mental state is a highly important consideration in determining whether an award of profits is appropriate.”  </w:t>
      </w:r>
      <w:proofErr w:type="spellStart"/>
      <w:r w:rsidR="00BF5CD7" w:rsidRPr="00590001">
        <w:rPr>
          <w:rFonts w:cs="Times New Roman"/>
          <w:i/>
          <w:iCs/>
          <w:szCs w:val="24"/>
        </w:rPr>
        <w:t>Romag</w:t>
      </w:r>
      <w:proofErr w:type="spellEnd"/>
      <w:r w:rsidR="00BF5CD7" w:rsidRPr="00590001">
        <w:rPr>
          <w:rFonts w:cs="Times New Roman"/>
          <w:i/>
          <w:iCs/>
          <w:szCs w:val="24"/>
        </w:rPr>
        <w:t xml:space="preserve"> Fasteners, Inc. v. Fossil, Inc.</w:t>
      </w:r>
      <w:r w:rsidR="00BF5CD7" w:rsidRPr="00590001">
        <w:rPr>
          <w:rFonts w:cs="Times New Roman"/>
          <w:szCs w:val="24"/>
        </w:rPr>
        <w:t>, 140 S. Ct.</w:t>
      </w:r>
      <w:r w:rsidR="00BF5CD7" w:rsidRPr="00590001">
        <w:rPr>
          <w:rFonts w:cs="Times New Roman"/>
          <w:color w:val="D13337"/>
          <w:szCs w:val="24"/>
        </w:rPr>
        <w:t xml:space="preserve"> </w:t>
      </w:r>
      <w:r w:rsidR="00BF5CD7" w:rsidRPr="00590001">
        <w:rPr>
          <w:rFonts w:cs="Times New Roman"/>
          <w:szCs w:val="24"/>
        </w:rPr>
        <w:t xml:space="preserve">1492, 1497 (2020).  However, a plaintiff need not show that a defendant acted with a particular mental state, such as willfulness, in order to be entitled to an award of profits. </w:t>
      </w:r>
      <w:r w:rsidR="00BF5CD7" w:rsidRPr="00590001">
        <w:rPr>
          <w:rFonts w:cs="Times New Roman"/>
          <w:i/>
          <w:iCs/>
          <w:szCs w:val="24"/>
        </w:rPr>
        <w:t>See id.</w:t>
      </w:r>
      <w:r w:rsidR="00BF5CD7" w:rsidRPr="00590001">
        <w:rPr>
          <w:rFonts w:cs="Times New Roman"/>
          <w:szCs w:val="24"/>
        </w:rPr>
        <w:t xml:space="preserve">; </w:t>
      </w:r>
      <w:r w:rsidR="00BF5CD7" w:rsidRPr="00590001">
        <w:rPr>
          <w:rFonts w:cs="Times New Roman"/>
          <w:i/>
          <w:iCs/>
          <w:szCs w:val="24"/>
        </w:rPr>
        <w:t>Harbor</w:t>
      </w:r>
      <w:r w:rsidR="00BF5CD7" w:rsidRPr="00590001">
        <w:rPr>
          <w:rFonts w:cs="Times New Roman"/>
          <w:szCs w:val="24"/>
        </w:rPr>
        <w:t xml:space="preserve"> </w:t>
      </w:r>
      <w:r w:rsidR="00BF5CD7" w:rsidRPr="00590001">
        <w:rPr>
          <w:rFonts w:cs="Times New Roman"/>
          <w:i/>
          <w:iCs/>
          <w:szCs w:val="24"/>
        </w:rPr>
        <w:t>Breeze Corporation v. Newport Landing Sportfishing, Inc.</w:t>
      </w:r>
      <w:r w:rsidR="00BF5CD7" w:rsidRPr="00590001">
        <w:rPr>
          <w:rFonts w:cs="Times New Roman"/>
          <w:szCs w:val="24"/>
        </w:rPr>
        <w:t>, 28 F.4th 35, 38 (9th Cir. 2022).</w:t>
      </w:r>
    </w:p>
    <w:p w14:paraId="487C8875" w14:textId="77777777" w:rsidR="006A4CD7" w:rsidRPr="00BF24DD" w:rsidRDefault="006A4CD7" w:rsidP="0060759C">
      <w:pPr>
        <w:autoSpaceDE w:val="0"/>
        <w:autoSpaceDN w:val="0"/>
        <w:adjustRightInd w:val="0"/>
        <w:rPr>
          <w:rFonts w:cs="Times New Roman"/>
          <w:szCs w:val="24"/>
        </w:rPr>
      </w:pPr>
    </w:p>
    <w:p w14:paraId="6C8BC9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BF24DD">
        <w:rPr>
          <w:rFonts w:cs="Times New Roman"/>
          <w:i/>
          <w:iCs/>
          <w:szCs w:val="24"/>
        </w:rPr>
        <w:t xml:space="preserve"> Id.</w:t>
      </w:r>
      <w:r w:rsidRPr="00BF24DD">
        <w:rPr>
          <w:rFonts w:cs="Times New Roman"/>
          <w:szCs w:val="24"/>
        </w:rPr>
        <w:t xml:space="preserve">  If such a defense is raised, an appropriate instruction should be drafted. </w:t>
      </w:r>
    </w:p>
    <w:p w14:paraId="49AD85D7" w14:textId="77777777" w:rsidR="006A4CD7" w:rsidRPr="00BF24DD" w:rsidRDefault="006A4CD7" w:rsidP="0060759C">
      <w:pPr>
        <w:autoSpaceDE w:val="0"/>
        <w:autoSpaceDN w:val="0"/>
        <w:adjustRightInd w:val="0"/>
        <w:rPr>
          <w:rFonts w:cs="Times New Roman"/>
          <w:szCs w:val="24"/>
        </w:rPr>
      </w:pPr>
    </w:p>
    <w:p w14:paraId="20F45BE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An award of speculative damages is inappropriate. </w:t>
      </w:r>
      <w:r w:rsidRPr="00BF24DD">
        <w:rPr>
          <w:rFonts w:cs="Times New Roman"/>
          <w:i/>
          <w:iCs/>
          <w:szCs w:val="24"/>
        </w:rPr>
        <w:t xml:space="preserve"> See</w:t>
      </w:r>
      <w:r w:rsidRPr="00BF24DD">
        <w:rPr>
          <w:rFonts w:cs="Times New Roman"/>
          <w:szCs w:val="24"/>
        </w:rPr>
        <w:t xml:space="preserve"> </w:t>
      </w:r>
      <w:proofErr w:type="spellStart"/>
      <w:r w:rsidRPr="00BF24DD">
        <w:rPr>
          <w:rFonts w:cs="Times New Roman"/>
          <w:i/>
          <w:iCs/>
          <w:szCs w:val="24"/>
        </w:rPr>
        <w:t>McClaran</w:t>
      </w:r>
      <w:proofErr w:type="spellEnd"/>
      <w:r w:rsidRPr="00BF24DD">
        <w:rPr>
          <w:rFonts w:cs="Times New Roman"/>
          <w:i/>
          <w:iCs/>
          <w:szCs w:val="24"/>
        </w:rPr>
        <w:t xml:space="preserve"> v. Plastic Industries, Inc.</w:t>
      </w:r>
      <w:r w:rsidRPr="00BF24DD">
        <w:rPr>
          <w:rFonts w:cs="Times New Roman"/>
          <w:szCs w:val="24"/>
        </w:rPr>
        <w:t>, 97 F.3d 347, 361-62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BF24DD" w:rsidRDefault="006A4CD7" w:rsidP="0060759C">
      <w:pPr>
        <w:autoSpaceDE w:val="0"/>
        <w:autoSpaceDN w:val="0"/>
        <w:adjustRightInd w:val="0"/>
        <w:rPr>
          <w:rFonts w:cs="Times New Roman"/>
          <w:szCs w:val="24"/>
        </w:rPr>
      </w:pPr>
    </w:p>
    <w:p w14:paraId="31760529" w14:textId="12CB0BAF" w:rsidR="006A4CD7" w:rsidRPr="00BF24DD" w:rsidRDefault="006A4CD7" w:rsidP="0060759C">
      <w:pPr>
        <w:autoSpaceDE w:val="0"/>
        <w:autoSpaceDN w:val="0"/>
        <w:adjustRightInd w:val="0"/>
        <w:rPr>
          <w:rFonts w:cs="Times New Roman"/>
          <w:szCs w:val="24"/>
        </w:rPr>
      </w:pPr>
      <w:r w:rsidRPr="00BF24DD">
        <w:rPr>
          <w:rFonts w:cs="Times New Roman"/>
          <w:szCs w:val="24"/>
        </w:rPr>
        <w:tab/>
      </w:r>
      <w:r w:rsidR="00C321F0" w:rsidRPr="006F534D">
        <w:rPr>
          <w:rFonts w:cs="Times New Roman"/>
          <w:szCs w:val="24"/>
        </w:rPr>
        <w:t xml:space="preserve">The Ninth Circuit has held that the Seventh Amendment does not provide a right to a jury trial on the amount of profits to be disgorged.  </w:t>
      </w:r>
      <w:r w:rsidR="00C321F0" w:rsidRPr="006F534D">
        <w:rPr>
          <w:rFonts w:cs="Times New Roman"/>
          <w:i/>
          <w:iCs/>
          <w:color w:val="010101"/>
          <w:szCs w:val="24"/>
        </w:rPr>
        <w:t>Fifty-Six Hope Road Music, Ltd. v. A.V.E.L.A., Inc.</w:t>
      </w:r>
      <w:r w:rsidR="00C321F0" w:rsidRPr="006F534D">
        <w:rPr>
          <w:rFonts w:cs="Times New Roman"/>
          <w:color w:val="010101"/>
          <w:szCs w:val="24"/>
        </w:rPr>
        <w:t xml:space="preserve">, 778 F.3d 1059, 1074-76 (9th </w:t>
      </w:r>
      <w:r w:rsidR="00C321F0" w:rsidRPr="006F534D">
        <w:rPr>
          <w:rFonts w:cs="Times New Roman"/>
          <w:szCs w:val="24"/>
        </w:rPr>
        <w:t>Cir. 2015).</w:t>
      </w:r>
    </w:p>
    <w:p w14:paraId="17B0C745" w14:textId="77777777" w:rsidR="006A4CD7" w:rsidRPr="00BF24DD" w:rsidRDefault="006A4CD7" w:rsidP="0060759C">
      <w:pPr>
        <w:autoSpaceDE w:val="0"/>
        <w:autoSpaceDN w:val="0"/>
        <w:adjustRightInd w:val="0"/>
        <w:rPr>
          <w:rFonts w:cs="Times New Roman"/>
          <w:szCs w:val="24"/>
        </w:rPr>
      </w:pPr>
    </w:p>
    <w:p w14:paraId="73D95F94" w14:textId="77777777" w:rsidR="006A4CD7" w:rsidRPr="00BF24DD" w:rsidRDefault="006A4CD7" w:rsidP="0060759C">
      <w:pPr>
        <w:autoSpaceDE w:val="0"/>
        <w:autoSpaceDN w:val="0"/>
        <w:adjustRightInd w:val="0"/>
        <w:rPr>
          <w:rFonts w:cs="Times New Roman"/>
          <w:szCs w:val="24"/>
        </w:rPr>
      </w:pPr>
    </w:p>
    <w:p w14:paraId="7534B5D6" w14:textId="671D74D0"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Revised Sept. 20</w:t>
      </w:r>
      <w:r w:rsidR="00C321F0">
        <w:rPr>
          <w:rFonts w:cs="Times New Roman"/>
          <w:i/>
          <w:iCs/>
          <w:szCs w:val="24"/>
        </w:rPr>
        <w:t>22</w:t>
      </w:r>
    </w:p>
    <w:p w14:paraId="0230C35D" w14:textId="77777777" w:rsidR="006A4CD7" w:rsidRPr="006A4CD7" w:rsidRDefault="006A4CD7" w:rsidP="0060759C">
      <w:pPr>
        <w:autoSpaceDE w:val="0"/>
        <w:autoSpaceDN w:val="0"/>
        <w:adjustRightInd w:val="0"/>
        <w:rPr>
          <w:rFonts w:cs="Times New Roman"/>
          <w:szCs w:val="24"/>
        </w:rPr>
      </w:pPr>
    </w:p>
    <w:p w14:paraId="095DC887" w14:textId="726600D8" w:rsidR="009A3F8A" w:rsidRDefault="006A4CD7" w:rsidP="00982B7E">
      <w:pPr>
        <w:pStyle w:val="Heading2"/>
      </w:pPr>
      <w:r w:rsidRPr="006A4CD7">
        <w:br w:type="page"/>
      </w:r>
      <w:bookmarkStart w:id="284" w:name="_Toc117512566"/>
      <w:r w:rsidRPr="006A4CD7">
        <w:t>15.3</w:t>
      </w:r>
      <w:r w:rsidR="00B3204F">
        <w:t>0</w:t>
      </w:r>
      <w:r w:rsidRPr="006A4CD7">
        <w:t xml:space="preserve"> </w:t>
      </w:r>
      <w:r w:rsidR="00BF24DD" w:rsidRPr="00BF24DD">
        <w:t>Trademark Dilution</w:t>
      </w:r>
      <w:bookmarkEnd w:id="284"/>
      <w:r w:rsidR="00BF24DD" w:rsidRPr="00BF24DD">
        <w:t xml:space="preserve"> </w:t>
      </w:r>
    </w:p>
    <w:p w14:paraId="23C37A90" w14:textId="45821783" w:rsidR="003E3B69" w:rsidRPr="006A4CD7" w:rsidRDefault="006A4CD7" w:rsidP="00982B7E">
      <w:pPr>
        <w:pStyle w:val="Heading2"/>
      </w:pPr>
      <w:bookmarkStart w:id="285" w:name="_Toc117512567"/>
      <w:r w:rsidRPr="006A4CD7">
        <w:t>(15 U.S.C. § 1125(c))</w:t>
      </w:r>
      <w:bookmarkEnd w:id="285"/>
    </w:p>
    <w:p w14:paraId="1D41AD80" w14:textId="77777777" w:rsidR="006A4CD7" w:rsidRPr="006A4CD7" w:rsidRDefault="006A4CD7" w:rsidP="003E3B69"/>
    <w:p w14:paraId="7BA9C10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A5FB004" w14:textId="77777777" w:rsidR="006A4CD7" w:rsidRPr="006A4CD7" w:rsidRDefault="006A4CD7" w:rsidP="0060759C">
      <w:pPr>
        <w:autoSpaceDE w:val="0"/>
        <w:autoSpaceDN w:val="0"/>
        <w:adjustRightInd w:val="0"/>
        <w:rPr>
          <w:rFonts w:cs="Times New Roman"/>
          <w:szCs w:val="24"/>
        </w:rPr>
      </w:pPr>
    </w:p>
    <w:p w14:paraId="03F06E63" w14:textId="77777777" w:rsidR="006A4CD7" w:rsidRPr="00BF24DD"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BF24DD">
        <w:rPr>
          <w:rFonts w:cs="Times New Roman"/>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BF24DD">
        <w:rPr>
          <w:rFonts w:cs="Times New Roman"/>
          <w:i/>
          <w:iCs/>
          <w:szCs w:val="24"/>
        </w:rPr>
        <w:t>Moseley v. V. Secret Catalogue, Inc.</w:t>
      </w:r>
      <w:r w:rsidRPr="00BF24DD">
        <w:rPr>
          <w:rFonts w:cs="Times New Roman"/>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w:t>
      </w:r>
      <w:proofErr w:type="spellStart"/>
      <w:r w:rsidRPr="00BF24DD">
        <w:rPr>
          <w:rFonts w:cs="Times New Roman"/>
          <w:szCs w:val="24"/>
        </w:rPr>
        <w:t>tarnishment</w:t>
      </w:r>
      <w:proofErr w:type="spellEnd"/>
      <w:r w:rsidRPr="00BF24DD">
        <w:rPr>
          <w:rFonts w:cs="Times New Roman"/>
          <w:szCs w:val="24"/>
        </w:rPr>
        <w:t xml:space="preserve">” and “dilution by blurring,” and modified the “fair use” exclusion. </w:t>
      </w:r>
      <w:r w:rsidRPr="00BF24DD">
        <w:rPr>
          <w:rFonts w:cs="Times New Roman"/>
          <w:i/>
          <w:iCs/>
          <w:szCs w:val="24"/>
        </w:rPr>
        <w:t xml:space="preserve"> See generally Levi Strauss &amp; Co. v. Abercrombie &amp; Fitch Trading Co.</w:t>
      </w:r>
      <w:r w:rsidRPr="00BF24DD">
        <w:rPr>
          <w:rFonts w:cs="Times New Roman"/>
          <w:szCs w:val="24"/>
        </w:rPr>
        <w:t xml:space="preserve">, 633 F.3d 1158, 1165-71 (9th Cir. 2011). Thus, case law that pre-dates the TDRA generally should not be relied on in a dilution case. </w:t>
      </w:r>
    </w:p>
    <w:p w14:paraId="39C772C7" w14:textId="77777777" w:rsidR="006A4CD7" w:rsidRPr="00BF24DD" w:rsidRDefault="006A4CD7" w:rsidP="0060759C">
      <w:pPr>
        <w:autoSpaceDE w:val="0"/>
        <w:autoSpaceDN w:val="0"/>
        <w:adjustRightInd w:val="0"/>
        <w:rPr>
          <w:rFonts w:cs="Times New Roman"/>
          <w:szCs w:val="24"/>
        </w:rPr>
      </w:pPr>
    </w:p>
    <w:p w14:paraId="338B1994" w14:textId="4D912E06"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There can be no dilution by </w:t>
      </w:r>
      <w:proofErr w:type="spellStart"/>
      <w:r w:rsidRPr="00BF24DD">
        <w:rPr>
          <w:rFonts w:cs="Times New Roman"/>
          <w:szCs w:val="24"/>
        </w:rPr>
        <w:t>tarnishment</w:t>
      </w:r>
      <w:proofErr w:type="spellEnd"/>
      <w:r w:rsidRPr="00BF24DD">
        <w:rPr>
          <w:rFonts w:cs="Times New Roman"/>
          <w:szCs w:val="24"/>
        </w:rPr>
        <w:t xml:space="preserve"> if a mark is used in a “noncommercial” fashion.  A use is “noncommercial if it does more than propose a commercial transaction,” even if the mark is used to sell a product.  </w:t>
      </w:r>
      <w:r w:rsidRPr="00BF24DD">
        <w:rPr>
          <w:rFonts w:cs="Times New Roman"/>
          <w:i/>
          <w:iCs/>
          <w:szCs w:val="24"/>
        </w:rPr>
        <w:t xml:space="preserve">VIP </w:t>
      </w:r>
      <w:r w:rsidR="002E554E" w:rsidRPr="00BF24DD">
        <w:rPr>
          <w:rFonts w:cs="Times New Roman"/>
          <w:i/>
          <w:iCs/>
          <w:szCs w:val="24"/>
        </w:rPr>
        <w:t>Products</w:t>
      </w:r>
      <w:r w:rsidRPr="00BF24DD">
        <w:rPr>
          <w:rFonts w:cs="Times New Roman"/>
          <w:i/>
          <w:iCs/>
          <w:szCs w:val="24"/>
        </w:rPr>
        <w:t xml:space="preserve"> v. Jack Daniel’s Properties, Inc.</w:t>
      </w:r>
      <w:r w:rsidRPr="00BF24DD">
        <w:rPr>
          <w:rFonts w:cs="Times New Roman"/>
          <w:szCs w:val="24"/>
        </w:rPr>
        <w:t xml:space="preserve">, 953 F.3d 1170, 1176 (9th Cir. 2020).  If a mark has been determined to be expressive under the First Amendment, any claim for dilution by </w:t>
      </w:r>
      <w:proofErr w:type="spellStart"/>
      <w:r w:rsidRPr="00BF24DD">
        <w:rPr>
          <w:rFonts w:cs="Times New Roman"/>
          <w:szCs w:val="24"/>
        </w:rPr>
        <w:t>tarnishment</w:t>
      </w:r>
      <w:proofErr w:type="spellEnd"/>
      <w:r w:rsidRPr="00BF24DD">
        <w:rPr>
          <w:rFonts w:cs="Times New Roman"/>
          <w:szCs w:val="24"/>
        </w:rPr>
        <w:t xml:space="preserve"> is foreclosed. </w:t>
      </w:r>
      <w:r w:rsidRPr="00BF24DD">
        <w:rPr>
          <w:rFonts w:cs="Times New Roman"/>
          <w:i/>
          <w:iCs/>
          <w:szCs w:val="24"/>
        </w:rPr>
        <w:t xml:space="preserve"> See id. </w:t>
      </w:r>
    </w:p>
    <w:p w14:paraId="7A612212" w14:textId="77777777" w:rsidR="006A4CD7" w:rsidRPr="00BF24DD" w:rsidRDefault="006A4CD7" w:rsidP="0060759C">
      <w:pPr>
        <w:autoSpaceDE w:val="0"/>
        <w:autoSpaceDN w:val="0"/>
        <w:adjustRightInd w:val="0"/>
        <w:rPr>
          <w:rFonts w:cs="Times New Roman"/>
          <w:szCs w:val="24"/>
        </w:rPr>
      </w:pPr>
    </w:p>
    <w:p w14:paraId="7B650E8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In </w:t>
      </w:r>
      <w:r w:rsidRPr="00BF24DD">
        <w:rPr>
          <w:rFonts w:cs="Times New Roman"/>
          <w:i/>
          <w:iCs/>
          <w:szCs w:val="24"/>
        </w:rPr>
        <w:t>Blumenthal Distributing, Inc. v. Herman Miller, Inc.</w:t>
      </w:r>
      <w:r w:rsidRPr="00BF24DD">
        <w:rPr>
          <w:rFonts w:cs="Times New Roman"/>
          <w:szCs w:val="24"/>
        </w:rPr>
        <w:t xml:space="preserve">, 963 F.3d 859, 869-71 (9th Cir. 2020), the Ninth Circuit provided an extensive discussion of the concept of trade dress dilution. </w:t>
      </w:r>
    </w:p>
    <w:p w14:paraId="6EEBA3AA" w14:textId="77777777" w:rsidR="006A4CD7" w:rsidRPr="00BF24DD" w:rsidRDefault="006A4CD7" w:rsidP="0060759C">
      <w:pPr>
        <w:autoSpaceDE w:val="0"/>
        <w:autoSpaceDN w:val="0"/>
        <w:adjustRightInd w:val="0"/>
        <w:rPr>
          <w:rFonts w:cs="Times New Roman"/>
          <w:szCs w:val="24"/>
        </w:rPr>
      </w:pPr>
    </w:p>
    <w:p w14:paraId="60F2A160" w14:textId="77777777" w:rsidR="006A4CD7" w:rsidRPr="00BF24DD" w:rsidRDefault="006A4CD7" w:rsidP="0060759C">
      <w:pPr>
        <w:autoSpaceDE w:val="0"/>
        <w:autoSpaceDN w:val="0"/>
        <w:adjustRightInd w:val="0"/>
        <w:rPr>
          <w:rFonts w:cs="Times New Roman"/>
          <w:szCs w:val="24"/>
        </w:rPr>
      </w:pPr>
    </w:p>
    <w:p w14:paraId="5725BA03"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 xml:space="preserve">Revised Sept. 2020 </w:t>
      </w:r>
    </w:p>
    <w:p w14:paraId="5D5DF2A2" w14:textId="77777777" w:rsidR="003E3B69" w:rsidRPr="006A4CD7" w:rsidRDefault="003E3B69" w:rsidP="003E3B69"/>
    <w:p w14:paraId="2AEE6462" w14:textId="1239BA97" w:rsidR="009A3F8A" w:rsidRDefault="006A4CD7" w:rsidP="00982B7E">
      <w:pPr>
        <w:pStyle w:val="Heading2"/>
      </w:pPr>
      <w:r w:rsidRPr="006A4CD7">
        <w:br w:type="page"/>
      </w:r>
      <w:bookmarkStart w:id="286" w:name="_Toc117512568"/>
      <w:r w:rsidRPr="006A4CD7">
        <w:t>15.3</w:t>
      </w:r>
      <w:r w:rsidR="00B3204F">
        <w:t>1</w:t>
      </w:r>
      <w:r w:rsidRPr="006A4CD7">
        <w:t xml:space="preserve"> </w:t>
      </w:r>
      <w:r w:rsidR="00BF24DD" w:rsidRPr="00BF24DD">
        <w:t>Anti-Cybersquatting</w:t>
      </w:r>
      <w:bookmarkEnd w:id="286"/>
      <w:r w:rsidR="00BF24DD" w:rsidRPr="00BF24DD">
        <w:t xml:space="preserve"> </w:t>
      </w:r>
    </w:p>
    <w:p w14:paraId="7832201E" w14:textId="230EBFAB" w:rsidR="003E3B69" w:rsidRPr="006A4CD7" w:rsidRDefault="006A4CD7" w:rsidP="00982B7E">
      <w:pPr>
        <w:pStyle w:val="Heading2"/>
      </w:pPr>
      <w:bookmarkStart w:id="287" w:name="_Toc117512569"/>
      <w:r w:rsidRPr="006A4CD7">
        <w:t>(15 U.S.C. § 1125(d))</w:t>
      </w:r>
      <w:bookmarkEnd w:id="287"/>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Pr="00BF24DD"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r>
      <w:r w:rsidRPr="00BF24DD">
        <w:rPr>
          <w:rFonts w:cs="Times New Roman"/>
          <w:szCs w:val="24"/>
        </w:rPr>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BF24DD">
        <w:rPr>
          <w:rFonts w:cs="Times New Roman"/>
          <w:i/>
          <w:iCs/>
          <w:szCs w:val="24"/>
        </w:rPr>
        <w:t xml:space="preserve"> DSPT Intern., Inc. v. Nahum</w:t>
      </w:r>
      <w:r w:rsidRPr="00BF24DD">
        <w:rPr>
          <w:rFonts w:cs="Times New Roman"/>
          <w:szCs w:val="24"/>
        </w:rPr>
        <w:t xml:space="preserve">, 624 F.3d 1213, 1218-19 (9th Cir. 2010).  In addition, using in a domain name another’s protected mark “to get leverage in a business dispute” is sufficient to establish “bad faith intent.”  </w:t>
      </w:r>
      <w:r w:rsidRPr="00BF24DD">
        <w:rPr>
          <w:rFonts w:cs="Times New Roman"/>
          <w:i/>
          <w:iCs/>
          <w:szCs w:val="24"/>
        </w:rPr>
        <w:t xml:space="preserve">Id. </w:t>
      </w:r>
      <w:r w:rsidRPr="00BF24DD">
        <w:rPr>
          <w:rFonts w:cs="Times New Roman"/>
          <w:szCs w:val="24"/>
        </w:rPr>
        <w:t xml:space="preserve">at 1219-20. </w:t>
      </w:r>
      <w:r w:rsidRPr="00BF24DD">
        <w:rPr>
          <w:rFonts w:cs="Times New Roman"/>
          <w:i/>
          <w:iCs/>
          <w:szCs w:val="24"/>
        </w:rPr>
        <w:t xml:space="preserve"> </w:t>
      </w:r>
      <w:r w:rsidRPr="00BF24DD">
        <w:rPr>
          <w:rFonts w:cs="Times New Roman"/>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4E033B8A" w:rsidR="006A4CD7" w:rsidRPr="006A4CD7" w:rsidRDefault="006A4CD7" w:rsidP="00BF5CD7">
      <w:pPr>
        <w:pStyle w:val="Heading1"/>
      </w:pPr>
      <w:r w:rsidRPr="006A4CD7">
        <w:br w:type="page"/>
      </w:r>
      <w:bookmarkStart w:id="288" w:name="_Toc117512570"/>
      <w:r w:rsidRPr="006A4CD7">
        <w:t>16.  PATENTS</w:t>
      </w:r>
      <w:bookmarkEnd w:id="288"/>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BF24DD" w:rsidRDefault="006A4CD7" w:rsidP="0060759C">
      <w:pPr>
        <w:autoSpaceDE w:val="0"/>
        <w:autoSpaceDN w:val="0"/>
        <w:adjustRightInd w:val="0"/>
        <w:rPr>
          <w:rFonts w:cs="Times New Roman"/>
          <w:szCs w:val="24"/>
        </w:rPr>
      </w:pPr>
      <w:r w:rsidRPr="006A4CD7">
        <w:rPr>
          <w:rFonts w:ascii="CG Times" w:hAnsi="CG Times" w:cs="CG Times"/>
          <w:szCs w:val="24"/>
        </w:rPr>
        <w:tab/>
      </w:r>
      <w:r w:rsidRPr="00BF24DD">
        <w:rPr>
          <w:rFonts w:cs="Times New Roman"/>
          <w:szCs w:val="24"/>
        </w:rPr>
        <w:t>The Ninth Circuit’s model patent jury instructions have been withdrawn.  The following patent jury instructions are a helpful source:</w:t>
      </w:r>
    </w:p>
    <w:p w14:paraId="3011A20B" w14:textId="77777777" w:rsidR="006A4CD7" w:rsidRPr="00BF24DD" w:rsidRDefault="006A4CD7" w:rsidP="0060759C">
      <w:pPr>
        <w:autoSpaceDE w:val="0"/>
        <w:autoSpaceDN w:val="0"/>
        <w:adjustRightInd w:val="0"/>
        <w:rPr>
          <w:rFonts w:cs="Times New Roman"/>
          <w:szCs w:val="24"/>
        </w:rPr>
      </w:pPr>
    </w:p>
    <w:p w14:paraId="2F82412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Northern District of California, Model Patent Jury Instructions (2015).  </w:t>
      </w:r>
      <w:r w:rsidRPr="00BF24DD">
        <w:rPr>
          <w:rFonts w:cs="Times New Roman"/>
          <w:szCs w:val="24"/>
        </w:rPr>
        <w:t>The instructions can be accessed at:</w:t>
      </w:r>
    </w:p>
    <w:p w14:paraId="330B82F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hyperlink r:id="rId14" w:history="1">
        <w:r w:rsidRPr="00BF24DD">
          <w:rPr>
            <w:rFonts w:cs="Times New Roman"/>
            <w:szCs w:val="24"/>
          </w:rPr>
          <w:t>http://www.cand.uscourts.gov/filelibrary/5/patentmodfinal6.20.14.pdf</w:t>
        </w:r>
      </w:hyperlink>
    </w:p>
    <w:p w14:paraId="5BABFDDE" w14:textId="77777777" w:rsidR="006A4CD7" w:rsidRPr="00BF24DD" w:rsidRDefault="006A4CD7" w:rsidP="0060759C">
      <w:pPr>
        <w:autoSpaceDE w:val="0"/>
        <w:autoSpaceDN w:val="0"/>
        <w:adjustRightInd w:val="0"/>
        <w:rPr>
          <w:rFonts w:cs="Times New Roman"/>
          <w:szCs w:val="24"/>
        </w:rPr>
      </w:pPr>
    </w:p>
    <w:p w14:paraId="70371A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r w:rsidRPr="00BF24DD">
        <w:rPr>
          <w:rFonts w:cs="Times New Roman"/>
          <w:szCs w:val="24"/>
        </w:rPr>
        <w:tab/>
        <w:t>Other sources of patent jury instructions that may be helpful include:</w:t>
      </w:r>
    </w:p>
    <w:p w14:paraId="0CEFF803" w14:textId="77777777" w:rsidR="006A4CD7" w:rsidRPr="00BF24DD" w:rsidRDefault="006A4CD7" w:rsidP="0060759C">
      <w:pPr>
        <w:autoSpaceDE w:val="0"/>
        <w:autoSpaceDN w:val="0"/>
        <w:adjustRightInd w:val="0"/>
        <w:rPr>
          <w:rFonts w:cs="Times New Roman"/>
          <w:szCs w:val="24"/>
        </w:rPr>
      </w:pPr>
    </w:p>
    <w:p w14:paraId="6D0A4C0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American Bar Association Section of Litigation, Model Jury Instructions: Patent Litigation</w:t>
      </w:r>
      <w:r w:rsidRPr="00BF24DD">
        <w:rPr>
          <w:rFonts w:cs="Times New Roman"/>
          <w:szCs w:val="24"/>
        </w:rPr>
        <w:t xml:space="preserve"> (A.B.A., Chicago, Ill., 2005).</w:t>
      </w:r>
    </w:p>
    <w:p w14:paraId="3F147B12" w14:textId="77777777" w:rsidR="006A4CD7" w:rsidRPr="00BF24DD" w:rsidRDefault="006A4CD7" w:rsidP="0060759C">
      <w:pPr>
        <w:autoSpaceDE w:val="0"/>
        <w:autoSpaceDN w:val="0"/>
        <w:adjustRightInd w:val="0"/>
        <w:rPr>
          <w:rFonts w:cs="Times New Roman"/>
          <w:szCs w:val="24"/>
        </w:rPr>
      </w:pPr>
    </w:p>
    <w:p w14:paraId="0FC22E32" w14:textId="51D6D597" w:rsidR="006A4CD7" w:rsidRPr="00BF24DD" w:rsidRDefault="006A4CD7" w:rsidP="002E554E">
      <w:pPr>
        <w:tabs>
          <w:tab w:val="left" w:pos="720"/>
        </w:tabs>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Federal Circuit Bar Association, Model Patent Jury Instructions (2016).  </w:t>
      </w:r>
      <w:r w:rsidRPr="00BF24DD">
        <w:rPr>
          <w:rFonts w:cs="Times New Roman"/>
          <w:szCs w:val="24"/>
        </w:rPr>
        <w:t>The instructions can be accessed at:</w:t>
      </w:r>
    </w:p>
    <w:p w14:paraId="2772E0AC"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http_58__47__47_www_46_fedcirbar_46_org_47_documents_47_forms_47_LINKS_47__45__37_20FED_46__37_20CIR_46__37_20FINAL_37_20VERSION http://www.fedcirbar.org/documents/forms/LINKS/-%20FED.%20CIR.%20FINAL%20VERSION</w:instrText>
      </w:r>
      <w:r w:rsidRPr="00BF24DD">
        <w:rPr>
          <w:rFonts w:cs="Times New Roman"/>
          <w:szCs w:val="24"/>
        </w:rPr>
        <w:fldChar w:fldCharType="end"/>
      </w:r>
      <w:hyperlink r:id="rId15" w:history="1">
        <w:r w:rsidRPr="00BF24DD">
          <w:rPr>
            <w:rFonts w:cs="Times New Roman"/>
            <w:color w:val="0000FF"/>
            <w:szCs w:val="24"/>
            <w:u w:val="single"/>
          </w:rPr>
          <w:t>G:\\JURYIN~1\\MEBD41~1\\1600_I~1.WPD</w:t>
        </w:r>
      </w:hyperlink>
      <w:r w:rsidRPr="00BF24DD">
        <w:rPr>
          <w:rFonts w:cs="Times New Roman"/>
          <w:szCs w:val="24"/>
        </w:rPr>
        <w:t>https://fedcirbar.org/IntegralSource/Model-Patent-Jury-Instructions</w:t>
      </w:r>
    </w:p>
    <w:p w14:paraId="7D21FC46" w14:textId="77777777" w:rsidR="006A4CD7" w:rsidRPr="00BF24DD" w:rsidRDefault="006A4CD7" w:rsidP="0060759C">
      <w:pPr>
        <w:autoSpaceDE w:val="0"/>
        <w:autoSpaceDN w:val="0"/>
        <w:adjustRightInd w:val="0"/>
        <w:rPr>
          <w:rFonts w:cs="Times New Roman"/>
          <w:szCs w:val="24"/>
        </w:rPr>
      </w:pPr>
    </w:p>
    <w:p w14:paraId="1BD808C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Kevin F. O’Malley, et al., Federal Jury Practice and Instructions</w:t>
      </w:r>
      <w:r w:rsidRPr="00BF24DD">
        <w:rPr>
          <w:rFonts w:cs="Times New Roman"/>
          <w:szCs w:val="24"/>
        </w:rPr>
        <w:t xml:space="preserve"> </w:t>
      </w:r>
      <w:proofErr w:type="spellStart"/>
      <w:r w:rsidRPr="00BF24DD">
        <w:rPr>
          <w:rFonts w:cs="Times New Roman"/>
          <w:szCs w:val="24"/>
        </w:rPr>
        <w:t>ch.</w:t>
      </w:r>
      <w:proofErr w:type="spellEnd"/>
      <w:r w:rsidRPr="00BF24DD">
        <w:rPr>
          <w:rFonts w:cs="Times New Roman"/>
          <w:szCs w:val="24"/>
        </w:rPr>
        <w:t xml:space="preserve"> 158 Patent Infringement (6th ed.) (Thomson West 2006).</w:t>
      </w:r>
    </w:p>
    <w:p w14:paraId="49D6BEF2" w14:textId="77777777" w:rsidR="006A4CD7" w:rsidRPr="00BF24DD" w:rsidRDefault="006A4CD7" w:rsidP="0060759C">
      <w:pPr>
        <w:autoSpaceDE w:val="0"/>
        <w:autoSpaceDN w:val="0"/>
        <w:adjustRightInd w:val="0"/>
        <w:rPr>
          <w:rFonts w:cs="Times New Roman"/>
          <w:szCs w:val="24"/>
        </w:rPr>
      </w:pPr>
    </w:p>
    <w:p w14:paraId="4E682A45"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Leonard B. Sand, Modern Federal Jury Instructions</w:t>
      </w:r>
      <w:r w:rsidRPr="00BF24DD">
        <w:rPr>
          <w:rFonts w:cs="Times New Roman"/>
          <w:szCs w:val="24"/>
        </w:rPr>
        <w:t xml:space="preserve"> </w:t>
      </w:r>
      <w:proofErr w:type="spellStart"/>
      <w:r w:rsidRPr="00BF24DD">
        <w:rPr>
          <w:rFonts w:cs="Times New Roman"/>
          <w:szCs w:val="24"/>
        </w:rPr>
        <w:t>ch.</w:t>
      </w:r>
      <w:proofErr w:type="spellEnd"/>
      <w:r w:rsidRPr="00BF24DD">
        <w:rPr>
          <w:rFonts w:cs="Times New Roman"/>
          <w:szCs w:val="24"/>
        </w:rPr>
        <w:t xml:space="preserve"> 86 Patents (Matthew Bender, 2014). </w:t>
      </w:r>
    </w:p>
    <w:p w14:paraId="0D2A898A" w14:textId="77777777" w:rsidR="006A4CD7" w:rsidRPr="00BF24DD" w:rsidRDefault="006A4CD7" w:rsidP="0060759C">
      <w:pPr>
        <w:autoSpaceDE w:val="0"/>
        <w:autoSpaceDN w:val="0"/>
        <w:adjustRightInd w:val="0"/>
        <w:rPr>
          <w:rFonts w:cs="Times New Roman"/>
          <w:szCs w:val="24"/>
        </w:rPr>
      </w:pPr>
    </w:p>
    <w:p w14:paraId="33EB18E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District of Delaware, Uniform Jury Instructions for Patent Cases (1993).  </w:t>
      </w:r>
      <w:r w:rsidRPr="00BF24DD">
        <w:rPr>
          <w:rFonts w:cs="Times New Roman"/>
          <w:szCs w:val="24"/>
        </w:rPr>
        <w:t xml:space="preserve">The instructions can be accessed at the following web site:  </w:t>
      </w:r>
      <w:hyperlink r:id="rId16" w:history="1">
        <w:r w:rsidR="003E3B69" w:rsidRPr="00BF24DD">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0F6A4CFE" w:rsidR="006A4CD7" w:rsidRPr="006A4CD7" w:rsidRDefault="006A4CD7" w:rsidP="00BF5CD7">
      <w:pPr>
        <w:pStyle w:val="Heading1"/>
      </w:pPr>
      <w:r w:rsidRPr="006A4CD7">
        <w:br w:type="page"/>
      </w:r>
      <w:bookmarkStart w:id="289" w:name="_Toc117512571"/>
      <w:r w:rsidRPr="006A4CD7">
        <w:t>17.  COPYRIGHT</w:t>
      </w:r>
      <w:bookmarkEnd w:id="289"/>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F73151"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r w:rsidR="00BF24DD">
        <w:rPr>
          <w:rFonts w:cs="Times New Roman"/>
          <w:szCs w:val="24"/>
        </w:rPr>
        <w:t xml:space="preserve"> </w:t>
      </w:r>
      <w:r w:rsidR="00BF24DD" w:rsidRPr="00BF24DD">
        <w:rPr>
          <w:rFonts w:cs="Times New Roman"/>
          <w:szCs w:val="24"/>
        </w:rPr>
        <w:t>(17 U.S.C. § 106)</w:t>
      </w:r>
    </w:p>
    <w:p w14:paraId="6355678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0F1393">
      <w:pPr>
        <w:autoSpaceDE w:val="0"/>
        <w:autoSpaceDN w:val="0"/>
        <w:adjustRightInd w:val="0"/>
        <w:ind w:left="900" w:hanging="90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9BBD046" w14:textId="77777777" w:rsidR="00BF24DD" w:rsidRDefault="006A4CD7" w:rsidP="000F1393">
      <w:pPr>
        <w:autoSpaceDE w:val="0"/>
        <w:autoSpaceDN w:val="0"/>
        <w:adjustRightInd w:val="0"/>
        <w:ind w:left="900" w:hanging="900"/>
        <w:rPr>
          <w:rFonts w:cs="Times New Roman"/>
          <w:szCs w:val="24"/>
        </w:rPr>
      </w:pPr>
      <w:r w:rsidRPr="006A4CD7">
        <w:rPr>
          <w:rFonts w:cs="Times New Roman"/>
          <w:szCs w:val="24"/>
        </w:rPr>
        <w:t>17.6</w:t>
      </w:r>
      <w:r w:rsidRPr="006A4CD7">
        <w:rPr>
          <w:rFonts w:cs="Times New Roman"/>
          <w:szCs w:val="24"/>
        </w:rPr>
        <w:tab/>
        <w:t xml:space="preserve">Copyright Infringement—Ownership of Valid Copyright—Definition </w:t>
      </w:r>
    </w:p>
    <w:p w14:paraId="60005AD6" w14:textId="612BD5F4" w:rsidR="006A4CD7" w:rsidRPr="006A4CD7" w:rsidRDefault="006A4CD7" w:rsidP="000F1393">
      <w:pPr>
        <w:autoSpaceDE w:val="0"/>
        <w:autoSpaceDN w:val="0"/>
        <w:adjustRightInd w:val="0"/>
        <w:ind w:left="900"/>
        <w:rPr>
          <w:rFonts w:cs="Times New Roman"/>
          <w:szCs w:val="24"/>
        </w:rPr>
      </w:pPr>
      <w:r w:rsidRPr="006A4CD7">
        <w:rPr>
          <w:rFonts w:cs="Times New Roman"/>
          <w:szCs w:val="24"/>
        </w:rPr>
        <w:t>(17 U.S.C. §§ 201-205)</w:t>
      </w:r>
      <w:r w:rsidRPr="006A4CD7">
        <w:rPr>
          <w:rFonts w:cs="Times New Roman"/>
          <w:szCs w:val="24"/>
        </w:rPr>
        <w:tab/>
      </w:r>
    </w:p>
    <w:p w14:paraId="08A9AC5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4DB70286" w:rsidR="006A4CD7" w:rsidRPr="006A4CD7" w:rsidRDefault="006A4CD7" w:rsidP="000F1393">
      <w:pPr>
        <w:tabs>
          <w:tab w:val="left" w:pos="900"/>
          <w:tab w:val="left" w:pos="990"/>
        </w:tabs>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r>
      <w:r w:rsidR="000F1393">
        <w:rPr>
          <w:rFonts w:cs="Times New Roman"/>
          <w:szCs w:val="24"/>
        </w:rPr>
        <w:tab/>
      </w:r>
      <w:r w:rsidRPr="006A4CD7">
        <w:rPr>
          <w:rFonts w:cs="Times New Roman"/>
          <w:szCs w:val="24"/>
        </w:rPr>
        <w:t>Copyright Interests—Assignee (17 U.S.C. § 201(d)(1))</w:t>
      </w:r>
    </w:p>
    <w:p w14:paraId="2C6BBA6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4965F2F8"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17.15</w:t>
      </w:r>
      <w:r w:rsidRPr="006A4CD7">
        <w:rPr>
          <w:rFonts w:cs="Times New Roman"/>
          <w:szCs w:val="24"/>
        </w:rPr>
        <w:tab/>
      </w:r>
      <w:r w:rsidR="00B523B5">
        <w:rPr>
          <w:rFonts w:cs="Times New Roman"/>
          <w:szCs w:val="24"/>
        </w:rPr>
        <w:t>Copyright Interests—</w:t>
      </w:r>
      <w:r w:rsidRPr="006A4CD7">
        <w:rPr>
          <w:rFonts w:cs="Times New Roman"/>
          <w:szCs w:val="24"/>
        </w:rPr>
        <w:t>Derivative Work (17 U.S.C. §§ 101, 106(2))</w:t>
      </w:r>
    </w:p>
    <w:p w14:paraId="1106B22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2B8FD09F" w:rsidR="006A4CD7" w:rsidRPr="006A4CD7" w:rsidRDefault="006A4CD7" w:rsidP="000F1393">
      <w:pPr>
        <w:tabs>
          <w:tab w:val="left" w:pos="900"/>
          <w:tab w:val="left" w:pos="990"/>
        </w:tabs>
        <w:autoSpaceDE w:val="0"/>
        <w:autoSpaceDN w:val="0"/>
        <w:adjustRightInd w:val="0"/>
        <w:rPr>
          <w:rFonts w:cs="Times New Roman"/>
          <w:szCs w:val="24"/>
        </w:rPr>
      </w:pPr>
      <w:r w:rsidRPr="006A4CD7">
        <w:rPr>
          <w:rFonts w:cs="Times New Roman"/>
          <w:szCs w:val="24"/>
        </w:rPr>
        <w:t xml:space="preserve">17.21A </w:t>
      </w:r>
      <w:r w:rsidR="000F1393">
        <w:rPr>
          <w:rFonts w:cs="Times New Roman"/>
          <w:szCs w:val="24"/>
        </w:rPr>
        <w:t xml:space="preserve">  </w:t>
      </w:r>
      <w:r w:rsidRPr="006A4CD7">
        <w:rPr>
          <w:rFonts w:cs="Times New Roman"/>
          <w:szCs w:val="24"/>
        </w:rPr>
        <w:t>Copyright—Useful Articles/Functional Elements (17 U.S.C. § 101)</w:t>
      </w:r>
    </w:p>
    <w:p w14:paraId="267BA61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5DA6424"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17.23</w:t>
      </w:r>
      <w:r w:rsidRPr="006A4CD7">
        <w:rPr>
          <w:rFonts w:cs="Times New Roman"/>
          <w:szCs w:val="24"/>
        </w:rPr>
        <w:tab/>
      </w:r>
      <w:r w:rsidR="000F1393">
        <w:rPr>
          <w:rFonts w:cs="Times New Roman"/>
          <w:szCs w:val="24"/>
        </w:rPr>
        <w:tab/>
      </w:r>
      <w:r w:rsidRPr="006A4CD7">
        <w:rPr>
          <w:rFonts w:cs="Times New Roman"/>
          <w:szCs w:val="24"/>
        </w:rPr>
        <w:t>Copyright—Affirmative Defense—Abandonment</w:t>
      </w:r>
    </w:p>
    <w:p w14:paraId="454D67AA" w14:textId="5640BA1B"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17.24</w:t>
      </w:r>
      <w:r w:rsidRPr="006A4CD7">
        <w:rPr>
          <w:rFonts w:cs="Times New Roman"/>
          <w:szCs w:val="24"/>
        </w:rPr>
        <w:tab/>
      </w:r>
      <w:r w:rsidR="000F1393">
        <w:rPr>
          <w:rFonts w:cs="Times New Roman"/>
          <w:szCs w:val="24"/>
        </w:rPr>
        <w:tab/>
      </w:r>
      <w:r w:rsidRPr="006A4CD7">
        <w:rPr>
          <w:rFonts w:cs="Times New Roman"/>
          <w:szCs w:val="24"/>
        </w:rPr>
        <w:t>Copyright—Affirmative Defense—Copyright Misuse</w:t>
      </w:r>
    </w:p>
    <w:p w14:paraId="458EAEB6" w14:textId="0C306F8F"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w:t>
      </w:r>
      <w:r w:rsidRPr="006A4CD7">
        <w:rPr>
          <w:rFonts w:cs="Times New Roman"/>
          <w:szCs w:val="24"/>
        </w:rPr>
        <w:tab/>
      </w:r>
      <w:r w:rsidR="000F1393">
        <w:rPr>
          <w:rFonts w:cs="Times New Roman"/>
          <w:szCs w:val="24"/>
        </w:rPr>
        <w:tab/>
      </w:r>
      <w:r w:rsidRPr="006A4CD7">
        <w:rPr>
          <w:rFonts w:cs="Times New Roman"/>
          <w:szCs w:val="24"/>
        </w:rPr>
        <w:t>Copyright—Affirmative Defense—Implied License</w:t>
      </w:r>
    </w:p>
    <w:p w14:paraId="0DD160AD" w14:textId="39347AF2"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17.25A</w:t>
      </w:r>
      <w:r w:rsidRPr="006A4CD7">
        <w:rPr>
          <w:rFonts w:cs="Times New Roman"/>
          <w:szCs w:val="24"/>
        </w:rPr>
        <w:tab/>
      </w:r>
      <w:r w:rsidR="000F1393">
        <w:rPr>
          <w:rFonts w:cs="Times New Roman"/>
          <w:szCs w:val="24"/>
        </w:rPr>
        <w:tab/>
      </w:r>
      <w:r w:rsidRPr="006A4CD7">
        <w:rPr>
          <w:rFonts w:cs="Times New Roman"/>
          <w:szCs w:val="24"/>
        </w:rPr>
        <w:t xml:space="preserve">Copyright—Affirmative Defense—Express License </w:t>
      </w:r>
    </w:p>
    <w:p w14:paraId="3476772F" w14:textId="2D5D6005"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17.26</w:t>
      </w:r>
      <w:r w:rsidRPr="006A4CD7">
        <w:rPr>
          <w:rFonts w:cs="Times New Roman"/>
          <w:szCs w:val="24"/>
        </w:rPr>
        <w:tab/>
      </w:r>
      <w:r w:rsidR="000F1393">
        <w:rPr>
          <w:rFonts w:cs="Times New Roman"/>
          <w:szCs w:val="24"/>
        </w:rPr>
        <w:tab/>
      </w:r>
      <w:r w:rsidRPr="006A4CD7">
        <w:rPr>
          <w:rFonts w:cs="Times New Roman"/>
          <w:szCs w:val="24"/>
        </w:rPr>
        <w:t>Copyright—Affirmative Defense—First Sale</w:t>
      </w:r>
      <w:r w:rsidR="00372617">
        <w:rPr>
          <w:rFonts w:cs="Times New Roman"/>
          <w:szCs w:val="24"/>
        </w:rPr>
        <w:t xml:space="preserve"> </w:t>
      </w:r>
      <w:r w:rsidR="00372617" w:rsidRPr="006A4CD7">
        <w:rPr>
          <w:rFonts w:cs="Times New Roman"/>
          <w:szCs w:val="24"/>
        </w:rPr>
        <w:t>(17 U.S.C. § 10</w:t>
      </w:r>
      <w:r w:rsidR="00372617">
        <w:rPr>
          <w:rFonts w:cs="Times New Roman"/>
          <w:szCs w:val="24"/>
        </w:rPr>
        <w:t>9(a))</w:t>
      </w:r>
    </w:p>
    <w:p w14:paraId="3FC7119A" w14:textId="6676A752" w:rsidR="006A4CD7" w:rsidRPr="006A4CD7" w:rsidRDefault="006A4CD7" w:rsidP="000F1393">
      <w:pPr>
        <w:tabs>
          <w:tab w:val="left" w:pos="810"/>
          <w:tab w:val="left" w:pos="900"/>
        </w:tabs>
        <w:autoSpaceDE w:val="0"/>
        <w:autoSpaceDN w:val="0"/>
        <w:adjustRightInd w:val="0"/>
        <w:ind w:left="900" w:hanging="900"/>
        <w:rPr>
          <w:rFonts w:cs="Times New Roman"/>
          <w:szCs w:val="24"/>
        </w:rPr>
      </w:pPr>
      <w:r w:rsidRPr="006A4CD7">
        <w:rPr>
          <w:rFonts w:cs="Times New Roman"/>
          <w:szCs w:val="24"/>
        </w:rPr>
        <w:t>17.27</w:t>
      </w:r>
      <w:r w:rsidRPr="006A4CD7">
        <w:rPr>
          <w:rFonts w:cs="Times New Roman"/>
          <w:szCs w:val="24"/>
        </w:rPr>
        <w:tab/>
      </w:r>
      <w:r w:rsidR="000F1393">
        <w:rPr>
          <w:rFonts w:cs="Times New Roman"/>
          <w:szCs w:val="24"/>
        </w:rPr>
        <w:tab/>
      </w:r>
      <w:r w:rsidRPr="006A4CD7">
        <w:rPr>
          <w:rFonts w:cs="Times New Roman"/>
          <w:szCs w:val="24"/>
        </w:rPr>
        <w:t xml:space="preserve">Copyright—Affirmative Defense—Service Provider of Network Communications </w:t>
      </w:r>
      <w:r w:rsidR="000F1393">
        <w:rPr>
          <w:rFonts w:cs="Times New Roman"/>
          <w:szCs w:val="24"/>
        </w:rPr>
        <w:t xml:space="preserve">  </w:t>
      </w:r>
      <w:r w:rsidRPr="006A4CD7">
        <w:rPr>
          <w:rFonts w:cs="Times New Roman"/>
          <w:szCs w:val="24"/>
        </w:rPr>
        <w:t>Services Defined</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 (</w:t>
      </w:r>
      <w:proofErr w:type="spellStart"/>
      <w:r w:rsidR="00372617">
        <w:rPr>
          <w:rFonts w:cs="Times New Roman"/>
          <w:szCs w:val="24"/>
        </w:rPr>
        <w:t>i</w:t>
      </w:r>
      <w:proofErr w:type="spellEnd"/>
      <w:r w:rsidR="00372617">
        <w:rPr>
          <w:rFonts w:cs="Times New Roman"/>
          <w:szCs w:val="24"/>
        </w:rPr>
        <w:t>),</w:t>
      </w:r>
      <w:r w:rsidR="000F1393">
        <w:rPr>
          <w:rFonts w:cs="Times New Roman"/>
          <w:szCs w:val="24"/>
        </w:rPr>
        <w:t xml:space="preserve"> </w:t>
      </w:r>
      <w:r w:rsidR="00372617">
        <w:rPr>
          <w:rFonts w:cs="Times New Roman"/>
          <w:szCs w:val="24"/>
        </w:rPr>
        <w:t>(k)</w:t>
      </w:r>
      <w:r w:rsidR="00372617" w:rsidRPr="006A4CD7">
        <w:rPr>
          <w:rFonts w:cs="Times New Roman"/>
          <w:szCs w:val="24"/>
        </w:rPr>
        <w:t>)</w:t>
      </w:r>
    </w:p>
    <w:p w14:paraId="52FB1E61" w14:textId="2E653EB2"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D230349"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r>
      <w:r w:rsidR="000F1393">
        <w:rPr>
          <w:rFonts w:cs="Times New Roman"/>
          <w:szCs w:val="24"/>
        </w:rPr>
        <w:tab/>
      </w:r>
      <w:r w:rsidRPr="006A4CD7">
        <w:rPr>
          <w:rFonts w:cs="Times New Roman"/>
          <w:szCs w:val="24"/>
        </w:rPr>
        <w:t>Copyright—Affirmative Defense—Limitation on Liability for System Caching</w:t>
      </w:r>
    </w:p>
    <w:p w14:paraId="75EDD470" w14:textId="53FEBAAE"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w:t>
      </w:r>
      <w:r w:rsidR="000F1393">
        <w:rPr>
          <w:rFonts w:cs="Times New Roman"/>
          <w:szCs w:val="24"/>
        </w:rPr>
        <w:t>(c)</w:t>
      </w:r>
      <w:r w:rsidR="00372617" w:rsidRPr="006A4CD7">
        <w:rPr>
          <w:rFonts w:cs="Times New Roman"/>
          <w:szCs w:val="24"/>
        </w:rPr>
        <w:t>)</w:t>
      </w:r>
    </w:p>
    <w:p w14:paraId="3FFBD342" w14:textId="76B059EC"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r w:rsidR="000F1393" w:rsidRPr="006A4CD7">
        <w:rPr>
          <w:rFonts w:cs="Times New Roman"/>
          <w:szCs w:val="24"/>
        </w:rPr>
        <w:t xml:space="preserve">(17 U.S.C. § </w:t>
      </w:r>
      <w:r w:rsidR="000F1393">
        <w:rPr>
          <w:rFonts w:cs="Times New Roman"/>
          <w:szCs w:val="24"/>
        </w:rPr>
        <w:t>512(d)</w:t>
      </w:r>
      <w:r w:rsidR="000F1393" w:rsidRPr="006A4CD7">
        <w:rPr>
          <w:rFonts w:cs="Times New Roman"/>
          <w:szCs w:val="24"/>
        </w:rPr>
        <w:t>)</w:t>
      </w:r>
    </w:p>
    <w:p w14:paraId="3AE46D82" w14:textId="6E4C990C"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r>
      <w:r w:rsidR="000F1393">
        <w:rPr>
          <w:rFonts w:cs="Times New Roman"/>
          <w:szCs w:val="24"/>
        </w:rPr>
        <w:tab/>
      </w:r>
      <w:r w:rsidRPr="006A4CD7">
        <w:rPr>
          <w:rFonts w:cs="Times New Roman"/>
          <w:szCs w:val="24"/>
        </w:rPr>
        <w:t>Copyright—Damages (17 U.S.C. § 504)</w:t>
      </w:r>
    </w:p>
    <w:p w14:paraId="6849E898" w14:textId="23970384"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r>
      <w:r w:rsidR="000F1393">
        <w:rPr>
          <w:rFonts w:cs="Times New Roman"/>
          <w:szCs w:val="24"/>
        </w:rPr>
        <w:t xml:space="preserve">   </w:t>
      </w:r>
      <w:r w:rsidRPr="006A4CD7">
        <w:rPr>
          <w:rFonts w:cs="Times New Roman"/>
          <w:szCs w:val="24"/>
        </w:rPr>
        <w:t>Copyright—Damages—Actual Damages (17 U.S.C. § 504(b))</w:t>
      </w:r>
    </w:p>
    <w:p w14:paraId="766CFD49" w14:textId="7413F635"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4197028C" w14:textId="77777777" w:rsidR="00604299" w:rsidRDefault="00604299" w:rsidP="000F1393">
      <w:pPr>
        <w:tabs>
          <w:tab w:val="left" w:pos="900"/>
        </w:tabs>
        <w:autoSpaceDE w:val="0"/>
        <w:autoSpaceDN w:val="0"/>
        <w:adjustRightInd w:val="0"/>
        <w:rPr>
          <w:rFonts w:cs="Times New Roman"/>
          <w:szCs w:val="24"/>
        </w:rPr>
      </w:pPr>
    </w:p>
    <w:p w14:paraId="34DC4B22" w14:textId="626B187B"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17.36</w:t>
      </w:r>
      <w:r w:rsidRPr="006A4CD7">
        <w:rPr>
          <w:rFonts w:cs="Times New Roman"/>
          <w:szCs w:val="24"/>
        </w:rPr>
        <w:tab/>
        <w:t>Copyright—Damages—Innocent Infringement (17 U.S.C. § 504(c)(2))</w:t>
      </w:r>
    </w:p>
    <w:p w14:paraId="023B17A5" w14:textId="17791C7B" w:rsidR="006A4CD7" w:rsidRDefault="006A4CD7" w:rsidP="000F1393">
      <w:pPr>
        <w:tabs>
          <w:tab w:val="left" w:pos="900"/>
        </w:tabs>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1C4663BE" w14:textId="77777777" w:rsidR="00604299" w:rsidRPr="006A4CD7" w:rsidRDefault="00604299" w:rsidP="000F1393">
      <w:pPr>
        <w:tabs>
          <w:tab w:val="left" w:pos="900"/>
        </w:tabs>
        <w:autoSpaceDE w:val="0"/>
        <w:autoSpaceDN w:val="0"/>
        <w:adjustRightInd w:val="0"/>
        <w:rPr>
          <w:rFonts w:cs="Times New Roman"/>
          <w:szCs w:val="24"/>
        </w:rPr>
      </w:pPr>
    </w:p>
    <w:p w14:paraId="3006C293" w14:textId="30548223" w:rsidR="006A4CD7" w:rsidRDefault="00604299" w:rsidP="0060759C">
      <w:pPr>
        <w:autoSpaceDE w:val="0"/>
        <w:autoSpaceDN w:val="0"/>
        <w:adjustRightInd w:val="0"/>
        <w:jc w:val="center"/>
        <w:rPr>
          <w:rFonts w:cs="Times New Roman"/>
          <w:szCs w:val="24"/>
        </w:rPr>
      </w:pPr>
      <w:r>
        <w:rPr>
          <w:rFonts w:cs="Times New Roman"/>
          <w:szCs w:val="24"/>
        </w:rPr>
        <w:t>____________________</w:t>
      </w:r>
    </w:p>
    <w:p w14:paraId="742E0F21" w14:textId="3B13A365" w:rsidR="00604299" w:rsidRDefault="00604299" w:rsidP="0060759C">
      <w:pPr>
        <w:autoSpaceDE w:val="0"/>
        <w:autoSpaceDN w:val="0"/>
        <w:adjustRightInd w:val="0"/>
        <w:jc w:val="center"/>
        <w:rPr>
          <w:rFonts w:cs="Times New Roman"/>
          <w:szCs w:val="24"/>
        </w:rPr>
      </w:pPr>
    </w:p>
    <w:p w14:paraId="7B701F99" w14:textId="77777777" w:rsidR="00604299" w:rsidRPr="006A4CD7" w:rsidRDefault="00604299" w:rsidP="0060759C">
      <w:pPr>
        <w:autoSpaceDE w:val="0"/>
        <w:autoSpaceDN w:val="0"/>
        <w:adjustRightInd w:val="0"/>
        <w:jc w:val="center"/>
        <w:rPr>
          <w:rFonts w:cs="Times New Roman"/>
          <w:szCs w:val="24"/>
        </w:rPr>
      </w:pPr>
    </w:p>
    <w:p w14:paraId="0E634CA3" w14:textId="38BADA18" w:rsidR="006A4CD7" w:rsidRPr="006A4CD7" w:rsidRDefault="006A4CD7" w:rsidP="003E3B69">
      <w:pPr>
        <w:pStyle w:val="Heading2"/>
      </w:pPr>
      <w:r w:rsidRPr="006A4CD7">
        <w:br w:type="page"/>
      </w:r>
      <w:bookmarkStart w:id="290" w:name="_Toc117512572"/>
      <w:r w:rsidRPr="006A4CD7">
        <w:t xml:space="preserve">17.1 </w:t>
      </w:r>
      <w:r w:rsidR="00BF24DD" w:rsidRPr="00BF24DD">
        <w:t>Preliminary Instruction—Copyright</w:t>
      </w:r>
      <w:bookmarkEnd w:id="290"/>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copyright has the right to exclude any other person from reproducing, distributing, performing, displaying, or preparing derivative works from the work covered by copyright for a specific period of time.</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[transfer] [sell] [convey] to another person all or part of the owner’s property interest in the copyright, that is, the right to exclude others from reproducing, distributing, performing, displaying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74960362"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[Copyright automatically attaches to a work the moment the work is fixed in any tangible medium of expression.  The owner of the copyright may apply to register the copyright by completing a registration form and depositing a copy of the copyrighted work with the Copyright </w:t>
      </w:r>
    </w:p>
    <w:p w14:paraId="4D255430" w14:textId="3511527B" w:rsidR="006A4CD7" w:rsidRPr="006A4CD7" w:rsidRDefault="006A4CD7" w:rsidP="0060759C">
      <w:pPr>
        <w:autoSpaceDE w:val="0"/>
        <w:autoSpaceDN w:val="0"/>
        <w:adjustRightInd w:val="0"/>
        <w:rPr>
          <w:rFonts w:cs="Times New Roman"/>
          <w:szCs w:val="24"/>
        </w:rPr>
      </w:pPr>
      <w:r w:rsidRPr="006A4CD7">
        <w:rPr>
          <w:rFonts w:cs="Times New Roman"/>
          <w:szCs w:val="24"/>
        </w:rPr>
        <w:t>Office.  After determining that the material deposited constitutes copyrightable subject matter and that certain legal and formal requirements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has profited directly from the infringing activity and had the right and ability to supervise or control the infringing activity, whether or not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7C0782C"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there is no copyright infringement.  There is no copyright infringement when [the defendant independently created the challenged work] [the defendant </w:t>
      </w:r>
    </w:p>
    <w:p w14:paraId="1D31320D" w14:textId="3A0CCA7A" w:rsidR="006A4CD7" w:rsidRPr="006A4CD7" w:rsidRDefault="006A4CD7" w:rsidP="00240080">
      <w:pPr>
        <w:autoSpaceDE w:val="0"/>
        <w:autoSpaceDN w:val="0"/>
        <w:adjustRightInd w:val="0"/>
        <w:rPr>
          <w:rFonts w:cs="Times New Roman"/>
          <w:szCs w:val="24"/>
        </w:rPr>
      </w:pPr>
      <w:r w:rsidRPr="006A4CD7">
        <w:rPr>
          <w:rFonts w:cs="Times New Roman"/>
          <w:szCs w:val="24"/>
        </w:rPr>
        <w:t>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240080">
      <w:pPr>
        <w:autoSpaceDE w:val="0"/>
        <w:autoSpaceDN w:val="0"/>
        <w:adjustRightInd w:val="0"/>
        <w:rPr>
          <w:rFonts w:cs="Times New Roman"/>
          <w:szCs w:val="24"/>
        </w:rPr>
      </w:pPr>
    </w:p>
    <w:p w14:paraId="2727CB1E" w14:textId="77777777" w:rsidR="006A4CD7" w:rsidRPr="006A4CD7" w:rsidRDefault="006A4CD7" w:rsidP="00240080">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240080">
      <w:pPr>
        <w:autoSpaceDE w:val="0"/>
        <w:autoSpaceDN w:val="0"/>
        <w:adjustRightInd w:val="0"/>
        <w:rPr>
          <w:rFonts w:cs="Times New Roman"/>
          <w:szCs w:val="24"/>
        </w:rPr>
      </w:pPr>
    </w:p>
    <w:p w14:paraId="3F2606ED" w14:textId="4992C498" w:rsidR="00240080" w:rsidRDefault="00240080" w:rsidP="00240080">
      <w:pPr>
        <w:pStyle w:val="NormalWeb"/>
        <w:shd w:val="clear" w:color="auto" w:fill="FFFFFF"/>
        <w:spacing w:before="0" w:beforeAutospacing="0" w:after="0" w:afterAutospacing="0"/>
        <w:ind w:firstLine="720"/>
        <w:rPr>
          <w:rStyle w:val="Emphasis"/>
        </w:rPr>
      </w:pPr>
      <w:r w:rsidRPr="007177F9">
        <w:rPr>
          <w:rStyle w:val="Emphasis"/>
        </w:rPr>
        <w:t>See generally</w:t>
      </w:r>
      <w:r w:rsidRPr="007177F9">
        <w:t> 17 U.S.C. §§ 101, </w:t>
      </w:r>
      <w:r w:rsidRPr="007177F9">
        <w:rPr>
          <w:rStyle w:val="Emphasis"/>
        </w:rPr>
        <w:t>et seq.</w:t>
      </w:r>
    </w:p>
    <w:p w14:paraId="1E8CE29F" w14:textId="77777777" w:rsidR="00240080" w:rsidRPr="007177F9" w:rsidRDefault="00240080" w:rsidP="00240080">
      <w:pPr>
        <w:pStyle w:val="NormalWeb"/>
        <w:shd w:val="clear" w:color="auto" w:fill="FFFFFF"/>
        <w:spacing w:before="0" w:beforeAutospacing="0" w:after="0" w:afterAutospacing="0"/>
        <w:ind w:firstLine="720"/>
      </w:pPr>
    </w:p>
    <w:p w14:paraId="30E47875" w14:textId="77777777" w:rsidR="00240080" w:rsidRPr="008122A5" w:rsidRDefault="00240080" w:rsidP="00240080">
      <w:pPr>
        <w:autoSpaceDE w:val="0"/>
        <w:autoSpaceDN w:val="0"/>
        <w:adjustRightInd w:val="0"/>
        <w:ind w:firstLine="720"/>
        <w:rPr>
          <w:rFonts w:cs="Times New Roman"/>
          <w:szCs w:val="24"/>
        </w:rPr>
      </w:pPr>
      <w:r w:rsidRPr="007177F9">
        <w:rPr>
          <w:rFonts w:cs="Times New Roman"/>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cs="Times New Roman"/>
          <w:szCs w:val="24"/>
        </w:rPr>
        <w:t>Newton v. Diamond</w:t>
      </w:r>
      <w:r w:rsidRPr="007177F9">
        <w:rPr>
          <w:rFonts w:cs="Times New Roman"/>
          <w:szCs w:val="24"/>
        </w:rPr>
        <w:t>, 388 F.3d 1189, 1192-93 (9th Cir. 2004) (citations omitted).</w:t>
      </w:r>
      <w:r w:rsidRPr="008122A5">
        <w:rPr>
          <w:rFonts w:cs="Times New Roman"/>
          <w:color w:val="494949"/>
          <w:szCs w:val="24"/>
        </w:rPr>
        <w:t xml:space="preserve">  </w:t>
      </w:r>
      <w:r w:rsidRPr="008122A5">
        <w:rPr>
          <w:rFonts w:cs="Times New Roman"/>
          <w:szCs w:val="24"/>
        </w:rPr>
        <w:t xml:space="preserve">&lt;“[W]e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cs="Times New Roman"/>
          <w:szCs w:val="24"/>
        </w:rPr>
        <w:t xml:space="preserve"> </w:t>
      </w:r>
      <w:r w:rsidRPr="008122A5">
        <w:rPr>
          <w:rFonts w:cs="Times New Roman"/>
          <w:i/>
          <w:iCs/>
          <w:szCs w:val="24"/>
        </w:rPr>
        <w:t>Bell v. Wilmott Storage Services, LLC</w:t>
      </w:r>
      <w:r w:rsidRPr="008122A5">
        <w:rPr>
          <w:rFonts w:cs="Times New Roman"/>
          <w:szCs w:val="24"/>
        </w:rPr>
        <w:t>, 12 F.4th 1065 (9th Cir. Sept. 9, 2021)</w:t>
      </w:r>
      <w:r w:rsidRPr="007177F9">
        <w:rPr>
          <w:rFonts w:cs="Times New Roman"/>
          <w:szCs w:val="24"/>
        </w:rPr>
        <w:t>.  A use is considered de minimis, and therefore not substantial, "if it is so meager and fragmentary that the average audience would not recognize the appropriation." </w:t>
      </w:r>
      <w:r w:rsidRPr="007177F9">
        <w:rPr>
          <w:rStyle w:val="Emphasis"/>
          <w:rFonts w:cs="Times New Roman"/>
          <w:szCs w:val="24"/>
        </w:rPr>
        <w:t>Newton, 388 F.3d</w:t>
      </w:r>
      <w:r w:rsidRPr="007177F9">
        <w:rPr>
          <w:rFonts w:cs="Times New Roman"/>
          <w:szCs w:val="24"/>
        </w:rPr>
        <w:t xml:space="preserve"> at 1193 (quoting </w:t>
      </w:r>
      <w:r w:rsidRPr="007177F9">
        <w:rPr>
          <w:rStyle w:val="Emphasis"/>
          <w:rFonts w:cs="Times New Roman"/>
          <w:szCs w:val="24"/>
        </w:rPr>
        <w:t>Fisher v. Dees</w:t>
      </w:r>
      <w:r w:rsidRPr="007177F9">
        <w:rPr>
          <w:rFonts w:cs="Times New Roman"/>
          <w:szCs w:val="24"/>
        </w:rPr>
        <w:t>, 794 F.2d 432, 434 n.2 (9th Cir. 1986)).</w:t>
      </w:r>
    </w:p>
    <w:p w14:paraId="47EDE97C" w14:textId="77777777" w:rsidR="00240080" w:rsidRDefault="00240080" w:rsidP="00240080">
      <w:pPr>
        <w:autoSpaceDE w:val="0"/>
        <w:autoSpaceDN w:val="0"/>
        <w:adjustRightInd w:val="0"/>
        <w:rPr>
          <w:rFonts w:cs="Times New Roman"/>
          <w:szCs w:val="24"/>
        </w:rPr>
      </w:pPr>
    </w:p>
    <w:p w14:paraId="15460292" w14:textId="439FA127" w:rsidR="00240080" w:rsidRDefault="00240080" w:rsidP="00240080">
      <w:pPr>
        <w:autoSpaceDE w:val="0"/>
        <w:autoSpaceDN w:val="0"/>
        <w:adjustRightInd w:val="0"/>
        <w:ind w:firstLine="720"/>
        <w:rPr>
          <w:rFonts w:cs="Times New Roman"/>
          <w:szCs w:val="24"/>
        </w:rPr>
      </w:pPr>
      <w:r w:rsidRPr="007177F9">
        <w:rPr>
          <w:rFonts w:cs="Times New Roman"/>
          <w:szCs w:val="24"/>
        </w:rPr>
        <w:t>Copying might also be considered de minimis when the use of</w:t>
      </w:r>
      <w:r>
        <w:rPr>
          <w:rFonts w:cs="Times New Roman"/>
          <w:szCs w:val="24"/>
        </w:rPr>
        <w:t xml:space="preserve"> </w:t>
      </w:r>
      <w:r w:rsidRPr="007177F9">
        <w:rPr>
          <w:rFonts w:cs="Times New Roman"/>
          <w:szCs w:val="24"/>
        </w:rPr>
        <w:t>the work is so fleeting or trivial that "a reasonable jury could not</w:t>
      </w:r>
      <w:r>
        <w:rPr>
          <w:rFonts w:cs="Times New Roman"/>
          <w:szCs w:val="24"/>
        </w:rPr>
        <w:t xml:space="preserve"> </w:t>
      </w:r>
      <w:r w:rsidRPr="007177F9">
        <w:rPr>
          <w:rFonts w:cs="Times New Roman"/>
          <w:szCs w:val="24"/>
        </w:rPr>
        <w:t>conclude that an average audience would recognize an appropriation</w:t>
      </w:r>
      <w:r>
        <w:rPr>
          <w:rFonts w:cs="Times New Roman"/>
          <w:szCs w:val="24"/>
        </w:rPr>
        <w:t xml:space="preserve"> </w:t>
      </w:r>
      <w:r w:rsidRPr="007177F9">
        <w:rPr>
          <w:rFonts w:cs="Times New Roman"/>
          <w:szCs w:val="24"/>
        </w:rPr>
        <w:t>of the [plaintiff's] composition," therefore rendering the works</w:t>
      </w:r>
      <w:r>
        <w:rPr>
          <w:rFonts w:cs="Times New Roman"/>
          <w:szCs w:val="24"/>
        </w:rPr>
        <w:t xml:space="preserve"> </w:t>
      </w:r>
      <w:r w:rsidRPr="007177F9">
        <w:rPr>
          <w:rFonts w:cs="Times New Roman"/>
          <w:szCs w:val="24"/>
        </w:rPr>
        <w:t xml:space="preserve">substantially dissimilar. </w:t>
      </w:r>
      <w:r w:rsidRPr="007177F9">
        <w:rPr>
          <w:rFonts w:cs="Times New Roman"/>
          <w:i/>
          <w:iCs/>
          <w:szCs w:val="24"/>
        </w:rPr>
        <w:t>Bell</w:t>
      </w:r>
      <w:r w:rsidRPr="007177F9">
        <w:rPr>
          <w:rFonts w:cs="Times New Roman"/>
          <w:szCs w:val="24"/>
        </w:rPr>
        <w:t>, 12 F.4th at 1078 (</w:t>
      </w:r>
      <w:r w:rsidRPr="007177F9">
        <w:rPr>
          <w:rFonts w:cs="Times New Roman"/>
          <w:i/>
          <w:iCs/>
          <w:szCs w:val="24"/>
        </w:rPr>
        <w:t xml:space="preserve">quoting VMG </w:t>
      </w:r>
      <w:proofErr w:type="spellStart"/>
      <w:r w:rsidRPr="007177F9">
        <w:rPr>
          <w:rFonts w:cs="Times New Roman"/>
          <w:i/>
          <w:iCs/>
          <w:szCs w:val="24"/>
        </w:rPr>
        <w:t>Salsoul</w:t>
      </w:r>
      <w:proofErr w:type="spellEnd"/>
      <w:r w:rsidRPr="007177F9">
        <w:rPr>
          <w:rFonts w:cs="Times New Roman"/>
          <w:i/>
          <w:iCs/>
          <w:szCs w:val="24"/>
        </w:rPr>
        <w:t>,</w:t>
      </w:r>
      <w:r>
        <w:rPr>
          <w:rFonts w:cs="Times New Roman"/>
          <w:szCs w:val="24"/>
        </w:rPr>
        <w:t xml:space="preserve"> </w:t>
      </w:r>
      <w:r w:rsidRPr="007177F9">
        <w:rPr>
          <w:rFonts w:cs="Times New Roman"/>
          <w:i/>
          <w:iCs/>
          <w:szCs w:val="24"/>
        </w:rPr>
        <w:t>LLC v. Ciccone</w:t>
      </w:r>
      <w:r w:rsidRPr="007177F9">
        <w:rPr>
          <w:rFonts w:cs="Times New Roman"/>
          <w:szCs w:val="24"/>
        </w:rPr>
        <w:t>, 824 F.3d 871, 886-87 (9th Cir. 2016). Unless the</w:t>
      </w:r>
      <w:r>
        <w:rPr>
          <w:rFonts w:cs="Times New Roman"/>
          <w:szCs w:val="24"/>
        </w:rPr>
        <w:t xml:space="preserve"> </w:t>
      </w:r>
      <w:r w:rsidRPr="007177F9">
        <w:rPr>
          <w:rFonts w:cs="Times New Roman"/>
          <w:szCs w:val="24"/>
        </w:rPr>
        <w:t>copying of the protected work is so de minimis as to “be</w:t>
      </w:r>
      <w:r>
        <w:rPr>
          <w:rFonts w:cs="Times New Roman"/>
          <w:szCs w:val="24"/>
        </w:rPr>
        <w:t xml:space="preserve"> </w:t>
      </w:r>
      <w:r w:rsidRPr="007177F9">
        <w:rPr>
          <w:rFonts w:cs="Times New Roman"/>
          <w:szCs w:val="24"/>
        </w:rPr>
        <w:t>non-recognizable as a copy,” the “[w]</w:t>
      </w:r>
      <w:proofErr w:type="spellStart"/>
      <w:r w:rsidRPr="007177F9">
        <w:rPr>
          <w:rFonts w:cs="Times New Roman"/>
          <w:szCs w:val="24"/>
        </w:rPr>
        <w:t>holesale</w:t>
      </w:r>
      <w:proofErr w:type="spellEnd"/>
      <w:r w:rsidRPr="007177F9">
        <w:rPr>
          <w:rFonts w:cs="Times New Roman"/>
          <w:szCs w:val="24"/>
        </w:rPr>
        <w:t xml:space="preserve"> copying or</w:t>
      </w:r>
      <w:r>
        <w:rPr>
          <w:rFonts w:cs="Times New Roman"/>
          <w:szCs w:val="24"/>
        </w:rPr>
        <w:t xml:space="preserve"> </w:t>
      </w:r>
      <w:r w:rsidRPr="007177F9">
        <w:rPr>
          <w:rFonts w:cs="Times New Roman"/>
          <w:szCs w:val="24"/>
        </w:rPr>
        <w:t>reproduction of another's protected work . . . by definition cannot be</w:t>
      </w:r>
      <w:r>
        <w:rPr>
          <w:rFonts w:cs="Times New Roman"/>
          <w:szCs w:val="24"/>
        </w:rPr>
        <w:t xml:space="preserve"> </w:t>
      </w:r>
      <w:r w:rsidRPr="007177F9">
        <w:rPr>
          <w:rFonts w:cs="Times New Roman"/>
          <w:szCs w:val="24"/>
        </w:rPr>
        <w:t xml:space="preserve">de minimis copying.” </w:t>
      </w:r>
      <w:r w:rsidRPr="007177F9">
        <w:rPr>
          <w:rFonts w:cs="Times New Roman"/>
          <w:i/>
          <w:iCs/>
          <w:szCs w:val="24"/>
        </w:rPr>
        <w:t>Id</w:t>
      </w:r>
      <w:r w:rsidRPr="007177F9">
        <w:rPr>
          <w:rFonts w:cs="Times New Roman"/>
          <w:szCs w:val="24"/>
        </w:rPr>
        <w:t>. at 1078-79.</w:t>
      </w:r>
    </w:p>
    <w:p w14:paraId="5DF6366C" w14:textId="77777777" w:rsidR="00240080" w:rsidRPr="00240080" w:rsidRDefault="00240080" w:rsidP="00240080">
      <w:pPr>
        <w:autoSpaceDE w:val="0"/>
        <w:autoSpaceDN w:val="0"/>
        <w:adjustRightInd w:val="0"/>
        <w:ind w:firstLine="720"/>
        <w:rPr>
          <w:rFonts w:cs="Times New Roman"/>
          <w:szCs w:val="24"/>
        </w:rPr>
      </w:pPr>
    </w:p>
    <w:p w14:paraId="39DD61B2" w14:textId="6B8073EF" w:rsidR="00240080" w:rsidRDefault="00240080" w:rsidP="00240080">
      <w:pPr>
        <w:pStyle w:val="NormalWeb"/>
        <w:shd w:val="clear" w:color="auto" w:fill="FFFFFF"/>
        <w:spacing w:before="0" w:beforeAutospacing="0" w:after="0" w:afterAutospacing="0"/>
        <w:ind w:firstLine="720"/>
        <w:rPr>
          <w:rStyle w:val="Emphasis"/>
        </w:rPr>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at 1163 ("We must be flexible in applying a fair use analysis; it is not to be simplified with bright-line rules, for the statute, like the doctrine it recognizes, calls for case-by-case analysis . . . . ") (citation omitted)</w:t>
      </w:r>
      <w:r w:rsidRPr="007177F9">
        <w:rPr>
          <w:rStyle w:val="Emphasis"/>
        </w:rPr>
        <w:t>.</w:t>
      </w:r>
    </w:p>
    <w:p w14:paraId="39EC91BC" w14:textId="77777777" w:rsidR="00240080" w:rsidRPr="007177F9" w:rsidRDefault="00240080" w:rsidP="00240080">
      <w:pPr>
        <w:pStyle w:val="NormalWeb"/>
        <w:shd w:val="clear" w:color="auto" w:fill="FFFFFF"/>
        <w:spacing w:before="0" w:beforeAutospacing="0" w:after="0" w:afterAutospacing="0"/>
        <w:ind w:firstLine="720"/>
      </w:pPr>
    </w:p>
    <w:p w14:paraId="7CF9CE84" w14:textId="1DDEBAB7"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r w:rsidRPr="007177F9">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04ADC6DD" w14:textId="19B2D199"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p>
    <w:p w14:paraId="7C1F8EBB" w14:textId="77777777" w:rsidR="00240080" w:rsidRPr="007177F9" w:rsidRDefault="00240080" w:rsidP="00240080">
      <w:pPr>
        <w:pStyle w:val="NormalWeb"/>
        <w:shd w:val="clear" w:color="auto" w:fill="FFFFFF"/>
        <w:spacing w:before="0" w:beforeAutospacing="0" w:after="0" w:afterAutospacing="0"/>
        <w:ind w:firstLine="720"/>
      </w:pPr>
    </w:p>
    <w:p w14:paraId="16748A87" w14:textId="34DB6AF5" w:rsidR="00240080" w:rsidRPr="007177F9" w:rsidRDefault="00240080" w:rsidP="00240080">
      <w:pPr>
        <w:pStyle w:val="NormalWeb"/>
        <w:shd w:val="clear" w:color="auto" w:fill="FFFFFF"/>
        <w:spacing w:before="0" w:beforeAutospacing="0" w:after="0" w:afterAutospacing="0"/>
        <w:jc w:val="right"/>
      </w:pPr>
      <w:r w:rsidRPr="007177F9">
        <w:rPr>
          <w:rStyle w:val="Emphasis"/>
        </w:rPr>
        <w:t xml:space="preserve">Revised </w:t>
      </w:r>
      <w:r>
        <w:rPr>
          <w:rStyle w:val="Emphasis"/>
        </w:rPr>
        <w:t>Dec.</w:t>
      </w:r>
      <w:r w:rsidRPr="007177F9">
        <w:rPr>
          <w:rStyle w:val="Emphasis"/>
        </w:rPr>
        <w:t xml:space="preserve"> 20</w:t>
      </w:r>
      <w:r>
        <w:rPr>
          <w:rStyle w:val="Emphasis"/>
        </w:rPr>
        <w:t>21</w:t>
      </w:r>
    </w:p>
    <w:p w14:paraId="0FF3182A" w14:textId="77777777" w:rsidR="00240080" w:rsidRDefault="00240080" w:rsidP="00240080"/>
    <w:p w14:paraId="7BF2C2CB" w14:textId="77777777" w:rsidR="00240080" w:rsidRDefault="00240080" w:rsidP="00240080"/>
    <w:p w14:paraId="58E81BB8" w14:textId="77777777" w:rsidR="003E3B69" w:rsidRPr="006A4CD7" w:rsidRDefault="003E3B69" w:rsidP="003E3B69"/>
    <w:p w14:paraId="5B7C4C9D" w14:textId="44E72E1E" w:rsidR="006A4CD7" w:rsidRPr="006A4CD7" w:rsidRDefault="006A4CD7" w:rsidP="003E3B69">
      <w:pPr>
        <w:pStyle w:val="Heading2"/>
      </w:pPr>
      <w:r w:rsidRPr="006A4CD7">
        <w:br w:type="page"/>
      </w:r>
      <w:bookmarkStart w:id="291" w:name="_Toc117512573"/>
      <w:r w:rsidRPr="006A4CD7">
        <w:t xml:space="preserve">17.2 </w:t>
      </w:r>
      <w:r w:rsidR="00BF24DD" w:rsidRPr="00BF24DD">
        <w:t xml:space="preserve">Copyright—Defined </w:t>
      </w:r>
      <w:r w:rsidRPr="006A4CD7">
        <w:t>(17 U.S.C. § 106)</w:t>
      </w:r>
      <w:bookmarkEnd w:id="291"/>
    </w:p>
    <w:p w14:paraId="4A941D05" w14:textId="77777777" w:rsidR="006A4CD7" w:rsidRPr="006A4CD7" w:rsidRDefault="006A4CD7" w:rsidP="0060759C">
      <w:pPr>
        <w:autoSpaceDE w:val="0"/>
        <w:autoSpaceDN w:val="0"/>
        <w:adjustRightInd w:val="0"/>
        <w:rPr>
          <w:rFonts w:cs="Times New Roman"/>
          <w:szCs w:val="24"/>
        </w:rPr>
      </w:pPr>
    </w:p>
    <w:p w14:paraId="2F2A1791" w14:textId="7A2620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is the exclusive right to copy.  This right to copy includes the exclusive right[s] </w:t>
      </w:r>
      <w:r w:rsidR="00A24A9B" w:rsidRPr="006A4CD7">
        <w:rPr>
          <w:rFonts w:cs="Times New Roman"/>
          <w:szCs w:val="24"/>
        </w:rPr>
        <w:t>to [</w:t>
      </w:r>
      <w:r w:rsidRPr="006A4CD7">
        <w:rPr>
          <w:rFonts w:cs="Times New Roman"/>
          <w:szCs w:val="24"/>
        </w:rPr>
        <w:t>,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xml:space="preserve">.,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all of those rights….” (citation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1FE88274" w14:textId="32E2319B" w:rsidR="006A4CD7" w:rsidRPr="006A4CD7" w:rsidRDefault="006A4CD7" w:rsidP="00982B7E">
      <w:pPr>
        <w:pStyle w:val="Heading2"/>
      </w:pPr>
      <w:r w:rsidRPr="006A4CD7">
        <w:br w:type="page"/>
      </w:r>
      <w:bookmarkStart w:id="292" w:name="_Toc117512574"/>
      <w:r w:rsidRPr="006A4CD7">
        <w:t xml:space="preserve">17.3 </w:t>
      </w:r>
      <w:r w:rsidR="00BF24DD" w:rsidRPr="00BF24DD">
        <w:t xml:space="preserve">Copyright—Subject Matter—Generally </w:t>
      </w:r>
      <w:r w:rsidRPr="006A4CD7">
        <w:t>(17 U.S.C. § 102)</w:t>
      </w:r>
      <w:bookmarkEnd w:id="292"/>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3E49B6D0"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 xml:space="preserve">[pictorial works] [graphic works] [sculptural </w:t>
      </w:r>
      <w:r w:rsidR="00A24A9B" w:rsidRPr="006A4CD7">
        <w:rPr>
          <w:rFonts w:cs="Times New Roman"/>
          <w:szCs w:val="24"/>
        </w:rPr>
        <w:t>works] [</w:t>
      </w:r>
      <w:r w:rsidRPr="006A4CD7">
        <w:rPr>
          <w:rFonts w:cs="Times New Roman"/>
          <w:szCs w:val="24"/>
        </w:rPr>
        <w:t>;] [, such as two- and three-dimensional works of fine, graphic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16109389"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 xml:space="preserve">[sound </w:t>
      </w:r>
      <w:r w:rsidR="00A24A9B" w:rsidRPr="006A4CD7">
        <w:rPr>
          <w:rFonts w:cs="Times New Roman"/>
          <w:szCs w:val="24"/>
        </w:rPr>
        <w:t>recordings] [</w:t>
      </w:r>
      <w:r w:rsidRPr="006A4CD7">
        <w:rPr>
          <w:rFonts w:cs="Times New Roman"/>
          <w:szCs w:val="24"/>
        </w:rPr>
        <w:t>;]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33AAD008"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 xml:space="preserve">[architectural </w:t>
      </w:r>
      <w:r w:rsidR="00A24A9B" w:rsidRPr="006A4CD7">
        <w:rPr>
          <w:rFonts w:cs="Times New Roman"/>
          <w:szCs w:val="24"/>
        </w:rPr>
        <w:t>works] [</w:t>
      </w:r>
      <w:r w:rsidRPr="006A4CD7">
        <w:rPr>
          <w:rFonts w:cs="Times New Roman"/>
          <w:szCs w:val="24"/>
        </w:rPr>
        <w:t>;]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5C82FA46"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 xml:space="preserve">[computer </w:t>
      </w:r>
      <w:r w:rsidR="00A24A9B" w:rsidRPr="006A4CD7">
        <w:rPr>
          <w:rFonts w:cs="Times New Roman"/>
          <w:szCs w:val="24"/>
        </w:rPr>
        <w:t>programs] [</w:t>
      </w:r>
      <w:r w:rsidRPr="006A4CD7">
        <w:rPr>
          <w:rFonts w:cs="Times New Roman"/>
          <w:szCs w:val="24"/>
        </w:rPr>
        <w:t>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59D71C58" w14:textId="045B7834" w:rsidR="009A3F8A" w:rsidRDefault="006A4CD7" w:rsidP="00C758D1">
      <w:pPr>
        <w:pStyle w:val="Heading2"/>
      </w:pPr>
      <w:r w:rsidRPr="006A4CD7">
        <w:br w:type="page"/>
      </w:r>
      <w:bookmarkStart w:id="293" w:name="_Toc117512575"/>
      <w:r w:rsidRPr="006A4CD7">
        <w:t xml:space="preserve">17.4 </w:t>
      </w:r>
      <w:r w:rsidR="00BF24DD" w:rsidRPr="00BF24DD">
        <w:t>Copyright—Subject Matter—Ideas and Expressio</w:t>
      </w:r>
      <w:r w:rsidR="00982B7E">
        <w:t>n</w:t>
      </w:r>
      <w:bookmarkEnd w:id="293"/>
      <w:r w:rsidR="00982B7E">
        <w:t xml:space="preserve"> </w:t>
      </w:r>
    </w:p>
    <w:p w14:paraId="3F7EB9FE" w14:textId="661E9D22" w:rsidR="00C758D1" w:rsidRPr="006A4CD7" w:rsidRDefault="006A4CD7" w:rsidP="00C758D1">
      <w:pPr>
        <w:pStyle w:val="Heading2"/>
      </w:pPr>
      <w:bookmarkStart w:id="294" w:name="_Toc117512576"/>
      <w:r w:rsidRPr="006A4CD7">
        <w:t>(17 U.S.C. § 102(b))</w:t>
      </w:r>
      <w:bookmarkEnd w:id="294"/>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48ACC228"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w:t>
      </w:r>
      <w:r w:rsidR="00A24A9B" w:rsidRPr="006A4CD7">
        <w:rPr>
          <w:rFonts w:cs="Times New Roman"/>
          <w:szCs w:val="24"/>
        </w:rPr>
        <w:t>. . ..</w:t>
      </w:r>
      <w:r w:rsidRPr="006A4CD7">
        <w:rPr>
          <w:rFonts w:cs="Times New Roman"/>
          <w:szCs w:val="24"/>
        </w:rPr>
        <w:t>  Only . . . expression may be protected and only it may be infringed.”</w:t>
      </w:r>
      <w:r w:rsidRPr="006A4CD7">
        <w:rPr>
          <w:rFonts w:cs="Times New Roman"/>
          <w:i/>
          <w:iCs/>
          <w:szCs w:val="24"/>
        </w:rPr>
        <w:t xml:space="preserve">  Sid &amp; Marty </w:t>
      </w:r>
      <w:proofErr w:type="spellStart"/>
      <w:r w:rsidRPr="006A4CD7">
        <w:rPr>
          <w:rFonts w:cs="Times New Roman"/>
          <w:i/>
          <w:iCs/>
          <w:szCs w:val="24"/>
        </w:rPr>
        <w:t>Krofft</w:t>
      </w:r>
      <w:proofErr w:type="spellEnd"/>
      <w:r w:rsidRPr="006A4CD7">
        <w:rPr>
          <w:rFonts w:cs="Times New Roman"/>
          <w:i/>
          <w:iCs/>
          <w:szCs w:val="24"/>
        </w:rPr>
        <w:t xml:space="preserve">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 xml:space="preserve">see </w:t>
      </w:r>
      <w:proofErr w:type="spellStart"/>
      <w:r w:rsidRPr="006A4CD7">
        <w:rPr>
          <w:rFonts w:cs="Times New Roman"/>
          <w:i/>
          <w:iCs/>
          <w:szCs w:val="24"/>
        </w:rPr>
        <w:t>Unicolors</w:t>
      </w:r>
      <w:proofErr w:type="spellEnd"/>
      <w:r w:rsidRPr="006A4CD7">
        <w:rPr>
          <w:rFonts w:cs="Times New Roman"/>
          <w:i/>
          <w:iCs/>
          <w:szCs w:val="24"/>
        </w:rPr>
        <w:t>,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 xml:space="preserve">See </w:t>
      </w:r>
      <w:proofErr w:type="spellStart"/>
      <w:r w:rsidRPr="006A4CD7">
        <w:rPr>
          <w:rFonts w:cs="Times New Roman"/>
          <w:i/>
          <w:iCs/>
          <w:szCs w:val="24"/>
        </w:rPr>
        <w:t>Ets-Hokin</w:t>
      </w:r>
      <w:proofErr w:type="spellEnd"/>
      <w:r w:rsidRPr="006A4CD7">
        <w:rPr>
          <w:rFonts w:cs="Times New Roman"/>
          <w:i/>
          <w:iCs/>
          <w:szCs w:val="24"/>
        </w:rPr>
        <w:t xml:space="preserve"> v. </w:t>
      </w:r>
      <w:proofErr w:type="spellStart"/>
      <w:r w:rsidRPr="006A4CD7">
        <w:rPr>
          <w:rFonts w:cs="Times New Roman"/>
          <w:i/>
          <w:iCs/>
          <w:szCs w:val="24"/>
        </w:rPr>
        <w:t>Skyy</w:t>
      </w:r>
      <w:proofErr w:type="spellEnd"/>
      <w:r w:rsidRPr="006A4CD7">
        <w:rPr>
          <w:rFonts w:cs="Times New Roman"/>
          <w:i/>
          <w:iCs/>
          <w:szCs w:val="24"/>
        </w:rPr>
        <w:t xml:space="preserve">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w:t>
      </w:r>
      <w:proofErr w:type="spellStart"/>
      <w:r w:rsidRPr="006A4CD7">
        <w:rPr>
          <w:rFonts w:cs="Times New Roman"/>
          <w:i/>
          <w:iCs/>
          <w:szCs w:val="24"/>
        </w:rPr>
        <w:t>Ets-Hokin</w:t>
      </w:r>
      <w:proofErr w:type="spellEnd"/>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CDN, Inc. v. </w:t>
      </w:r>
      <w:proofErr w:type="spellStart"/>
      <w:r w:rsidRPr="006A4CD7">
        <w:rPr>
          <w:rFonts w:cs="Times New Roman"/>
          <w:i/>
          <w:iCs/>
          <w:szCs w:val="24"/>
        </w:rPr>
        <w:t>Kapes</w:t>
      </w:r>
      <w:proofErr w:type="spellEnd"/>
      <w:r w:rsidRPr="006A4CD7">
        <w:rPr>
          <w:rFonts w:cs="Times New Roman"/>
          <w:szCs w:val="24"/>
        </w:rPr>
        <w:t>, 197 F.3d 1256, 1261 (9th Cir. 1999).</w:t>
      </w:r>
    </w:p>
    <w:p w14:paraId="1128B99D" w14:textId="248243DF" w:rsidR="009A3F8A" w:rsidRDefault="006A4CD7" w:rsidP="00982B7E">
      <w:pPr>
        <w:pStyle w:val="Heading2"/>
      </w:pPr>
      <w:r w:rsidRPr="006A4CD7">
        <w:br w:type="page"/>
      </w:r>
      <w:bookmarkStart w:id="295" w:name="_Toc117512577"/>
      <w:r w:rsidRPr="006A4CD7">
        <w:t xml:space="preserve">17.5 </w:t>
      </w:r>
      <w:r w:rsidR="00BF24DD" w:rsidRPr="00BF24DD">
        <w:t>Copyright Infringement—Elements—Ownership and Copying</w:t>
      </w:r>
      <w:bookmarkEnd w:id="295"/>
      <w:r w:rsidR="00982B7E">
        <w:t xml:space="preserve"> </w:t>
      </w:r>
    </w:p>
    <w:p w14:paraId="79FD2E0E" w14:textId="392DE97A" w:rsidR="006A4CD7" w:rsidRPr="00982B7E" w:rsidRDefault="006A4CD7" w:rsidP="00982B7E">
      <w:pPr>
        <w:pStyle w:val="Heading2"/>
      </w:pPr>
      <w:bookmarkStart w:id="296" w:name="_Toc117512578"/>
      <w:r w:rsidRPr="006A4CD7">
        <w:t>(17 U.S.C. § 501(a)–(b))</w:t>
      </w:r>
      <w:bookmarkEnd w:id="296"/>
    </w:p>
    <w:p w14:paraId="00DCC7F3" w14:textId="77777777" w:rsidR="006A4CD7" w:rsidRPr="006A4CD7" w:rsidRDefault="006A4CD7" w:rsidP="0060759C">
      <w:pPr>
        <w:autoSpaceDE w:val="0"/>
        <w:autoSpaceDN w:val="0"/>
        <w:adjustRightInd w:val="0"/>
        <w:rPr>
          <w:rFonts w:cs="Times New Roman"/>
          <w:szCs w:val="24"/>
        </w:rPr>
      </w:pPr>
    </w:p>
    <w:p w14:paraId="30EF68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Anyone who copies original expression from a copyrighted work during the term of the copyright without the owner’s permission infringes the copyright.</w:t>
      </w:r>
    </w:p>
    <w:p w14:paraId="6B81468F" w14:textId="77777777" w:rsidR="006A4CD7" w:rsidRPr="006A4CD7" w:rsidRDefault="006A4CD7" w:rsidP="0060759C">
      <w:pPr>
        <w:autoSpaceDE w:val="0"/>
        <w:autoSpaceDN w:val="0"/>
        <w:adjustRightInd w:val="0"/>
        <w:rPr>
          <w:rFonts w:cs="Times New Roman"/>
          <w:szCs w:val="24"/>
        </w:rPr>
      </w:pPr>
    </w:p>
    <w:p w14:paraId="597CD9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copyright infringement claim, the plaintiff has the burden of proving by a preponderance of the evidence that:</w:t>
      </w:r>
    </w:p>
    <w:p w14:paraId="25B36A6A" w14:textId="77777777" w:rsidR="006A4CD7" w:rsidRPr="006A4CD7" w:rsidRDefault="006A4CD7" w:rsidP="0060759C">
      <w:pPr>
        <w:autoSpaceDE w:val="0"/>
        <w:autoSpaceDN w:val="0"/>
        <w:adjustRightInd w:val="0"/>
        <w:rPr>
          <w:rFonts w:cs="Times New Roman"/>
          <w:szCs w:val="24"/>
        </w:rPr>
      </w:pPr>
    </w:p>
    <w:p w14:paraId="6F063D12"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is the owner of a valid copyright; and</w:t>
      </w:r>
    </w:p>
    <w:p w14:paraId="5D61D033" w14:textId="77777777" w:rsidR="006A4CD7" w:rsidRPr="006A4CD7" w:rsidRDefault="006A4CD7" w:rsidP="00C67800">
      <w:pPr>
        <w:autoSpaceDE w:val="0"/>
        <w:autoSpaceDN w:val="0"/>
        <w:adjustRightInd w:val="0"/>
        <w:ind w:left="1440" w:hanging="720"/>
        <w:rPr>
          <w:rFonts w:cs="Times New Roman"/>
          <w:szCs w:val="24"/>
        </w:rPr>
      </w:pPr>
    </w:p>
    <w:p w14:paraId="0C7D2DB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copied original expression from the copyrighted work.</w:t>
      </w:r>
    </w:p>
    <w:p w14:paraId="394E87C3" w14:textId="77777777" w:rsidR="006A4CD7" w:rsidRPr="006A4CD7" w:rsidRDefault="006A4CD7" w:rsidP="0060759C">
      <w:pPr>
        <w:autoSpaceDE w:val="0"/>
        <w:autoSpaceDN w:val="0"/>
        <w:adjustRightInd w:val="0"/>
        <w:rPr>
          <w:rFonts w:cs="Times New Roman"/>
          <w:szCs w:val="24"/>
        </w:rPr>
      </w:pPr>
    </w:p>
    <w:p w14:paraId="14BB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69ECE831" w14:textId="77777777" w:rsidR="006A4CD7" w:rsidRPr="006A4CD7" w:rsidRDefault="006A4CD7" w:rsidP="0095312F"/>
    <w:p w14:paraId="409483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8C88EC" w14:textId="77777777" w:rsidR="006A4CD7" w:rsidRPr="006A4CD7" w:rsidRDefault="006A4CD7" w:rsidP="0060759C">
      <w:pPr>
        <w:autoSpaceDE w:val="0"/>
        <w:autoSpaceDN w:val="0"/>
        <w:adjustRightInd w:val="0"/>
        <w:rPr>
          <w:rFonts w:cs="Times New Roman"/>
          <w:szCs w:val="24"/>
        </w:rPr>
      </w:pPr>
    </w:p>
    <w:p w14:paraId="566D8F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elements in this instruction are explained in Instructions 17.6 (Copyright Infringement</w:t>
      </w:r>
      <w:r w:rsidRPr="006A4CD7">
        <w:rPr>
          <w:rFonts w:cs="Times New Roman"/>
          <w:b/>
          <w:bCs/>
          <w:szCs w:val="24"/>
        </w:rPr>
        <w:t>—</w:t>
      </w:r>
      <w:r w:rsidRPr="006A4CD7">
        <w:rPr>
          <w:rFonts w:cs="Times New Roman"/>
          <w:szCs w:val="24"/>
        </w:rPr>
        <w:t>Ownership of Valid Copyright</w:t>
      </w:r>
      <w:r w:rsidRPr="006A4CD7">
        <w:rPr>
          <w:rFonts w:cs="Times New Roman"/>
          <w:b/>
          <w:bCs/>
          <w:szCs w:val="24"/>
        </w:rPr>
        <w:t>—</w:t>
      </w:r>
      <w:r w:rsidRPr="006A4CD7">
        <w:rPr>
          <w:rFonts w:cs="Times New Roman"/>
          <w:szCs w:val="24"/>
        </w:rPr>
        <w:t>Definition), 17.14 (Copyright Infringement</w:t>
      </w:r>
      <w:r w:rsidRPr="006A4CD7">
        <w:rPr>
          <w:rFonts w:cs="Times New Roman"/>
          <w:b/>
          <w:bCs/>
          <w:szCs w:val="24"/>
        </w:rPr>
        <w:t>—</w:t>
      </w:r>
      <w:r w:rsidRPr="006A4CD7">
        <w:rPr>
          <w:rFonts w:cs="Times New Roman"/>
          <w:szCs w:val="24"/>
        </w:rPr>
        <w:t>Originality), and 17.17 (Copying</w:t>
      </w:r>
      <w:r w:rsidRPr="006A4CD7">
        <w:rPr>
          <w:rFonts w:cs="Times New Roman"/>
          <w:b/>
          <w:bCs/>
          <w:szCs w:val="24"/>
        </w:rPr>
        <w:t>—</w:t>
      </w:r>
      <w:r w:rsidRPr="006A4CD7">
        <w:rPr>
          <w:rFonts w:cs="Times New Roman"/>
          <w:szCs w:val="24"/>
        </w:rPr>
        <w:t xml:space="preserve">Access and Substantial Similarity).  Copying and improper appropriation are issues of fact for the jury.  </w:t>
      </w:r>
      <w:r w:rsidRPr="006A4CD7">
        <w:rPr>
          <w:rFonts w:cs="Times New Roman"/>
          <w:i/>
          <w:iCs/>
          <w:szCs w:val="24"/>
        </w:rPr>
        <w:t>See Three Boys Music Corp v. Bolton</w:t>
      </w:r>
      <w:r w:rsidRPr="006A4CD7">
        <w:rPr>
          <w:rFonts w:cs="Times New Roman"/>
          <w:szCs w:val="24"/>
        </w:rPr>
        <w:t>, 212 F.3d 477, 481-82 (9th Cir. 2000).</w:t>
      </w:r>
    </w:p>
    <w:p w14:paraId="4439B6F9" w14:textId="77777777" w:rsidR="006A4CD7" w:rsidRPr="006A4CD7" w:rsidRDefault="006A4CD7" w:rsidP="0060759C">
      <w:pPr>
        <w:autoSpaceDE w:val="0"/>
        <w:autoSpaceDN w:val="0"/>
        <w:adjustRightInd w:val="0"/>
        <w:rPr>
          <w:rFonts w:cs="Times New Roman"/>
          <w:szCs w:val="24"/>
        </w:rPr>
      </w:pPr>
    </w:p>
    <w:p w14:paraId="752D550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The elements of copyright infringement cited in this instruction were stated in </w:t>
      </w:r>
      <w:r w:rsidRPr="006A4CD7">
        <w:rPr>
          <w:rFonts w:cs="Times New Roman"/>
          <w:i/>
          <w:iCs/>
          <w:szCs w:val="24"/>
        </w:rPr>
        <w:t>Feist Publications v. Rural Telephone Service Co.</w:t>
      </w:r>
      <w:r w:rsidRPr="006A4CD7">
        <w:rPr>
          <w:rFonts w:cs="Times New Roman"/>
          <w:szCs w:val="24"/>
        </w:rPr>
        <w:t xml:space="preserve">, 499 U.S. 340 (1991).  </w:t>
      </w:r>
      <w:r w:rsidRPr="006A4CD7">
        <w:rPr>
          <w:rFonts w:cs="Times New Roman"/>
          <w:i/>
          <w:iCs/>
          <w:szCs w:val="24"/>
        </w:rPr>
        <w:t>See id.</w:t>
      </w:r>
      <w:r w:rsidRPr="006A4CD7">
        <w:rPr>
          <w:rFonts w:cs="Times New Roman"/>
          <w:szCs w:val="24"/>
        </w:rPr>
        <w:t xml:space="preserve"> at 361 (“To establish infringement, two elements must be proven: (1) ownership of a valid copyright, and (2) copying of constituent elements of the work that are original.”); </w:t>
      </w:r>
      <w:r w:rsidRPr="006A4CD7">
        <w:rPr>
          <w:rFonts w:cs="Times New Roman"/>
          <w:i/>
          <w:iCs/>
          <w:szCs w:val="24"/>
        </w:rPr>
        <w:t>see also Seven Arts Filmed Entm’t Ltd. v. Content Media Corp.</w:t>
      </w:r>
      <w:r w:rsidRPr="006A4CD7">
        <w:rPr>
          <w:rFonts w:cs="Times New Roman"/>
          <w:szCs w:val="24"/>
        </w:rPr>
        <w:t xml:space="preserve">, 733 F.3d 1251, 1254 (9th Cir. 2013); </w:t>
      </w:r>
      <w:r w:rsidRPr="006A4CD7">
        <w:rPr>
          <w:rFonts w:cs="Times New Roman"/>
          <w:i/>
          <w:iCs/>
          <w:szCs w:val="24"/>
        </w:rPr>
        <w:t>Great Minds v. Office Depot</w:t>
      </w:r>
      <w:r w:rsidRPr="006A4CD7">
        <w:rPr>
          <w:rFonts w:cs="Times New Roman"/>
          <w:szCs w:val="24"/>
        </w:rPr>
        <w:t xml:space="preserve">, 945 F.3d 1106, 1110 (9th Cir. 2019).  To establish the defendant’s liability on a direct infringement theory, the plaintiff must show that the defendant was the cause of the infringement.  </w:t>
      </w:r>
      <w:r w:rsidRPr="006A4CD7">
        <w:rPr>
          <w:rFonts w:cs="Times New Roman"/>
          <w:i/>
          <w:iCs/>
          <w:szCs w:val="24"/>
        </w:rPr>
        <w:t xml:space="preserve">See 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xml:space="preserve">., 847 F.3d 657, 666 (9th Cir. 2017) (“where it is clear that infringement has occurred, courts must determine ‘who is close enough to the [infringing] event to be considered the most important cause’” (citation omitted)); </w:t>
      </w:r>
      <w:r w:rsidRPr="006A4CD7">
        <w:rPr>
          <w:rFonts w:cs="Times New Roman"/>
          <w:i/>
          <w:iCs/>
          <w:szCs w:val="24"/>
        </w:rPr>
        <w:t>see also VHT,</w:t>
      </w:r>
    </w:p>
    <w:p w14:paraId="6724074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 v. Zillow Grp., Inc.</w:t>
      </w:r>
      <w:r w:rsidRPr="006A4CD7">
        <w:rPr>
          <w:rFonts w:cs="Times New Roman"/>
          <w:szCs w:val="24"/>
        </w:rPr>
        <w:t>, 918 F.3d 723, 732 (9th Cir. 2019) (“‘[D]</w:t>
      </w:r>
      <w:proofErr w:type="spellStart"/>
      <w:r w:rsidRPr="006A4CD7">
        <w:rPr>
          <w:rFonts w:cs="Times New Roman"/>
          <w:szCs w:val="24"/>
        </w:rPr>
        <w:t>irect</w:t>
      </w:r>
      <w:proofErr w:type="spellEnd"/>
      <w:r w:rsidRPr="006A4CD7">
        <w:rPr>
          <w:rFonts w:cs="Times New Roman"/>
          <w:szCs w:val="24"/>
        </w:rPr>
        <w:t xml:space="preserve"> infringement requires</w:t>
      </w:r>
    </w:p>
    <w:p w14:paraId="6C38B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‘active’ involvement.”).  If causation is contested, it may be appropriate to modify this instruction to explicitly include causation as an element.</w:t>
      </w:r>
    </w:p>
    <w:p w14:paraId="57DC478E" w14:textId="77777777" w:rsidR="006A4CD7" w:rsidRPr="006A4CD7" w:rsidRDefault="006A4CD7" w:rsidP="0060759C">
      <w:pPr>
        <w:autoSpaceDE w:val="0"/>
        <w:autoSpaceDN w:val="0"/>
        <w:adjustRightInd w:val="0"/>
        <w:rPr>
          <w:rFonts w:cs="Times New Roman"/>
          <w:szCs w:val="24"/>
        </w:rPr>
      </w:pPr>
    </w:p>
    <w:p w14:paraId="38B1ED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VHT, Inc. v. Zillow Group, Inc.</w:t>
      </w:r>
      <w:r w:rsidRPr="006A4CD7">
        <w:rPr>
          <w:rFonts w:cs="Times New Roman"/>
          <w:szCs w:val="24"/>
        </w:rPr>
        <w:t>, the Ninth Circuit provided an extensive discussion of</w:t>
      </w:r>
    </w:p>
    <w:p w14:paraId="1FCD45B5" w14:textId="46C61822" w:rsidR="006A4CD7" w:rsidRDefault="006A4CD7" w:rsidP="0060759C">
      <w:pPr>
        <w:autoSpaceDE w:val="0"/>
        <w:autoSpaceDN w:val="0"/>
        <w:adjustRightInd w:val="0"/>
        <w:rPr>
          <w:rFonts w:cs="Times New Roman"/>
          <w:szCs w:val="24"/>
        </w:rPr>
      </w:pPr>
      <w:r w:rsidRPr="006A4CD7">
        <w:rPr>
          <w:rFonts w:cs="Times New Roman"/>
          <w:szCs w:val="24"/>
        </w:rPr>
        <w:t>the causation requirement in a case involving alleged copyright infringement of website images.  918 F.3d at 731-32 (“[T]here must be actual infringing conduct with a nexus sufficiently close and causal to the illegal copying that one could conclude that the machine owner himself trespassed on the exclusive domain of the copyright owner.”).</w:t>
      </w:r>
    </w:p>
    <w:p w14:paraId="5AF6640E" w14:textId="77777777" w:rsidR="00604299" w:rsidRDefault="006A4CD7" w:rsidP="0060759C">
      <w:pPr>
        <w:autoSpaceDE w:val="0"/>
        <w:autoSpaceDN w:val="0"/>
        <w:adjustRightInd w:val="0"/>
        <w:rPr>
          <w:rFonts w:cs="Times New Roman"/>
          <w:szCs w:val="24"/>
        </w:rPr>
      </w:pPr>
      <w:r w:rsidRPr="006A4CD7">
        <w:rPr>
          <w:rFonts w:cs="Times New Roman"/>
          <w:szCs w:val="24"/>
        </w:rPr>
        <w:tab/>
      </w:r>
    </w:p>
    <w:p w14:paraId="5F7E01F6" w14:textId="67B30C93" w:rsidR="00604299" w:rsidRDefault="006A4CD7" w:rsidP="00604299">
      <w:pPr>
        <w:autoSpaceDE w:val="0"/>
        <w:autoSpaceDN w:val="0"/>
        <w:adjustRightInd w:val="0"/>
        <w:ind w:firstLine="720"/>
        <w:rPr>
          <w:rFonts w:cs="Times New Roman"/>
          <w:szCs w:val="24"/>
        </w:rPr>
      </w:pPr>
      <w:r w:rsidRPr="006A4CD7">
        <w:rPr>
          <w:rFonts w:cs="Times New Roman"/>
          <w:szCs w:val="24"/>
        </w:rPr>
        <w:t xml:space="preserve">“We have described the inducement theory as having ‘four elements: (1) the distribution </w:t>
      </w:r>
    </w:p>
    <w:p w14:paraId="205B4000" w14:textId="77777777" w:rsidR="00604299" w:rsidRDefault="00604299" w:rsidP="0060759C">
      <w:pPr>
        <w:autoSpaceDE w:val="0"/>
        <w:autoSpaceDN w:val="0"/>
        <w:adjustRightInd w:val="0"/>
        <w:rPr>
          <w:rFonts w:cs="Times New Roman"/>
          <w:szCs w:val="24"/>
        </w:rPr>
      </w:pPr>
    </w:p>
    <w:p w14:paraId="20F804FA" w14:textId="001E2AC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a device or product, (2) acts of infringement, (3) an object of promoting its use to infringe copyright, and (4) causation.’” </w:t>
      </w:r>
      <w:proofErr w:type="spellStart"/>
      <w:r w:rsidRPr="006A4CD7">
        <w:rPr>
          <w:rFonts w:cs="Times New Roman"/>
          <w:i/>
          <w:iCs/>
          <w:szCs w:val="24"/>
        </w:rPr>
        <w:t>Giganews</w:t>
      </w:r>
      <w:proofErr w:type="spellEnd"/>
      <w:r w:rsidRPr="006A4CD7">
        <w:rPr>
          <w:rFonts w:cs="Times New Roman"/>
          <w:szCs w:val="24"/>
        </w:rPr>
        <w:t xml:space="preserve">, 847 F.3d at 672.  </w:t>
      </w:r>
    </w:p>
    <w:p w14:paraId="65E3A497" w14:textId="77777777" w:rsidR="006A4CD7" w:rsidRPr="006A4CD7" w:rsidRDefault="006A4CD7" w:rsidP="0060759C">
      <w:pPr>
        <w:autoSpaceDE w:val="0"/>
        <w:autoSpaceDN w:val="0"/>
        <w:adjustRightInd w:val="0"/>
        <w:rPr>
          <w:rFonts w:cs="Times New Roman"/>
          <w:szCs w:val="24"/>
        </w:rPr>
      </w:pPr>
    </w:p>
    <w:p w14:paraId="692E10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considers the word “copying” as “shorthand” for the various activities that may infringe a copyright owner’s six exclusive rights described at 17 U.S.C. § 106. </w:t>
      </w:r>
      <w:r w:rsidRPr="006A4CD7">
        <w:rPr>
          <w:rFonts w:cs="Times New Roman"/>
          <w:i/>
          <w:iCs/>
          <w:szCs w:val="24"/>
        </w:rPr>
        <w:t xml:space="preserve"> Range Rd. Music, Inc. v. E. Coast Foods, Inc.</w:t>
      </w:r>
      <w:r w:rsidRPr="006A4CD7">
        <w:rPr>
          <w:rFonts w:cs="Times New Roman"/>
          <w:szCs w:val="24"/>
        </w:rPr>
        <w:t>, 668 F.3d 1148, 1153-54 (9th Cir. 2012).</w:t>
      </w:r>
      <w:r w:rsidRPr="006A4CD7">
        <w:rPr>
          <w:rFonts w:cs="Times New Roman"/>
          <w:i/>
          <w:iCs/>
          <w:szCs w:val="24"/>
        </w:rPr>
        <w:t xml:space="preserve"> </w:t>
      </w:r>
    </w:p>
    <w:p w14:paraId="2738B15D" w14:textId="77777777" w:rsidR="006A4CD7" w:rsidRPr="006A4CD7" w:rsidRDefault="006A4CD7" w:rsidP="0060759C">
      <w:pPr>
        <w:autoSpaceDE w:val="0"/>
        <w:autoSpaceDN w:val="0"/>
        <w:adjustRightInd w:val="0"/>
        <w:rPr>
          <w:rFonts w:cs="Times New Roman"/>
          <w:szCs w:val="24"/>
        </w:rPr>
      </w:pPr>
    </w:p>
    <w:p w14:paraId="44F904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1064 (9th Cir. 2020) (</w:t>
      </w:r>
      <w:proofErr w:type="spellStart"/>
      <w:r w:rsidRPr="006A4CD7">
        <w:rPr>
          <w:rFonts w:cs="Times New Roman"/>
          <w:szCs w:val="24"/>
        </w:rPr>
        <w:t>en</w:t>
      </w:r>
      <w:proofErr w:type="spellEnd"/>
      <w:r w:rsidRPr="006A4CD7">
        <w:rPr>
          <w:rFonts w:cs="Times New Roman"/>
          <w:szCs w:val="24"/>
        </w:rPr>
        <w:t xml:space="preserve">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 (citing </w:t>
      </w:r>
      <w:proofErr w:type="spellStart"/>
      <w:r w:rsidRPr="006A4CD7">
        <w:rPr>
          <w:rFonts w:cs="Times New Roman"/>
          <w:i/>
          <w:iCs/>
          <w:szCs w:val="24"/>
        </w:rPr>
        <w:t>Rentmeester</w:t>
      </w:r>
      <w:proofErr w:type="spellEnd"/>
      <w:r w:rsidRPr="006A4CD7">
        <w:rPr>
          <w:rFonts w:cs="Times New Roman"/>
          <w:i/>
          <w:iCs/>
          <w:szCs w:val="24"/>
        </w:rPr>
        <w:t xml:space="preserve"> v. Nike, Inc</w:t>
      </w:r>
      <w:r w:rsidRPr="006A4CD7">
        <w:rPr>
          <w:rFonts w:cs="Times New Roman"/>
          <w:szCs w:val="24"/>
        </w:rPr>
        <w:t>., 883 F.3d 1111, 1117 (9th Cir. 2018)).</w:t>
      </w:r>
    </w:p>
    <w:p w14:paraId="201FC9BE" w14:textId="77777777" w:rsidR="006A4CD7" w:rsidRPr="006A4CD7" w:rsidRDefault="006A4CD7" w:rsidP="0060759C">
      <w:pPr>
        <w:autoSpaceDE w:val="0"/>
        <w:autoSpaceDN w:val="0"/>
        <w:adjustRightInd w:val="0"/>
        <w:rPr>
          <w:rFonts w:cs="Times New Roman"/>
          <w:szCs w:val="24"/>
        </w:rPr>
      </w:pPr>
    </w:p>
    <w:p w14:paraId="7E8B4580" w14:textId="77777777" w:rsidR="006A4CD7" w:rsidRPr="006A4CD7" w:rsidRDefault="006A4CD7" w:rsidP="0060759C">
      <w:pPr>
        <w:autoSpaceDE w:val="0"/>
        <w:autoSpaceDN w:val="0"/>
        <w:adjustRightInd w:val="0"/>
        <w:rPr>
          <w:rFonts w:cs="Times New Roman"/>
          <w:szCs w:val="24"/>
        </w:rPr>
      </w:pPr>
    </w:p>
    <w:p w14:paraId="3FF64AA4"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69A5B41" w14:textId="77777777" w:rsidR="006A4CD7" w:rsidRPr="006A4CD7" w:rsidRDefault="006A4CD7" w:rsidP="0060759C">
      <w:pPr>
        <w:autoSpaceDE w:val="0"/>
        <w:autoSpaceDN w:val="0"/>
        <w:adjustRightInd w:val="0"/>
        <w:rPr>
          <w:rFonts w:cs="Times New Roman"/>
          <w:szCs w:val="24"/>
        </w:rPr>
      </w:pPr>
    </w:p>
    <w:p w14:paraId="67995017" w14:textId="0264A75E" w:rsidR="009A3F8A" w:rsidRDefault="006A4CD7" w:rsidP="00982B7E">
      <w:pPr>
        <w:pStyle w:val="Heading2"/>
      </w:pPr>
      <w:r w:rsidRPr="006A4CD7">
        <w:br w:type="page"/>
      </w:r>
      <w:bookmarkStart w:id="297" w:name="_Toc117512579"/>
      <w:r w:rsidRPr="006A4CD7">
        <w:t xml:space="preserve">17.6 </w:t>
      </w:r>
      <w:r w:rsidR="00BF24DD" w:rsidRPr="00BF24DD">
        <w:t>Copyright Infringement—Ownership of Valid Copyright—Definition</w:t>
      </w:r>
      <w:bookmarkEnd w:id="297"/>
      <w:r w:rsidR="00982B7E">
        <w:t xml:space="preserve"> </w:t>
      </w:r>
    </w:p>
    <w:p w14:paraId="38E9419C" w14:textId="37C5E937" w:rsidR="006A4CD7" w:rsidRPr="006A4CD7" w:rsidRDefault="006A4CD7" w:rsidP="00982B7E">
      <w:pPr>
        <w:pStyle w:val="Heading2"/>
      </w:pPr>
      <w:bookmarkStart w:id="298" w:name="_Toc117512580"/>
      <w:r w:rsidRPr="006A4CD7">
        <w:t>(17 U.S.C. §§ 201–205)</w:t>
      </w:r>
      <w:bookmarkEnd w:id="298"/>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proofErr w:type="spellStart"/>
      <w:r w:rsidRPr="006A4CD7">
        <w:rPr>
          <w:rFonts w:cs="Times New Roman"/>
          <w:i/>
          <w:iCs/>
          <w:szCs w:val="24"/>
        </w:rPr>
        <w:t>Topolos</w:t>
      </w:r>
      <w:proofErr w:type="spellEnd"/>
      <w:r w:rsidRPr="006A4CD7">
        <w:rPr>
          <w:rFonts w:cs="Times New Roman"/>
          <w:i/>
          <w:iCs/>
          <w:szCs w:val="24"/>
        </w:rPr>
        <w:t xml:space="preserve"> v. </w:t>
      </w:r>
      <w:proofErr w:type="spellStart"/>
      <w:r w:rsidRPr="006A4CD7">
        <w:rPr>
          <w:rFonts w:cs="Times New Roman"/>
          <w:i/>
          <w:iCs/>
          <w:szCs w:val="24"/>
        </w:rPr>
        <w:t>Caldewey</w:t>
      </w:r>
      <w:proofErr w:type="spellEnd"/>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1397F1C0" w14:textId="20C7F3A1" w:rsidR="009A3F8A" w:rsidRDefault="006A4CD7" w:rsidP="00982B7E">
      <w:pPr>
        <w:pStyle w:val="Heading2"/>
      </w:pPr>
      <w:r w:rsidRPr="006A4CD7">
        <w:br w:type="page"/>
      </w:r>
      <w:bookmarkStart w:id="299" w:name="_Toc117512581"/>
      <w:r w:rsidRPr="006A4CD7">
        <w:t>17.</w:t>
      </w:r>
      <w:r w:rsidR="0084035B">
        <w:t>7</w:t>
      </w:r>
      <w:r w:rsidR="00BF24DD" w:rsidRPr="00BF24DD">
        <w:rPr>
          <w:rFonts w:cstheme="minorBidi"/>
          <w:b w:val="0"/>
          <w:bCs w:val="0"/>
          <w:szCs w:val="22"/>
        </w:rPr>
        <w:t xml:space="preserve"> </w:t>
      </w:r>
      <w:r w:rsidR="00BF24DD" w:rsidRPr="00BF24DD">
        <w:t>Copyright Infringement—Copyright Registration Certificate</w:t>
      </w:r>
      <w:bookmarkEnd w:id="299"/>
      <w:r w:rsidR="00BF24DD" w:rsidRPr="00BF24DD">
        <w:t xml:space="preserve"> </w:t>
      </w:r>
    </w:p>
    <w:p w14:paraId="69A1C25C" w14:textId="4A4E2D8F" w:rsidR="006A4CD7" w:rsidRPr="006A4CD7" w:rsidRDefault="006A4CD7" w:rsidP="00982B7E">
      <w:pPr>
        <w:pStyle w:val="Heading2"/>
      </w:pPr>
      <w:bookmarkStart w:id="300" w:name="_Toc117512582"/>
      <w:r w:rsidRPr="006A4CD7">
        <w:t>(17 U.S.C. § 410(c))</w:t>
      </w:r>
      <w:bookmarkEnd w:id="300"/>
    </w:p>
    <w:p w14:paraId="7DAA2054" w14:textId="77777777" w:rsidR="006A4CD7" w:rsidRPr="006A4CD7" w:rsidRDefault="006A4CD7" w:rsidP="0060759C">
      <w:pPr>
        <w:autoSpaceDE w:val="0"/>
        <w:autoSpaceDN w:val="0"/>
        <w:adjustRightInd w:val="0"/>
        <w:rPr>
          <w:rFonts w:cs="Times New Roman"/>
          <w:szCs w:val="24"/>
        </w:rPr>
      </w:pPr>
    </w:p>
    <w:p w14:paraId="4510046E" w14:textId="77777777" w:rsidR="00305894" w:rsidRPr="00084EEE" w:rsidRDefault="006A4CD7" w:rsidP="00305894">
      <w:pPr>
        <w:autoSpaceDE w:val="0"/>
        <w:autoSpaceDN w:val="0"/>
        <w:adjustRightInd w:val="0"/>
        <w:rPr>
          <w:rFonts w:cs="Times New Roman"/>
          <w:szCs w:val="24"/>
        </w:rPr>
      </w:pPr>
      <w:r w:rsidRPr="006A4CD7">
        <w:rPr>
          <w:rFonts w:cs="Times New Roman"/>
          <w:szCs w:val="24"/>
        </w:rPr>
        <w:tab/>
      </w:r>
      <w:r w:rsidR="00305894" w:rsidRPr="00084EEE">
        <w:rPr>
          <w:rFonts w:cs="Times New Roman"/>
          <w:szCs w:val="24"/>
        </w:rPr>
        <w:t>A copyright owner may obtain a certificate of registration from the Copyright Office.</w:t>
      </w:r>
    </w:p>
    <w:p w14:paraId="1286D51E" w14:textId="77777777" w:rsidR="00305894" w:rsidRPr="00084EEE" w:rsidRDefault="00305894" w:rsidP="00305894">
      <w:pPr>
        <w:autoSpaceDE w:val="0"/>
        <w:autoSpaceDN w:val="0"/>
        <w:adjustRightInd w:val="0"/>
        <w:rPr>
          <w:rFonts w:cs="Times New Roman"/>
          <w:szCs w:val="24"/>
        </w:rPr>
      </w:pPr>
    </w:p>
    <w:p w14:paraId="59AA9B9D"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does not present evidence regarding validity or ownership of copyright</w:t>
      </w:r>
      <w:r w:rsidRPr="00084EEE">
        <w:rPr>
          <w:rFonts w:cs="Times New Roman"/>
          <w:szCs w:val="24"/>
          <w:u w:val="single"/>
        </w:rPr>
        <w:t>]</w:t>
      </w:r>
      <w:r w:rsidRPr="00084EEE">
        <w:rPr>
          <w:rFonts w:cs="Times New Roman"/>
          <w:i/>
          <w:iCs/>
          <w:szCs w:val="24"/>
        </w:rPr>
        <w:t xml:space="preserve"> </w:t>
      </w:r>
      <w:r w:rsidRPr="00084EEE">
        <w:rPr>
          <w:rFonts w:cs="Times New Roman"/>
          <w:szCs w:val="24"/>
        </w:rPr>
        <w:t xml:space="preserve"> </w:t>
      </w:r>
    </w:p>
    <w:p w14:paraId="0120CD53" w14:textId="77777777" w:rsidR="00305894" w:rsidRPr="00084EEE" w:rsidRDefault="00305894" w:rsidP="00305894">
      <w:pPr>
        <w:autoSpaceDE w:val="0"/>
        <w:autoSpaceDN w:val="0"/>
        <w:adjustRightInd w:val="0"/>
        <w:rPr>
          <w:rFonts w:cs="Times New Roman"/>
          <w:szCs w:val="24"/>
        </w:rPr>
      </w:pPr>
    </w:p>
    <w:p w14:paraId="6271A338"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084EEE">
        <w:rPr>
          <w:rFonts w:cs="Times New Roman"/>
          <w:i/>
          <w:iCs/>
          <w:szCs w:val="24"/>
          <w:u w:val="single"/>
        </w:rPr>
        <w:t>identify the work in question</w:t>
      </w:r>
      <w:r w:rsidRPr="00084EEE">
        <w:rPr>
          <w:rFonts w:cs="Times New Roman"/>
          <w:szCs w:val="24"/>
        </w:rPr>
        <w:t>].</w:t>
      </w:r>
    </w:p>
    <w:p w14:paraId="3C8F92C8" w14:textId="77777777" w:rsidR="00305894" w:rsidRPr="00084EEE" w:rsidRDefault="00305894" w:rsidP="00305894"/>
    <w:p w14:paraId="6AFED620" w14:textId="77777777" w:rsidR="00305894" w:rsidRPr="00084EEE" w:rsidRDefault="00305894" w:rsidP="00305894">
      <w:pPr>
        <w:autoSpaceDE w:val="0"/>
        <w:autoSpaceDN w:val="0"/>
        <w:adjustRightInd w:val="0"/>
        <w:jc w:val="center"/>
        <w:rPr>
          <w:rFonts w:cs="Times New Roman"/>
          <w:szCs w:val="24"/>
        </w:rPr>
      </w:pPr>
      <w:r w:rsidRPr="00084EEE">
        <w:rPr>
          <w:rFonts w:cs="Times New Roman"/>
          <w:szCs w:val="24"/>
        </w:rPr>
        <w:t>[</w:t>
      </w:r>
      <w:r w:rsidRPr="00084EEE">
        <w:rPr>
          <w:rFonts w:cs="Times New Roman"/>
          <w:i/>
          <w:iCs/>
          <w:szCs w:val="24"/>
          <w:u w:val="single"/>
        </w:rPr>
        <w:t>When defendant presents evidence regarding validity or ownership of copyright</w:t>
      </w:r>
      <w:r w:rsidRPr="00084EEE">
        <w:rPr>
          <w:rFonts w:cs="Times New Roman"/>
          <w:szCs w:val="24"/>
          <w:u w:val="single"/>
        </w:rPr>
        <w:t>]</w:t>
      </w:r>
      <w:r w:rsidRPr="00084EEE">
        <w:rPr>
          <w:rFonts w:cs="Times New Roman"/>
          <w:szCs w:val="24"/>
        </w:rPr>
        <w:t xml:space="preserve"> </w:t>
      </w:r>
    </w:p>
    <w:p w14:paraId="4D6970CD" w14:textId="77777777" w:rsidR="00305894" w:rsidRPr="00084EEE" w:rsidRDefault="00305894" w:rsidP="00305894">
      <w:pPr>
        <w:autoSpaceDE w:val="0"/>
        <w:autoSpaceDN w:val="0"/>
        <w:adjustRightInd w:val="0"/>
        <w:rPr>
          <w:rFonts w:cs="Times New Roman"/>
          <w:szCs w:val="24"/>
        </w:rPr>
      </w:pPr>
    </w:p>
    <w:p w14:paraId="611946F5"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084EEE">
        <w:rPr>
          <w:rFonts w:cs="Times New Roman"/>
          <w:i/>
          <w:iCs/>
          <w:szCs w:val="24"/>
          <w:u w:val="single"/>
        </w:rPr>
        <w:t>state specifics of the certificate relevant to the case, e.g., that plaintiff’s work is the original and copyrightable work of the author and that the plaintiff owns the copyright in that work</w:t>
      </w:r>
      <w:r w:rsidRPr="00084EEE">
        <w:rPr>
          <w:rFonts w:cs="Times New Roman"/>
          <w:szCs w:val="24"/>
          <w:u w:val="single"/>
        </w:rPr>
        <w:t>]</w:t>
      </w:r>
      <w:r w:rsidRPr="00084EEE">
        <w:rPr>
          <w:rFonts w:cs="Times New Roman"/>
          <w:szCs w:val="24"/>
        </w:rPr>
        <w:t>,</w:t>
      </w:r>
      <w:r w:rsidRPr="00084EEE">
        <w:rPr>
          <w:rFonts w:cs="Times New Roman"/>
          <w:i/>
          <w:iCs/>
          <w:szCs w:val="24"/>
        </w:rPr>
        <w:t xml:space="preserve"> </w:t>
      </w:r>
      <w:r w:rsidRPr="00084EEE">
        <w:rPr>
          <w:rFonts w:cs="Times New Roman"/>
          <w:szCs w:val="24"/>
        </w:rPr>
        <w:t>which I explain in Instructions [</w:t>
      </w:r>
      <w:r w:rsidRPr="00084EEE">
        <w:rPr>
          <w:rFonts w:cs="Times New Roman"/>
          <w:i/>
          <w:iCs/>
          <w:szCs w:val="24"/>
          <w:u w:val="single"/>
        </w:rPr>
        <w:t>insert instruction numbers relevant to elements of plaintiff’s burden</w:t>
      </w:r>
      <w:r w:rsidRPr="00084EEE">
        <w:rPr>
          <w:rFonts w:cs="Times New Roman"/>
          <w:szCs w:val="24"/>
        </w:rPr>
        <w:t>].</w:t>
      </w:r>
    </w:p>
    <w:p w14:paraId="21C400B8" w14:textId="77777777" w:rsidR="00305894" w:rsidRPr="00084EEE" w:rsidRDefault="00305894" w:rsidP="00305894">
      <w:pPr>
        <w:autoSpaceDE w:val="0"/>
        <w:autoSpaceDN w:val="0"/>
        <w:adjustRightInd w:val="0"/>
        <w:rPr>
          <w:rFonts w:cs="Times New Roman"/>
          <w:szCs w:val="24"/>
        </w:rPr>
      </w:pPr>
    </w:p>
    <w:p w14:paraId="775C52E8" w14:textId="77777777" w:rsidR="00305894" w:rsidRPr="00084EEE" w:rsidRDefault="00305894" w:rsidP="00305894">
      <w:pPr>
        <w:autoSpaceDE w:val="0"/>
        <w:autoSpaceDN w:val="0"/>
        <w:adjustRightInd w:val="0"/>
        <w:jc w:val="center"/>
        <w:rPr>
          <w:rFonts w:cs="Times New Roman"/>
          <w:szCs w:val="24"/>
        </w:rPr>
      </w:pPr>
      <w:r w:rsidRPr="00084EEE">
        <w:rPr>
          <w:rFonts w:cs="Times New Roman"/>
          <w:b/>
          <w:bCs/>
          <w:szCs w:val="24"/>
        </w:rPr>
        <w:t>Comment</w:t>
      </w:r>
    </w:p>
    <w:p w14:paraId="2BE573BC" w14:textId="77777777" w:rsidR="00305894" w:rsidRPr="00084EEE" w:rsidRDefault="00305894" w:rsidP="00305894">
      <w:pPr>
        <w:autoSpaceDE w:val="0"/>
        <w:autoSpaceDN w:val="0"/>
        <w:adjustRightInd w:val="0"/>
        <w:rPr>
          <w:rFonts w:cs="Times New Roman"/>
          <w:szCs w:val="24"/>
        </w:rPr>
      </w:pPr>
    </w:p>
    <w:p w14:paraId="1C95CB0A"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This instruction should be given if the plaintiff submits a copyright registration certificate made before or</w:t>
      </w:r>
      <w:r w:rsidRPr="00084EEE">
        <w:rPr>
          <w:rFonts w:cs="Times New Roman"/>
          <w:b/>
          <w:bCs/>
          <w:szCs w:val="24"/>
        </w:rPr>
        <w:t xml:space="preserve"> </w:t>
      </w:r>
      <w:r w:rsidRPr="00084EEE">
        <w:rPr>
          <w:rFonts w:cs="Times New Roman"/>
          <w:szCs w:val="24"/>
        </w:rPr>
        <w:t xml:space="preserve">within five years of first publication.  </w:t>
      </w:r>
      <w:r w:rsidRPr="00084EEE">
        <w:rPr>
          <w:rFonts w:cs="Times New Roman"/>
          <w:i/>
          <w:iCs/>
          <w:szCs w:val="24"/>
        </w:rPr>
        <w:t>See</w:t>
      </w:r>
      <w:r w:rsidRPr="00084EEE">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084EEE">
        <w:rPr>
          <w:rFonts w:cs="Times New Roman"/>
          <w:i/>
          <w:iCs/>
          <w:szCs w:val="24"/>
        </w:rPr>
        <w:t>see</w:t>
      </w:r>
      <w:r w:rsidRPr="00084EEE">
        <w:rPr>
          <w:rFonts w:cs="Times New Roman"/>
          <w:szCs w:val="24"/>
        </w:rPr>
        <w:t xml:space="preserve"> 17 U.S.C. § 101.</w:t>
      </w:r>
    </w:p>
    <w:p w14:paraId="399B0D02" w14:textId="77777777" w:rsidR="00305894" w:rsidRPr="00084EEE" w:rsidRDefault="00305894" w:rsidP="00305894">
      <w:pPr>
        <w:autoSpaceDE w:val="0"/>
        <w:autoSpaceDN w:val="0"/>
        <w:adjustRightInd w:val="0"/>
        <w:rPr>
          <w:rFonts w:cs="Times New Roman"/>
          <w:szCs w:val="24"/>
        </w:rPr>
      </w:pPr>
    </w:p>
    <w:p w14:paraId="0C4EDF6B" w14:textId="77777777" w:rsidR="00305894" w:rsidRPr="00084EEE" w:rsidRDefault="00305894" w:rsidP="00305894">
      <w:pPr>
        <w:autoSpaceDE w:val="0"/>
        <w:autoSpaceDN w:val="0"/>
        <w:adjustRightInd w:val="0"/>
        <w:rPr>
          <w:rFonts w:cs="Times New Roman"/>
          <w:i/>
          <w:iCs/>
          <w:szCs w:val="24"/>
        </w:rPr>
      </w:pPr>
      <w:r w:rsidRPr="00084EEE">
        <w:rPr>
          <w:rFonts w:cs="Times New Roman"/>
          <w:szCs w:val="24"/>
        </w:rPr>
        <w:tab/>
        <w:t xml:space="preserve">A copyright registration certificate can shift the burden of proof concerning plaintiff’s ownership of a valid copyright.  </w:t>
      </w:r>
      <w:r w:rsidRPr="00084EEE">
        <w:rPr>
          <w:rFonts w:cs="Times New Roman"/>
          <w:i/>
          <w:iCs/>
          <w:szCs w:val="24"/>
        </w:rPr>
        <w:t>United Fabrics Int’l, Inc. v. C&amp;J Wear, Inc.</w:t>
      </w:r>
      <w:r w:rsidRPr="00084EEE">
        <w:rPr>
          <w:rFonts w:cs="Times New Roman"/>
          <w:szCs w:val="24"/>
        </w:rPr>
        <w:t>, 630 F.3d 1255, 1257 (9th Cir. 2011)</w:t>
      </w:r>
      <w:r w:rsidRPr="00084EEE">
        <w:rPr>
          <w:rFonts w:cs="Times New Roman"/>
          <w:i/>
          <w:iCs/>
          <w:szCs w:val="24"/>
        </w:rPr>
        <w:t>.</w:t>
      </w:r>
      <w:r w:rsidRPr="00084EEE">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084EEE">
        <w:rPr>
          <w:rFonts w:cs="Times New Roman"/>
          <w:i/>
          <w:iCs/>
          <w:szCs w:val="24"/>
        </w:rPr>
        <w:t>Cosmetic Ideas, Inc. v. IAC/</w:t>
      </w:r>
      <w:proofErr w:type="spellStart"/>
      <w:r w:rsidRPr="00084EEE">
        <w:rPr>
          <w:rFonts w:cs="Times New Roman"/>
          <w:i/>
          <w:iCs/>
          <w:szCs w:val="24"/>
        </w:rPr>
        <w:t>Interactivecorp</w:t>
      </w:r>
      <w:proofErr w:type="spellEnd"/>
      <w:r w:rsidRPr="00084EEE">
        <w:rPr>
          <w:rFonts w:cs="Times New Roman"/>
          <w:i/>
          <w:iCs/>
          <w:szCs w:val="24"/>
        </w:rPr>
        <w:t>,</w:t>
      </w:r>
      <w:r w:rsidRPr="00084EEE">
        <w:rPr>
          <w:rFonts w:cs="Times New Roman"/>
          <w:szCs w:val="24"/>
        </w:rPr>
        <w:t xml:space="preserve"> 606 F.3d 612, 619 (9th Cir. 2010) (citing 17 U.S.C. § 410(c)), </w:t>
      </w:r>
      <w:r w:rsidRPr="00084EEE">
        <w:rPr>
          <w:rFonts w:cs="Times New Roman"/>
          <w:i/>
          <w:iCs/>
          <w:szCs w:val="24"/>
        </w:rPr>
        <w:t>abrogated by</w:t>
      </w:r>
    </w:p>
    <w:p w14:paraId="48DDCF9B" w14:textId="77777777" w:rsidR="00305894" w:rsidRPr="00084EEE" w:rsidRDefault="00305894" w:rsidP="00305894">
      <w:pPr>
        <w:autoSpaceDE w:val="0"/>
        <w:autoSpaceDN w:val="0"/>
        <w:adjustRightInd w:val="0"/>
        <w:rPr>
          <w:rFonts w:cs="Times New Roman"/>
          <w:szCs w:val="24"/>
        </w:rPr>
      </w:pPr>
      <w:r w:rsidRPr="00084EEE">
        <w:rPr>
          <w:rFonts w:cs="Times New Roman"/>
          <w:i/>
          <w:iCs/>
          <w:szCs w:val="24"/>
        </w:rPr>
        <w:t>Fourth Estate Pub. Benefit Corp. v. Wall-Street.com, LLC</w:t>
      </w:r>
      <w:r w:rsidRPr="00084EEE">
        <w:rPr>
          <w:rFonts w:cs="Times New Roman"/>
          <w:szCs w:val="24"/>
        </w:rPr>
        <w:t>, 139 S. Ct. 881, 886-87 (2019)</w:t>
      </w:r>
    </w:p>
    <w:p w14:paraId="00724EF2"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(“[R]</w:t>
      </w:r>
      <w:proofErr w:type="spellStart"/>
      <w:r w:rsidRPr="00084EEE">
        <w:rPr>
          <w:rFonts w:cs="Times New Roman"/>
          <w:szCs w:val="24"/>
        </w:rPr>
        <w:t>egistration</w:t>
      </w:r>
      <w:proofErr w:type="spellEnd"/>
      <w:r w:rsidRPr="00084EEE">
        <w:rPr>
          <w:rFonts w:cs="Times New Roman"/>
          <w:szCs w:val="24"/>
        </w:rPr>
        <w:t xml:space="preserve"> occurs, and a copyright claimant may commence an infringement suit, when the</w:t>
      </w:r>
    </w:p>
    <w:p w14:paraId="3C4B410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Copyright Office registers a copyright. Upon registration of the copyright, however, a copyright</w:t>
      </w:r>
    </w:p>
    <w:p w14:paraId="2E0A7C57"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 xml:space="preserve">owner can recover for infringement that occurred both before and after registration.”).   </w:t>
      </w:r>
    </w:p>
    <w:p w14:paraId="6350EFE4" w14:textId="77777777" w:rsidR="00305894" w:rsidRPr="00084EEE" w:rsidRDefault="00305894" w:rsidP="00305894">
      <w:pPr>
        <w:autoSpaceDE w:val="0"/>
        <w:autoSpaceDN w:val="0"/>
        <w:adjustRightInd w:val="0"/>
        <w:rPr>
          <w:rFonts w:cs="Times New Roman"/>
          <w:szCs w:val="24"/>
        </w:rPr>
      </w:pPr>
    </w:p>
    <w:p w14:paraId="330FF950" w14:textId="77777777" w:rsidR="00305894" w:rsidRPr="00084EEE" w:rsidRDefault="00305894" w:rsidP="00305894">
      <w:pPr>
        <w:autoSpaceDE w:val="0"/>
        <w:autoSpaceDN w:val="0"/>
        <w:adjustRightInd w:val="0"/>
        <w:rPr>
          <w:rFonts w:cs="Times New Roman"/>
          <w:szCs w:val="24"/>
        </w:rPr>
      </w:pPr>
      <w:r w:rsidRPr="00084EEE">
        <w:rPr>
          <w:rFonts w:cs="Times New Roman"/>
          <w:szCs w:val="24"/>
        </w:rPr>
        <w:tab/>
        <w:t xml:space="preserve">Under the Copyright Act, the party claiming infringement must show ownership.  </w:t>
      </w:r>
      <w:r w:rsidRPr="00084EEE">
        <w:rPr>
          <w:rFonts w:cs="Times New Roman"/>
          <w:i/>
          <w:iCs/>
          <w:szCs w:val="24"/>
        </w:rPr>
        <w:t>See Lamps Plus, Inc. v. Seattle Lighting Fixture Co</w:t>
      </w:r>
      <w:r w:rsidRPr="00084EEE">
        <w:rPr>
          <w:rFonts w:cs="Times New Roman"/>
          <w:szCs w:val="24"/>
        </w:rPr>
        <w:t xml:space="preserve">., 345 F.3d 1140, 1144 (9th Cir. 2003) (“Ownership of the copyright is … always a threshold question.” (quoting </w:t>
      </w:r>
      <w:proofErr w:type="spellStart"/>
      <w:r w:rsidRPr="00084EEE">
        <w:rPr>
          <w:rFonts w:cs="Times New Roman"/>
          <w:i/>
          <w:iCs/>
          <w:szCs w:val="24"/>
        </w:rPr>
        <w:t>Topolos</w:t>
      </w:r>
      <w:proofErr w:type="spellEnd"/>
      <w:r w:rsidRPr="00084EEE">
        <w:rPr>
          <w:rFonts w:cs="Times New Roman"/>
          <w:i/>
          <w:iCs/>
          <w:szCs w:val="24"/>
        </w:rPr>
        <w:t xml:space="preserve"> v. </w:t>
      </w:r>
      <w:proofErr w:type="spellStart"/>
      <w:r w:rsidRPr="00084EEE">
        <w:rPr>
          <w:rFonts w:cs="Times New Roman"/>
          <w:i/>
          <w:iCs/>
          <w:szCs w:val="24"/>
        </w:rPr>
        <w:t>Caldewey</w:t>
      </w:r>
      <w:proofErr w:type="spellEnd"/>
      <w:r w:rsidRPr="00084EEE">
        <w:rPr>
          <w:rFonts w:cs="Times New Roman"/>
          <w:szCs w:val="24"/>
        </w:rPr>
        <w:t>,</w:t>
      </w:r>
      <w:r w:rsidRPr="00084EEE">
        <w:rPr>
          <w:rFonts w:cs="Times New Roman"/>
          <w:i/>
          <w:iCs/>
          <w:szCs w:val="24"/>
        </w:rPr>
        <w:t xml:space="preserve"> </w:t>
      </w:r>
      <w:r w:rsidRPr="00084EEE">
        <w:rPr>
          <w:rFonts w:cs="Times New Roman"/>
          <w:szCs w:val="24"/>
        </w:rPr>
        <w:t xml:space="preserve">698 F.2d 991, 994 (9th Cir. 1983))). </w:t>
      </w:r>
    </w:p>
    <w:p w14:paraId="06DC32BB" w14:textId="77777777" w:rsidR="00305894" w:rsidRPr="00C8517D" w:rsidRDefault="00305894" w:rsidP="00305894">
      <w:pPr>
        <w:autoSpaceDE w:val="0"/>
        <w:autoSpaceDN w:val="0"/>
        <w:adjustRightInd w:val="0"/>
        <w:rPr>
          <w:rFonts w:cs="Times New Roman"/>
          <w:szCs w:val="24"/>
        </w:rPr>
      </w:pPr>
      <w:r w:rsidRPr="00084EEE">
        <w:rPr>
          <w:rFonts w:cs="Times New Roman"/>
          <w:szCs w:val="24"/>
        </w:rPr>
        <w:tab/>
        <w:t xml:space="preserve">Where a copyright registrant has registered a collective work, the registrant may also bring an infringement action on behalf of the component works, provided the registrant owns the rights to the component works as well.  </w:t>
      </w:r>
      <w:proofErr w:type="spellStart"/>
      <w:r w:rsidRPr="00084EEE">
        <w:rPr>
          <w:rFonts w:cs="Times New Roman"/>
          <w:i/>
          <w:iCs/>
          <w:szCs w:val="24"/>
        </w:rPr>
        <w:t>Unicolors</w:t>
      </w:r>
      <w:proofErr w:type="spellEnd"/>
      <w:r w:rsidRPr="00084EEE">
        <w:rPr>
          <w:rFonts w:cs="Times New Roman"/>
          <w:i/>
          <w:iCs/>
          <w:szCs w:val="24"/>
        </w:rPr>
        <w:t>, Inc. v. Urban Outfitters, Inc</w:t>
      </w:r>
      <w:r w:rsidRPr="00084EEE">
        <w:rPr>
          <w:rFonts w:cs="Times New Roman"/>
          <w:szCs w:val="24"/>
        </w:rPr>
        <w:t xml:space="preserve">., 853 F.3d 980, 989 (9th Cir. 2017) (citation omitted).  It is not necessary to list each of the component works in the copyright application for each of those works to be copyrighted.  </w:t>
      </w:r>
      <w:r w:rsidRPr="00084EEE">
        <w:rPr>
          <w:rFonts w:cs="Times New Roman"/>
          <w:i/>
          <w:iCs/>
          <w:szCs w:val="24"/>
        </w:rPr>
        <w:t>Id</w:t>
      </w:r>
      <w:r w:rsidRPr="00084EEE">
        <w:rPr>
          <w:rFonts w:cs="Times New Roman"/>
          <w:szCs w:val="24"/>
        </w:rPr>
        <w:t xml:space="preserve">.  </w:t>
      </w:r>
      <w:r>
        <w:rPr>
          <w:rFonts w:cs="Times New Roman"/>
          <w:szCs w:val="24"/>
        </w:rPr>
        <w:t xml:space="preserve">  </w:t>
      </w:r>
      <w:r w:rsidRPr="00C8517D">
        <w:rPr>
          <w:rFonts w:cs="Times New Roman"/>
          <w:szCs w:val="24"/>
        </w:rPr>
        <w:t>The Copyright Act contains a safe harbor, 17 U.S.C. §</w:t>
      </w:r>
      <w:r>
        <w:rPr>
          <w:rFonts w:cs="Times New Roman"/>
          <w:szCs w:val="24"/>
        </w:rPr>
        <w:t xml:space="preserve"> </w:t>
      </w:r>
      <w:r w:rsidRPr="00C8517D">
        <w:rPr>
          <w:rFonts w:cs="Times New Roman"/>
          <w:szCs w:val="24"/>
        </w:rPr>
        <w:t>411(b)(1)(A), which provides</w:t>
      </w:r>
      <w:r>
        <w:rPr>
          <w:rFonts w:cs="Times New Roman"/>
          <w:szCs w:val="24"/>
        </w:rPr>
        <w:t xml:space="preserve"> </w:t>
      </w:r>
      <w:r w:rsidRPr="00C8517D">
        <w:rPr>
          <w:rFonts w:cs="Times New Roman"/>
          <w:szCs w:val="24"/>
        </w:rPr>
        <w:t>that a certificate of registration is valid even</w:t>
      </w:r>
      <w:r>
        <w:rPr>
          <w:rFonts w:cs="Times New Roman"/>
          <w:szCs w:val="24"/>
        </w:rPr>
        <w:t xml:space="preserve"> </w:t>
      </w:r>
      <w:r w:rsidRPr="00C8517D">
        <w:rPr>
          <w:rFonts w:cs="Times New Roman"/>
          <w:szCs w:val="24"/>
        </w:rPr>
        <w:t>though it contains inaccurate information, as long as the copyright holder</w:t>
      </w:r>
      <w:r>
        <w:rPr>
          <w:rFonts w:cs="Times New Roman"/>
          <w:szCs w:val="24"/>
        </w:rPr>
        <w:t xml:space="preserve"> </w:t>
      </w:r>
      <w:r w:rsidRPr="00C8517D">
        <w:rPr>
          <w:rFonts w:cs="Times New Roman"/>
          <w:szCs w:val="24"/>
        </w:rPr>
        <w:t>lacked “knowledge that i</w:t>
      </w:r>
      <w:r>
        <w:rPr>
          <w:rFonts w:cs="Times New Roman"/>
          <w:szCs w:val="24"/>
        </w:rPr>
        <w:t>t</w:t>
      </w:r>
      <w:r w:rsidRPr="00C8517D">
        <w:rPr>
          <w:rFonts w:cs="Times New Roman"/>
          <w:szCs w:val="24"/>
        </w:rPr>
        <w:t xml:space="preserve"> was incorrect.”</w:t>
      </w:r>
      <w:r>
        <w:rPr>
          <w:rFonts w:cs="Times New Roman"/>
          <w:szCs w:val="24"/>
        </w:rPr>
        <w:t xml:space="preserve"> </w:t>
      </w:r>
      <w:r w:rsidRPr="00C8517D">
        <w:rPr>
          <w:rFonts w:cs="Times New Roman"/>
          <w:szCs w:val="24"/>
        </w:rPr>
        <w:t xml:space="preserve"> The safe</w:t>
      </w:r>
      <w:r>
        <w:rPr>
          <w:rFonts w:cs="Times New Roman"/>
          <w:szCs w:val="24"/>
        </w:rPr>
        <w:t xml:space="preserve"> harbor</w:t>
      </w:r>
      <w:r w:rsidRPr="00C8517D">
        <w:rPr>
          <w:rFonts w:cs="Times New Roman"/>
          <w:szCs w:val="24"/>
        </w:rPr>
        <w:t xml:space="preserve"> “does</w:t>
      </w:r>
      <w:r>
        <w:rPr>
          <w:rFonts w:cs="Times New Roman"/>
          <w:szCs w:val="24"/>
        </w:rPr>
        <w:t xml:space="preserve"> </w:t>
      </w:r>
      <w:r w:rsidRPr="00C8517D">
        <w:rPr>
          <w:rFonts w:cs="Times New Roman"/>
          <w:szCs w:val="24"/>
        </w:rPr>
        <w:t xml:space="preserve">not distinguish between a mistake of law and a mistake of fact. </w:t>
      </w:r>
      <w:r>
        <w:rPr>
          <w:rFonts w:cs="Times New Roman"/>
          <w:szCs w:val="24"/>
        </w:rPr>
        <w:t xml:space="preserve"> </w:t>
      </w:r>
      <w:r w:rsidRPr="00C8517D">
        <w:rPr>
          <w:rFonts w:cs="Times New Roman"/>
          <w:szCs w:val="24"/>
        </w:rPr>
        <w:t>Lack of</w:t>
      </w:r>
      <w:r>
        <w:rPr>
          <w:rFonts w:cs="Times New Roman"/>
          <w:szCs w:val="24"/>
        </w:rPr>
        <w:t xml:space="preserve"> </w:t>
      </w:r>
      <w:r w:rsidRPr="00C8517D">
        <w:rPr>
          <w:rFonts w:cs="Times New Roman"/>
          <w:szCs w:val="24"/>
        </w:rPr>
        <w:t>knowledge of either fact or law can excuse an inaccuracy in a copyright</w:t>
      </w:r>
      <w:r>
        <w:rPr>
          <w:rFonts w:cs="Times New Roman"/>
          <w:szCs w:val="24"/>
        </w:rPr>
        <w:t xml:space="preserve"> registration</w:t>
      </w:r>
      <w:r w:rsidRPr="00C8517D">
        <w:rPr>
          <w:rFonts w:cs="Times New Roman"/>
          <w:szCs w:val="24"/>
        </w:rPr>
        <w:t xml:space="preserve">.” </w:t>
      </w:r>
      <w:r>
        <w:rPr>
          <w:rFonts w:cs="Times New Roman"/>
          <w:szCs w:val="24"/>
        </w:rPr>
        <w:t xml:space="preserve"> </w:t>
      </w:r>
      <w:proofErr w:type="spellStart"/>
      <w:r w:rsidRPr="00C8517D">
        <w:rPr>
          <w:rFonts w:cs="Times New Roman"/>
          <w:i/>
          <w:iCs/>
          <w:szCs w:val="24"/>
        </w:rPr>
        <w:t>Unicolors</w:t>
      </w:r>
      <w:proofErr w:type="spellEnd"/>
      <w:r w:rsidRPr="00C8517D">
        <w:rPr>
          <w:rFonts w:cs="Times New Roman"/>
          <w:i/>
          <w:iCs/>
          <w:szCs w:val="24"/>
        </w:rPr>
        <w:t>, Inc. v. H&amp;M Hennes &amp; Mauritz, L.P.</w:t>
      </w:r>
      <w:r w:rsidRPr="00C8517D">
        <w:rPr>
          <w:rFonts w:cs="Times New Roman"/>
          <w:szCs w:val="24"/>
        </w:rPr>
        <w:t xml:space="preserve">, </w:t>
      </w:r>
      <w:r>
        <w:rPr>
          <w:rFonts w:cs="Times New Roman"/>
          <w:szCs w:val="24"/>
        </w:rPr>
        <w:t xml:space="preserve">142 </w:t>
      </w:r>
      <w:proofErr w:type="spellStart"/>
      <w:r w:rsidRPr="00C8517D">
        <w:rPr>
          <w:rFonts w:cs="Times New Roman"/>
          <w:szCs w:val="24"/>
        </w:rPr>
        <w:t>S.Ct</w:t>
      </w:r>
      <w:proofErr w:type="spellEnd"/>
      <w:r w:rsidRPr="00C8517D">
        <w:rPr>
          <w:rFonts w:cs="Times New Roman"/>
          <w:szCs w:val="24"/>
        </w:rPr>
        <w:t>.</w:t>
      </w:r>
      <w:r>
        <w:rPr>
          <w:rFonts w:cs="Times New Roman"/>
          <w:szCs w:val="24"/>
        </w:rPr>
        <w:t xml:space="preserve"> 941</w:t>
      </w:r>
      <w:r w:rsidRPr="00C8517D">
        <w:rPr>
          <w:rFonts w:cs="Times New Roman"/>
          <w:szCs w:val="24"/>
        </w:rPr>
        <w:t>,</w:t>
      </w:r>
      <w:r>
        <w:rPr>
          <w:rFonts w:cs="Times New Roman"/>
          <w:szCs w:val="24"/>
        </w:rPr>
        <w:t xml:space="preserve"> 945</w:t>
      </w:r>
      <w:r w:rsidRPr="00C8517D">
        <w:rPr>
          <w:rFonts w:cs="Times New Roman"/>
          <w:szCs w:val="24"/>
        </w:rPr>
        <w:t xml:space="preserve"> (</w:t>
      </w:r>
      <w:r>
        <w:rPr>
          <w:rFonts w:cs="Times New Roman"/>
          <w:szCs w:val="24"/>
        </w:rPr>
        <w:t>9</w:t>
      </w:r>
      <w:r w:rsidRPr="00C8517D">
        <w:rPr>
          <w:rFonts w:cs="Times New Roman"/>
          <w:szCs w:val="24"/>
        </w:rPr>
        <w:t xml:space="preserve">th </w:t>
      </w:r>
      <w:r>
        <w:rPr>
          <w:rFonts w:cs="Times New Roman"/>
          <w:szCs w:val="24"/>
        </w:rPr>
        <w:t xml:space="preserve">Cir. </w:t>
      </w:r>
      <w:r w:rsidRPr="00C8517D">
        <w:rPr>
          <w:rFonts w:cs="Times New Roman"/>
          <w:szCs w:val="24"/>
        </w:rPr>
        <w:t xml:space="preserve">2022). </w:t>
      </w:r>
      <w:r>
        <w:rPr>
          <w:rFonts w:cs="Times New Roman"/>
          <w:szCs w:val="24"/>
        </w:rPr>
        <w:t xml:space="preserve"> </w:t>
      </w:r>
      <w:r w:rsidRPr="00C8517D">
        <w:rPr>
          <w:rFonts w:cs="Times New Roman"/>
          <w:szCs w:val="24"/>
        </w:rPr>
        <w:t>A court need not accept a copyright</w:t>
      </w:r>
      <w:r>
        <w:rPr>
          <w:rFonts w:cs="Times New Roman"/>
          <w:szCs w:val="24"/>
        </w:rPr>
        <w:t xml:space="preserve"> </w:t>
      </w:r>
      <w:r w:rsidRPr="00C8517D">
        <w:rPr>
          <w:rFonts w:cs="Times New Roman"/>
          <w:szCs w:val="24"/>
        </w:rPr>
        <w:t xml:space="preserve">holder’s claim that it was unaware of the relevant copyright law. </w:t>
      </w:r>
      <w:r>
        <w:rPr>
          <w:rFonts w:cs="Times New Roman"/>
          <w:szCs w:val="24"/>
        </w:rPr>
        <w:t xml:space="preserve"> </w:t>
      </w:r>
      <w:r w:rsidRPr="00C8517D">
        <w:rPr>
          <w:rFonts w:cs="Times New Roman"/>
          <w:szCs w:val="24"/>
        </w:rPr>
        <w:t>Instead,</w:t>
      </w:r>
      <w:r>
        <w:rPr>
          <w:rFonts w:cs="Times New Roman"/>
          <w:szCs w:val="24"/>
        </w:rPr>
        <w:t xml:space="preserve"> </w:t>
      </w:r>
      <w:r w:rsidRPr="00C8517D">
        <w:rPr>
          <w:rFonts w:cs="Times New Roman"/>
          <w:szCs w:val="24"/>
        </w:rPr>
        <w:t>“[c]</w:t>
      </w:r>
      <w:proofErr w:type="spellStart"/>
      <w:r w:rsidRPr="00C8517D">
        <w:rPr>
          <w:rFonts w:cs="Times New Roman"/>
          <w:szCs w:val="24"/>
        </w:rPr>
        <w:t>ircumstantial</w:t>
      </w:r>
      <w:proofErr w:type="spellEnd"/>
      <w:r w:rsidRPr="00C8517D">
        <w:rPr>
          <w:rFonts w:cs="Times New Roman"/>
          <w:szCs w:val="24"/>
        </w:rPr>
        <w:t xml:space="preserve"> evidence, including the significance of the legal error, the</w:t>
      </w:r>
      <w:r>
        <w:rPr>
          <w:rFonts w:cs="Times New Roman"/>
          <w:szCs w:val="24"/>
        </w:rPr>
        <w:t xml:space="preserve"> </w:t>
      </w:r>
      <w:r w:rsidRPr="00C8517D">
        <w:rPr>
          <w:rFonts w:cs="Times New Roman"/>
          <w:szCs w:val="24"/>
        </w:rPr>
        <w:t>complexity of the relevant rule, the applicant’s experience with copyright</w:t>
      </w:r>
      <w:r>
        <w:rPr>
          <w:rFonts w:cs="Times New Roman"/>
          <w:szCs w:val="24"/>
        </w:rPr>
        <w:t xml:space="preserve"> </w:t>
      </w:r>
      <w:r w:rsidRPr="00C8517D">
        <w:rPr>
          <w:rFonts w:cs="Times New Roman"/>
          <w:szCs w:val="24"/>
        </w:rPr>
        <w:t>law, and other such matters, may also lead a court to find that an applicant</w:t>
      </w:r>
      <w:r>
        <w:rPr>
          <w:rFonts w:cs="Times New Roman"/>
          <w:szCs w:val="24"/>
        </w:rPr>
        <w:t xml:space="preserve"> </w:t>
      </w:r>
      <w:r w:rsidRPr="00C8517D">
        <w:rPr>
          <w:rFonts w:cs="Times New Roman"/>
          <w:szCs w:val="24"/>
        </w:rPr>
        <w:t>was actually aware of, or willfully blind to, legally inaccurate information”;</w:t>
      </w:r>
      <w:r>
        <w:rPr>
          <w:rFonts w:cs="Times New Roman"/>
          <w:szCs w:val="24"/>
        </w:rPr>
        <w:t xml:space="preserve"> </w:t>
      </w:r>
      <w:r w:rsidRPr="00C8517D">
        <w:rPr>
          <w:rFonts w:cs="Times New Roman"/>
          <w:szCs w:val="24"/>
        </w:rPr>
        <w:t xml:space="preserve">moreover, willful blindness can support a finding of actual knowledge. </w:t>
      </w:r>
      <w:r>
        <w:rPr>
          <w:rFonts w:cs="Times New Roman"/>
          <w:szCs w:val="24"/>
        </w:rPr>
        <w:t xml:space="preserve"> </w:t>
      </w:r>
      <w:r w:rsidRPr="00C8517D">
        <w:rPr>
          <w:rFonts w:cs="Times New Roman"/>
          <w:i/>
          <w:iCs/>
          <w:szCs w:val="24"/>
        </w:rPr>
        <w:t>Id</w:t>
      </w:r>
      <w:r w:rsidRPr="00C8517D">
        <w:rPr>
          <w:rFonts w:cs="Times New Roman"/>
          <w:szCs w:val="24"/>
        </w:rPr>
        <w:t>.,</w:t>
      </w:r>
      <w:r>
        <w:rPr>
          <w:rFonts w:cs="Times New Roman"/>
          <w:szCs w:val="24"/>
        </w:rPr>
        <w:t xml:space="preserve"> </w:t>
      </w:r>
      <w:r w:rsidRPr="00C8517D">
        <w:rPr>
          <w:rFonts w:cs="Times New Roman"/>
          <w:szCs w:val="24"/>
        </w:rPr>
        <w:t xml:space="preserve">at </w:t>
      </w:r>
      <w:r>
        <w:rPr>
          <w:rFonts w:cs="Times New Roman"/>
          <w:szCs w:val="24"/>
        </w:rPr>
        <w:t>948</w:t>
      </w:r>
      <w:r w:rsidRPr="00C8517D">
        <w:rPr>
          <w:rFonts w:cs="Times New Roman"/>
          <w:szCs w:val="24"/>
        </w:rPr>
        <w:t>.</w:t>
      </w:r>
    </w:p>
    <w:p w14:paraId="4892DA0B" w14:textId="77777777" w:rsidR="00305894" w:rsidRPr="00084EEE" w:rsidRDefault="00305894" w:rsidP="00305894">
      <w:pPr>
        <w:autoSpaceDE w:val="0"/>
        <w:autoSpaceDN w:val="0"/>
        <w:adjustRightInd w:val="0"/>
        <w:rPr>
          <w:rFonts w:cs="Times New Roman"/>
          <w:szCs w:val="24"/>
        </w:rPr>
      </w:pPr>
    </w:p>
    <w:p w14:paraId="44C3B4FB" w14:textId="77777777" w:rsidR="00305894" w:rsidRPr="00084EEE" w:rsidRDefault="00305894" w:rsidP="00305894">
      <w:pPr>
        <w:autoSpaceDE w:val="0"/>
        <w:autoSpaceDN w:val="0"/>
        <w:adjustRightInd w:val="0"/>
        <w:rPr>
          <w:rFonts w:cs="Times New Roman"/>
          <w:szCs w:val="24"/>
        </w:rPr>
      </w:pPr>
    </w:p>
    <w:p w14:paraId="2302EAFC" w14:textId="77777777" w:rsidR="00305894" w:rsidRPr="00084EEE" w:rsidRDefault="00305894" w:rsidP="00305894">
      <w:pPr>
        <w:autoSpaceDE w:val="0"/>
        <w:autoSpaceDN w:val="0"/>
        <w:adjustRightInd w:val="0"/>
        <w:rPr>
          <w:rFonts w:cs="Times New Roman"/>
          <w:szCs w:val="24"/>
        </w:rPr>
      </w:pPr>
    </w:p>
    <w:p w14:paraId="41FD8B4E" w14:textId="77777777" w:rsidR="00305894" w:rsidRPr="00084EEE" w:rsidRDefault="00305894" w:rsidP="00305894">
      <w:pPr>
        <w:autoSpaceDE w:val="0"/>
        <w:autoSpaceDN w:val="0"/>
        <w:adjustRightInd w:val="0"/>
        <w:jc w:val="right"/>
        <w:rPr>
          <w:rFonts w:cs="Times New Roman"/>
          <w:i/>
          <w:iCs/>
          <w:szCs w:val="24"/>
        </w:rPr>
      </w:pPr>
      <w:r w:rsidRPr="00084EEE">
        <w:rPr>
          <w:rFonts w:cs="Times New Roman"/>
          <w:i/>
          <w:iCs/>
          <w:szCs w:val="24"/>
        </w:rPr>
        <w:t xml:space="preserve">Revised </w:t>
      </w:r>
      <w:r>
        <w:rPr>
          <w:rFonts w:cs="Times New Roman"/>
          <w:i/>
          <w:iCs/>
          <w:szCs w:val="24"/>
        </w:rPr>
        <w:t>Mar. 2022</w:t>
      </w:r>
    </w:p>
    <w:p w14:paraId="47C574B8" w14:textId="36D60D4C" w:rsidR="006A4CD7" w:rsidRPr="006A4CD7" w:rsidRDefault="006A4CD7" w:rsidP="00305894">
      <w:pPr>
        <w:autoSpaceDE w:val="0"/>
        <w:autoSpaceDN w:val="0"/>
        <w:adjustRightInd w:val="0"/>
      </w:pPr>
    </w:p>
    <w:p w14:paraId="02D68866" w14:textId="00C18F25" w:rsidR="009A3F8A" w:rsidRDefault="006A4CD7" w:rsidP="00982B7E">
      <w:pPr>
        <w:pStyle w:val="Heading2"/>
      </w:pPr>
      <w:r w:rsidRPr="006A4CD7">
        <w:br w:type="page"/>
      </w:r>
      <w:bookmarkStart w:id="301" w:name="_Toc117512583"/>
      <w:r w:rsidRPr="006A4CD7">
        <w:t xml:space="preserve">17.8 </w:t>
      </w:r>
      <w:r w:rsidR="00BF24DD" w:rsidRPr="00BF24DD">
        <w:t>Copyright Interests—Authorship</w:t>
      </w:r>
      <w:bookmarkEnd w:id="301"/>
      <w:r w:rsidR="00BF24DD" w:rsidRPr="00BF24DD">
        <w:t xml:space="preserve"> </w:t>
      </w:r>
    </w:p>
    <w:p w14:paraId="7D1B9B9E" w14:textId="28A39651" w:rsidR="006A4CD7" w:rsidRPr="006A4CD7" w:rsidRDefault="006A4CD7" w:rsidP="00982B7E">
      <w:pPr>
        <w:pStyle w:val="Heading2"/>
      </w:pPr>
      <w:bookmarkStart w:id="302" w:name="_Toc117512584"/>
      <w:r w:rsidRPr="006A4CD7">
        <w:t>(17 U.S.C. § 201(a))</w:t>
      </w:r>
      <w:bookmarkEnd w:id="302"/>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in order to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2A2692" w:rsidRDefault="006A4CD7" w:rsidP="0060759C">
      <w:pPr>
        <w:autoSpaceDE w:val="0"/>
        <w:autoSpaceDN w:val="0"/>
        <w:adjustRightInd w:val="0"/>
        <w:rPr>
          <w:rFonts w:cs="Times New Roman"/>
          <w:szCs w:val="24"/>
        </w:rPr>
      </w:pPr>
      <w:r w:rsidRPr="006A4CD7">
        <w:rPr>
          <w:rFonts w:cs="Times New Roman"/>
          <w:szCs w:val="24"/>
        </w:rPr>
        <w:tab/>
      </w:r>
      <w:r w:rsidRPr="002A2692">
        <w:rPr>
          <w:rFonts w:cs="Times New Roman"/>
          <w:szCs w:val="24"/>
        </w:rPr>
        <w:t xml:space="preserve">“Authorship is a question of fact.” </w:t>
      </w:r>
      <w:r w:rsidRPr="002A2692">
        <w:rPr>
          <w:rFonts w:cs="Times New Roman"/>
          <w:i/>
          <w:iCs/>
          <w:szCs w:val="24"/>
        </w:rPr>
        <w:t xml:space="preserve"> S.O.S., Inc. v. Payday, Inc.</w:t>
      </w:r>
      <w:r w:rsidRPr="002A2692">
        <w:rPr>
          <w:rFonts w:cs="Times New Roman"/>
          <w:szCs w:val="24"/>
        </w:rPr>
        <w:t xml:space="preserve">, 886 F.2d 1081, 1086 (9th Cir. 1989) (citing </w:t>
      </w:r>
      <w:r w:rsidRPr="002A2692">
        <w:rPr>
          <w:rFonts w:cs="Times New Roman"/>
          <w:i/>
          <w:iCs/>
          <w:szCs w:val="24"/>
        </w:rPr>
        <w:t>Del</w:t>
      </w:r>
      <w:r w:rsidRPr="002A2692">
        <w:rPr>
          <w:rFonts w:cs="Times New Roman"/>
          <w:szCs w:val="24"/>
        </w:rPr>
        <w:t xml:space="preserve"> </w:t>
      </w:r>
      <w:r w:rsidRPr="002A2692">
        <w:rPr>
          <w:rFonts w:cs="Times New Roman"/>
          <w:i/>
          <w:iCs/>
          <w:szCs w:val="24"/>
        </w:rPr>
        <w:t>Madera Props. v. Rhodes &amp; Gardner, Inc.</w:t>
      </w:r>
      <w:r w:rsidRPr="002A2692">
        <w:rPr>
          <w:rFonts w:cs="Times New Roman"/>
          <w:szCs w:val="24"/>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particular types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work .…”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w:t>
      </w:r>
      <w:proofErr w:type="spellStart"/>
      <w:r w:rsidRPr="006A4CD7">
        <w:rPr>
          <w:rFonts w:cs="Times New Roman"/>
          <w:i/>
          <w:iCs/>
          <w:szCs w:val="24"/>
        </w:rPr>
        <w:t>Cmty</w:t>
      </w:r>
      <w:proofErr w:type="spellEnd"/>
      <w:r w:rsidRPr="006A4CD7">
        <w:rPr>
          <w:rFonts w:cs="Times New Roman"/>
          <w:i/>
          <w:iCs/>
          <w:szCs w:val="24"/>
        </w:rPr>
        <w:t>.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w:t>
      </w:r>
      <w:proofErr w:type="spellStart"/>
      <w:r w:rsidRPr="006A4CD7">
        <w:rPr>
          <w:rFonts w:cs="Times New Roman"/>
          <w:i/>
          <w:iCs/>
          <w:szCs w:val="24"/>
        </w:rPr>
        <w:t>Aalmuhammed</w:t>
      </w:r>
      <w:proofErr w:type="spellEnd"/>
      <w:r w:rsidRPr="006A4CD7">
        <w:rPr>
          <w:rFonts w:cs="Times New Roman"/>
          <w:i/>
          <w:iCs/>
          <w:szCs w:val="24"/>
        </w:rPr>
        <w:t xml:space="preserve"> v. Lee</w:t>
      </w:r>
      <w:r w:rsidRPr="006A4CD7">
        <w:rPr>
          <w:rFonts w:cs="Times New Roman"/>
          <w:szCs w:val="24"/>
        </w:rPr>
        <w:t xml:space="preserve">, 202 F.3d 1227, 1232 (9th Cir. 2000).  In </w:t>
      </w:r>
      <w:proofErr w:type="spellStart"/>
      <w:r w:rsidRPr="006A4CD7">
        <w:rPr>
          <w:rFonts w:cs="Times New Roman"/>
          <w:i/>
          <w:iCs/>
          <w:szCs w:val="24"/>
        </w:rPr>
        <w:t>Aalmuhammed</w:t>
      </w:r>
      <w:proofErr w:type="spellEnd"/>
      <w:r w:rsidRPr="006A4CD7">
        <w:rPr>
          <w:rFonts w:cs="Times New Roman"/>
          <w:szCs w:val="24"/>
        </w:rPr>
        <w:t xml:space="preserve">, the court noted that the Supreme Court had defined “author” as the person “to whom the work owes its origin and </w:t>
      </w:r>
      <w:bookmarkStart w:id="303" w:name="SR_59_4065"/>
      <w:bookmarkEnd w:id="303"/>
      <w:r w:rsidRPr="006A4CD7">
        <w:rPr>
          <w:rFonts w:cs="Times New Roman"/>
          <w:szCs w:val="24"/>
        </w:rPr>
        <w:t xml:space="preserve">who </w:t>
      </w:r>
      <w:bookmarkStart w:id="304" w:name="SR_59_4066"/>
      <w:bookmarkEnd w:id="304"/>
      <w:r w:rsidRPr="006A4CD7">
        <w:rPr>
          <w:rFonts w:cs="Times New Roman"/>
          <w:szCs w:val="24"/>
        </w:rPr>
        <w:t xml:space="preserve">superintended </w:t>
      </w:r>
      <w:bookmarkStart w:id="305" w:name="SR_59_4067"/>
      <w:bookmarkEnd w:id="305"/>
      <w:r w:rsidRPr="006A4CD7">
        <w:rPr>
          <w:rFonts w:cs="Times New Roman"/>
          <w:szCs w:val="24"/>
        </w:rPr>
        <w:t xml:space="preserve">the </w:t>
      </w:r>
      <w:bookmarkStart w:id="306" w:name="SR_59_4068"/>
      <w:bookmarkEnd w:id="306"/>
      <w:r w:rsidRPr="006A4CD7">
        <w:rPr>
          <w:rFonts w:cs="Times New Roman"/>
          <w:szCs w:val="24"/>
        </w:rPr>
        <w:t xml:space="preserve">whole </w:t>
      </w:r>
      <w:bookmarkStart w:id="307" w:name="SR_59_4069"/>
      <w:bookmarkEnd w:id="307"/>
      <w:r w:rsidRPr="006A4CD7">
        <w:rPr>
          <w:rFonts w:cs="Times New Roman"/>
          <w:szCs w:val="24"/>
        </w:rPr>
        <w:t>work, the ‘master mind.’”  202 F.3d at 1233 (citing</w:t>
      </w:r>
      <w:r w:rsidRPr="006A4CD7">
        <w:rPr>
          <w:rFonts w:cs="Times New Roman"/>
          <w:i/>
          <w:iCs/>
          <w:szCs w:val="24"/>
        </w:rPr>
        <w:t xml:space="preserve"> Burrow-Giles Lithographic Co. v. </w:t>
      </w:r>
      <w:proofErr w:type="spellStart"/>
      <w:r w:rsidRPr="006A4CD7">
        <w:rPr>
          <w:rFonts w:cs="Times New Roman"/>
          <w:i/>
          <w:iCs/>
          <w:szCs w:val="24"/>
        </w:rPr>
        <w:t>Sarony</w:t>
      </w:r>
      <w:proofErr w:type="spellEnd"/>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2D846A00" w14:textId="2A9CD5BC" w:rsidR="009A3F8A" w:rsidRDefault="006A4CD7" w:rsidP="00982B7E">
      <w:pPr>
        <w:pStyle w:val="Heading2"/>
      </w:pPr>
      <w:r w:rsidRPr="006A4CD7">
        <w:br w:type="page"/>
      </w:r>
      <w:bookmarkStart w:id="308" w:name="_Toc117512585"/>
      <w:r w:rsidRPr="006A4CD7">
        <w:t xml:space="preserve">17.9 </w:t>
      </w:r>
      <w:r w:rsidR="00BF24DD" w:rsidRPr="00BF24DD">
        <w:t>Copyright Interests— Joint Authors</w:t>
      </w:r>
      <w:bookmarkEnd w:id="308"/>
      <w:r w:rsidR="00BF24DD" w:rsidRPr="00BF24DD">
        <w:t xml:space="preserve"> </w:t>
      </w:r>
    </w:p>
    <w:p w14:paraId="360B74B9" w14:textId="0AE59DC7" w:rsidR="006A4CD7" w:rsidRPr="006A4CD7" w:rsidRDefault="006A4CD7" w:rsidP="00982B7E">
      <w:pPr>
        <w:pStyle w:val="Heading2"/>
      </w:pPr>
      <w:bookmarkStart w:id="309" w:name="_Toc117512586"/>
      <w:r w:rsidRPr="006A4CD7">
        <w:t>(17 U.S.C. §§ 101, 201(a))</w:t>
      </w:r>
      <w:bookmarkEnd w:id="309"/>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each author must have made a substantial and valuable contribution to the work;</w:t>
      </w:r>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[both] [each of the] parties exercised control over the work;</w:t>
      </w:r>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w:t>
      </w:r>
      <w:proofErr w:type="spellStart"/>
      <w:r w:rsidRPr="006A4CD7">
        <w:rPr>
          <w:rFonts w:cs="Times New Roman"/>
          <w:i/>
          <w:iCs/>
          <w:szCs w:val="24"/>
        </w:rPr>
        <w:t>Richlin</w:t>
      </w:r>
      <w:proofErr w:type="spellEnd"/>
      <w:r w:rsidRPr="006A4CD7">
        <w:rPr>
          <w:rFonts w:cs="Times New Roman"/>
          <w:i/>
          <w:iCs/>
          <w:szCs w:val="24"/>
        </w:rPr>
        <w:t xml:space="preserve"> v. Metro-Goldwyn-Mayer Pictures, Inc.</w:t>
      </w:r>
      <w:r w:rsidRPr="006A4CD7">
        <w:rPr>
          <w:rFonts w:cs="Times New Roman"/>
          <w:szCs w:val="24"/>
        </w:rPr>
        <w:t xml:space="preserve">, 531 F.3d 962, 967-70 (9th Cir. 2008) (affirming summary judgment determination of joint authorship); </w:t>
      </w:r>
      <w:proofErr w:type="spellStart"/>
      <w:r w:rsidRPr="006A4CD7">
        <w:rPr>
          <w:rFonts w:cs="Times New Roman"/>
          <w:i/>
          <w:iCs/>
          <w:szCs w:val="24"/>
        </w:rPr>
        <w:t>Aalmuhammed</w:t>
      </w:r>
      <w:proofErr w:type="spellEnd"/>
      <w:r w:rsidRPr="006A4CD7">
        <w:rPr>
          <w:rFonts w:cs="Times New Roman"/>
          <w:i/>
          <w:iCs/>
          <w:szCs w:val="24"/>
        </w:rPr>
        <w:t xml:space="preserve">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 xml:space="preserve">See </w:t>
      </w:r>
      <w:proofErr w:type="spellStart"/>
      <w:r w:rsidRPr="006A4CD7">
        <w:rPr>
          <w:rFonts w:cs="Times New Roman"/>
          <w:i/>
          <w:iCs/>
          <w:szCs w:val="24"/>
        </w:rPr>
        <w:t>Richlin</w:t>
      </w:r>
      <w:proofErr w:type="spellEnd"/>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proofErr w:type="spellStart"/>
      <w:r w:rsidRPr="006A4CD7">
        <w:rPr>
          <w:rFonts w:cs="Times New Roman"/>
          <w:i/>
          <w:iCs/>
          <w:szCs w:val="24"/>
        </w:rPr>
        <w:t>Aalmuhammed</w:t>
      </w:r>
      <w:proofErr w:type="spellEnd"/>
      <w:r w:rsidRPr="006A4CD7">
        <w:rPr>
          <w:rFonts w:cs="Times New Roman"/>
          <w:i/>
          <w:iCs/>
          <w:szCs w:val="24"/>
        </w:rPr>
        <w:t xml:space="preserve">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as long as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w:t>
      </w:r>
      <w:proofErr w:type="spellStart"/>
      <w:r w:rsidRPr="006A4CD7">
        <w:rPr>
          <w:rFonts w:cs="Times New Roman"/>
          <w:szCs w:val="24"/>
        </w:rPr>
        <w:t>coowners</w:t>
      </w:r>
      <w:proofErr w:type="spellEnd"/>
      <w:r w:rsidRPr="006A4CD7">
        <w:rPr>
          <w:rFonts w:cs="Times New Roman"/>
          <w:szCs w:val="24"/>
        </w:rPr>
        <w:t xml:space="preserve">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xml:space="preserve">, 886 F.2d at 1087 (“[O]ne must supply more than mere direction or ideas: one must ‘translate [ ] an idea into a fixed, tangible expression entitled to copyright protection [to be a joint author.]’” (quoting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4F8F60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proofErr w:type="spellStart"/>
      <w:r w:rsidRPr="006A4CD7">
        <w:rPr>
          <w:rFonts w:cs="Times New Roman"/>
          <w:i/>
          <w:iCs/>
          <w:szCs w:val="24"/>
        </w:rPr>
        <w:t>Aalmuhammed</w:t>
      </w:r>
      <w:proofErr w:type="spellEnd"/>
      <w:r w:rsidRPr="006A4CD7">
        <w:rPr>
          <w:rFonts w:cs="Times New Roman"/>
          <w:szCs w:val="24"/>
        </w:rPr>
        <w:t xml:space="preserve">, 202 F.3d at 1234-35 (noting the above as “several factors [that] suggest themselves as among the criteria for joint authorship, in the absence of </w:t>
      </w:r>
      <w:r w:rsidR="002A2692" w:rsidRPr="006A4CD7">
        <w:rPr>
          <w:rFonts w:cs="Times New Roman"/>
          <w:szCs w:val="24"/>
        </w:rPr>
        <w:t>contract” …</w:t>
      </w:r>
      <w:r w:rsidRPr="006A4CD7">
        <w:rPr>
          <w:rFonts w:cs="Times New Roman"/>
          <w:szCs w:val="24"/>
        </w:rPr>
        <w:t xml:space="preserve">control “in many cases is the most important factor”). </w:t>
      </w:r>
      <w:r w:rsidRPr="006A4CD7">
        <w:rPr>
          <w:rFonts w:cs="Times New Roman"/>
          <w:i/>
          <w:iCs/>
          <w:szCs w:val="24"/>
        </w:rPr>
        <w:t xml:space="preserve"> See also </w:t>
      </w:r>
      <w:proofErr w:type="spellStart"/>
      <w:r w:rsidRPr="006A4CD7">
        <w:rPr>
          <w:rFonts w:cs="Times New Roman"/>
          <w:i/>
          <w:iCs/>
          <w:szCs w:val="24"/>
        </w:rPr>
        <w:t>Richlin</w:t>
      </w:r>
      <w:proofErr w:type="spellEnd"/>
      <w:r w:rsidRPr="006A4CD7">
        <w:rPr>
          <w:rFonts w:cs="Times New Roman"/>
          <w:szCs w:val="24"/>
        </w:rPr>
        <w:t xml:space="preserve">, 531 F.3d at 968 (analyzing joint authorship under criteria set forth in </w:t>
      </w:r>
      <w:proofErr w:type="spellStart"/>
      <w:r w:rsidRPr="006A4CD7">
        <w:rPr>
          <w:rFonts w:cs="Times New Roman"/>
          <w:i/>
          <w:iCs/>
          <w:szCs w:val="24"/>
        </w:rPr>
        <w:t>Aalmuhammed</w:t>
      </w:r>
      <w:proofErr w:type="spellEnd"/>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w:t>
      </w:r>
      <w:proofErr w:type="spellStart"/>
      <w:r w:rsidRPr="006A4CD7">
        <w:rPr>
          <w:rFonts w:cs="Times New Roman"/>
          <w:i/>
          <w:iCs/>
          <w:szCs w:val="24"/>
        </w:rPr>
        <w:t>Oddo</w:t>
      </w:r>
      <w:proofErr w:type="spellEnd"/>
      <w:r w:rsidRPr="006A4CD7">
        <w:rPr>
          <w:rFonts w:cs="Times New Roman"/>
          <w:i/>
          <w:iCs/>
          <w:szCs w:val="24"/>
        </w:rPr>
        <w:t xml:space="preserve"> v. </w:t>
      </w:r>
      <w:proofErr w:type="spellStart"/>
      <w:r w:rsidRPr="006A4CD7">
        <w:rPr>
          <w:rFonts w:cs="Times New Roman"/>
          <w:i/>
          <w:iCs/>
          <w:szCs w:val="24"/>
        </w:rPr>
        <w:t>Ries</w:t>
      </w:r>
      <w:proofErr w:type="spellEnd"/>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79020DE3" w:rsidR="006A4CD7" w:rsidRPr="006A4CD7" w:rsidRDefault="006A4CD7" w:rsidP="0095312F">
      <w:pPr>
        <w:pStyle w:val="Heading2"/>
      </w:pPr>
      <w:r w:rsidRPr="006A4CD7">
        <w:br w:type="page"/>
      </w:r>
      <w:bookmarkStart w:id="310" w:name="_Toc117512587"/>
      <w:r w:rsidRPr="006A4CD7">
        <w:t xml:space="preserve">17.10 </w:t>
      </w:r>
      <w:r w:rsidR="00BF24DD" w:rsidRPr="00BF24DD">
        <w:t>Copyright Interests—Authors of Collective Works</w:t>
      </w:r>
      <w:r w:rsidR="0095312F">
        <w:br/>
      </w:r>
      <w:r w:rsidRPr="006A4CD7">
        <w:t>(17 U.S.C. § 201(c))</w:t>
      </w:r>
      <w:bookmarkEnd w:id="310"/>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a number of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particular collective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 xml:space="preserve">N.Y. Times Co., Inc. v. </w:t>
      </w:r>
      <w:proofErr w:type="spellStart"/>
      <w:r w:rsidRPr="006A4CD7">
        <w:rPr>
          <w:rFonts w:cs="Times New Roman"/>
          <w:i/>
          <w:iCs/>
          <w:szCs w:val="24"/>
        </w:rPr>
        <w:t>Tasini</w:t>
      </w:r>
      <w:proofErr w:type="spellEnd"/>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587513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xml:space="preserve">, 132 S. Ct. 873, 904 (2012) (noting that in 1989 United States adopted Berne Convention and abolished copyright notice requirement). </w:t>
      </w:r>
    </w:p>
    <w:p w14:paraId="1E8C133F" w14:textId="44DF8C41" w:rsidR="006A4CD7" w:rsidRPr="006A4CD7" w:rsidRDefault="006A4CD7" w:rsidP="0095312F">
      <w:pPr>
        <w:pStyle w:val="Heading2"/>
      </w:pPr>
      <w:r w:rsidRPr="006A4CD7">
        <w:br w:type="page"/>
      </w:r>
      <w:bookmarkStart w:id="311" w:name="_Toc117512588"/>
      <w:r w:rsidRPr="006A4CD7">
        <w:t xml:space="preserve">17.11 </w:t>
      </w:r>
      <w:r w:rsidR="00BF24DD" w:rsidRPr="00BF24DD">
        <w:t>Copyright Interests—Work Made for Hire by Employee</w:t>
      </w:r>
      <w:bookmarkEnd w:id="311"/>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create;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employer is considered to be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 xml:space="preserve">See </w:t>
      </w:r>
      <w:proofErr w:type="spellStart"/>
      <w:r w:rsidRPr="006A4CD7">
        <w:rPr>
          <w:rFonts w:cs="Times New Roman"/>
          <w:i/>
          <w:iCs/>
          <w:szCs w:val="24"/>
        </w:rPr>
        <w:t>Cmty</w:t>
      </w:r>
      <w:proofErr w:type="spellEnd"/>
      <w:r w:rsidRPr="006A4CD7">
        <w:rPr>
          <w:rFonts w:cs="Times New Roman"/>
          <w:i/>
          <w:iCs/>
          <w:szCs w:val="24"/>
        </w:rPr>
        <w:t>.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w:t>
      </w:r>
      <w:proofErr w:type="spellStart"/>
      <w:r w:rsidRPr="006A4CD7">
        <w:rPr>
          <w:rFonts w:cs="Times New Roman"/>
          <w:i/>
          <w:iCs/>
          <w:szCs w:val="24"/>
        </w:rPr>
        <w:t>Urantia</w:t>
      </w:r>
      <w:proofErr w:type="spellEnd"/>
      <w:r w:rsidRPr="006A4CD7">
        <w:rPr>
          <w:rFonts w:cs="Times New Roman"/>
          <w:i/>
          <w:iCs/>
          <w:szCs w:val="24"/>
        </w:rPr>
        <w:t xml:space="preserve"> Found. v. </w:t>
      </w:r>
      <w:proofErr w:type="spellStart"/>
      <w:r w:rsidRPr="006A4CD7">
        <w:rPr>
          <w:rFonts w:cs="Times New Roman"/>
          <w:i/>
          <w:iCs/>
          <w:szCs w:val="24"/>
        </w:rPr>
        <w:t>Maaherra</w:t>
      </w:r>
      <w:proofErr w:type="spellEnd"/>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w:t>
      </w:r>
      <w:proofErr w:type="spellStart"/>
      <w:r w:rsidRPr="006A4CD7">
        <w:rPr>
          <w:rFonts w:cs="Times New Roman"/>
          <w:i/>
          <w:iCs/>
          <w:szCs w:val="24"/>
        </w:rPr>
        <w:t>Cmty</w:t>
      </w:r>
      <w:proofErr w:type="spellEnd"/>
      <w:r w:rsidRPr="006A4CD7">
        <w:rPr>
          <w:rFonts w:cs="Times New Roman"/>
          <w:i/>
          <w:iCs/>
          <w:szCs w:val="24"/>
        </w:rPr>
        <w:t>.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reported to tax authorities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Whether the creator hired (or could have hired) and paid his or her own assistants.  The more the creator hires and pays for his or her own 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JustMed</w:t>
      </w:r>
      <w:proofErr w:type="spellEnd"/>
      <w:r w:rsidRPr="006A4CD7">
        <w:rPr>
          <w:rFonts w:cs="Times New Roman"/>
          <w:i/>
          <w:iCs/>
          <w:szCs w:val="24"/>
        </w:rPr>
        <w:t xml:space="preserve">, Inc. v. </w:t>
      </w:r>
      <w:proofErr w:type="spellStart"/>
      <w:r w:rsidRPr="006A4CD7">
        <w:rPr>
          <w:rFonts w:cs="Times New Roman"/>
          <w:i/>
          <w:iCs/>
          <w:szCs w:val="24"/>
        </w:rPr>
        <w:t>Byce</w:t>
      </w:r>
      <w:proofErr w:type="spellEnd"/>
      <w:r w:rsidRPr="006A4CD7">
        <w:rPr>
          <w:rFonts w:cs="Times New Roman"/>
          <w:i/>
          <w:iCs/>
          <w:szCs w:val="24"/>
        </w:rPr>
        <w:t xml:space="preserve">, </w:t>
      </w:r>
      <w:r w:rsidRPr="006A4CD7">
        <w:rPr>
          <w:rFonts w:cs="Times New Roman"/>
          <w:szCs w:val="24"/>
        </w:rPr>
        <w:t xml:space="preserve">600 F.3d 1118, 1125-28 (9th Cir. 2010) and </w:t>
      </w:r>
      <w:proofErr w:type="spellStart"/>
      <w:r w:rsidRPr="006A4CD7">
        <w:rPr>
          <w:rFonts w:cs="Times New Roman"/>
          <w:i/>
          <w:iCs/>
          <w:szCs w:val="24"/>
        </w:rPr>
        <w:t>Aymes</w:t>
      </w:r>
      <w:proofErr w:type="spellEnd"/>
      <w:r w:rsidRPr="006A4CD7">
        <w:rPr>
          <w:rFonts w:cs="Times New Roman"/>
          <w:i/>
          <w:iCs/>
          <w:szCs w:val="24"/>
        </w:rPr>
        <w:t xml:space="preserve"> v. Bonelli</w:t>
      </w:r>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during the course of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7A2F4CB2" w:rsidR="006A4CD7" w:rsidRPr="006A4CD7" w:rsidRDefault="006A4CD7" w:rsidP="0095312F">
      <w:pPr>
        <w:pStyle w:val="Heading2"/>
      </w:pPr>
      <w:r w:rsidRPr="006A4CD7">
        <w:br w:type="page"/>
      </w:r>
      <w:bookmarkStart w:id="312" w:name="_Toc117512589"/>
      <w:r w:rsidRPr="006A4CD7">
        <w:t xml:space="preserve">17.12 </w:t>
      </w:r>
      <w:r w:rsidR="00646BCE" w:rsidRPr="00646BCE">
        <w:t>Copyright Interests—Assignee</w:t>
      </w:r>
      <w:r w:rsidR="0095312F">
        <w:br/>
      </w:r>
      <w:r w:rsidRPr="006A4CD7">
        <w:t>(17 U.S.C. § 201(d)(1))</w:t>
      </w:r>
      <w:bookmarkEnd w:id="312"/>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 . . .”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really quite simple: If the copyright holder agrees to transfer ownership to another party, that party must get the copyright holder to sign a piece of paper saying so.  It doesn’t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161DABEB"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 xml:space="preserve">See </w:t>
      </w:r>
      <w:proofErr w:type="spellStart"/>
      <w:r w:rsidRPr="006A4CD7">
        <w:rPr>
          <w:rFonts w:cs="Times New Roman"/>
          <w:i/>
          <w:iCs/>
          <w:szCs w:val="24"/>
        </w:rPr>
        <w:t>Koninsberg</w:t>
      </w:r>
      <w:proofErr w:type="spellEnd"/>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85 F.3d 1424, 1429 n.1 (9th Cir. 1996), and the weight of authority holds that “[</w:t>
      </w:r>
      <w:proofErr w:type="spellStart"/>
      <w:r w:rsidRPr="006A4CD7">
        <w:rPr>
          <w:rFonts w:cs="Times New Roman"/>
          <w:szCs w:val="24"/>
        </w:rPr>
        <w:t>i</w:t>
      </w:r>
      <w:proofErr w:type="spellEnd"/>
      <w:r w:rsidRPr="006A4CD7">
        <w:rPr>
          <w:rFonts w:cs="Times New Roman"/>
          <w:szCs w:val="24"/>
        </w:rPr>
        <w:t xml:space="preserve">]f an oral transfer </w:t>
      </w:r>
    </w:p>
    <w:p w14:paraId="50BA7CB2" w14:textId="3969423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a copyright license is later confirmed in writing, the transfer is valid,” </w:t>
      </w:r>
      <w:proofErr w:type="spellStart"/>
      <w:r w:rsidRPr="006A4CD7">
        <w:rPr>
          <w:rFonts w:cs="Times New Roman"/>
          <w:i/>
          <w:iCs/>
          <w:szCs w:val="24"/>
        </w:rPr>
        <w:t>Vallente-Kritzer</w:t>
      </w:r>
      <w:proofErr w:type="spellEnd"/>
      <w:r w:rsidRPr="006A4CD7">
        <w:rPr>
          <w:rFonts w:cs="Times New Roman"/>
          <w:i/>
          <w:iCs/>
          <w:szCs w:val="24"/>
        </w:rPr>
        <w:t xml:space="preserve">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xml:space="preserve">, 85 F.3d at 1428 (“Like the 1976 Copyright Act, the Copyright Act of 1909 provided that assignment of a copyright had to be made in writing.  However, case law holds that under some circumstances a prior oral grant that is confirmed by a later writing becomes valid as of the time of the oral grant. . . .” (citations omitted)).  This is especially so when there is no dispute between the conveyor and the </w:t>
      </w:r>
      <w:proofErr w:type="spellStart"/>
      <w:r w:rsidRPr="006A4CD7">
        <w:rPr>
          <w:rFonts w:cs="Times New Roman"/>
          <w:szCs w:val="24"/>
        </w:rPr>
        <w:t>conveyee</w:t>
      </w:r>
      <w:proofErr w:type="spellEnd"/>
      <w:r w:rsidRPr="006A4CD7">
        <w:rPr>
          <w:rFonts w:cs="Times New Roman"/>
          <w:szCs w:val="24"/>
        </w:rPr>
        <w:t xml:space="preserve"> regarding whether a transfer took place, for example when the dispute is between the </w:t>
      </w:r>
      <w:proofErr w:type="spellStart"/>
      <w:r w:rsidRPr="006A4CD7">
        <w:rPr>
          <w:rFonts w:cs="Times New Roman"/>
          <w:szCs w:val="24"/>
        </w:rPr>
        <w:t>conveyee</w:t>
      </w:r>
      <w:proofErr w:type="spellEnd"/>
      <w:r w:rsidRPr="006A4CD7">
        <w:rPr>
          <w:rFonts w:cs="Times New Roman"/>
          <w:szCs w:val="24"/>
        </w:rPr>
        <w:t xml:space="preserve"> and an alleged infringer.  </w:t>
      </w:r>
      <w:r w:rsidRPr="006A4CD7">
        <w:rPr>
          <w:rFonts w:cs="Times New Roman"/>
          <w:i/>
          <w:iCs/>
          <w:szCs w:val="24"/>
        </w:rPr>
        <w:t>See id.</w:t>
      </w:r>
      <w:r w:rsidRPr="006A4CD7">
        <w:rPr>
          <w:rFonts w:cs="Times New Roman"/>
          <w:szCs w:val="24"/>
        </w:rPr>
        <w:t xml:space="preserve"> (holding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 . . .”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402 F.3d 881, 885 (9th Cir. 2005) (</w:t>
      </w:r>
      <w:proofErr w:type="spellStart"/>
      <w:r w:rsidRPr="006A4CD7">
        <w:rPr>
          <w:rFonts w:cs="Times New Roman"/>
          <w:szCs w:val="24"/>
        </w:rPr>
        <w:t>en</w:t>
      </w:r>
      <w:proofErr w:type="spellEnd"/>
      <w:r w:rsidRPr="006A4CD7">
        <w:rPr>
          <w:rFonts w:cs="Times New Roman"/>
          <w:szCs w:val="24"/>
        </w:rPr>
        <w:t xml:space="preserve">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 xml:space="preserve">see also </w:t>
      </w:r>
      <w:proofErr w:type="spellStart"/>
      <w:r w:rsidRPr="006A4CD7">
        <w:rPr>
          <w:rFonts w:cs="Times New Roman"/>
          <w:i/>
          <w:iCs/>
          <w:szCs w:val="24"/>
        </w:rPr>
        <w:t>Righthaven</w:t>
      </w:r>
      <w:proofErr w:type="spellEnd"/>
      <w:r w:rsidRPr="006A4CD7">
        <w:rPr>
          <w:rFonts w:cs="Times New Roman"/>
          <w:i/>
          <w:iCs/>
          <w:szCs w:val="24"/>
        </w:rPr>
        <w:t xml:space="preserve"> LLC v. Hoehn</w:t>
      </w:r>
      <w:r w:rsidRPr="006A4CD7">
        <w:rPr>
          <w:rFonts w:cs="Times New Roman"/>
          <w:szCs w:val="24"/>
        </w:rPr>
        <w:t xml:space="preserve">, 716 F.3d 1166, 1168 (9th Cir. 2013).  Additionally, in order for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duration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w:t>
      </w:r>
      <w:proofErr w:type="spellStart"/>
      <w:r w:rsidRPr="006A4CD7">
        <w:rPr>
          <w:rFonts w:cs="Times New Roman"/>
          <w:i/>
          <w:iCs/>
          <w:szCs w:val="24"/>
        </w:rPr>
        <w:t>Yount</w:t>
      </w:r>
      <w:proofErr w:type="spellEnd"/>
      <w:r w:rsidRPr="006A4CD7">
        <w:rPr>
          <w:rFonts w:cs="Times New Roman"/>
          <w:i/>
          <w:iCs/>
          <w:szCs w:val="24"/>
        </w:rPr>
        <w:t xml:space="preserve">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 xml:space="preserve">see </w:t>
      </w:r>
      <w:proofErr w:type="spellStart"/>
      <w:r w:rsidRPr="006A4CD7">
        <w:rPr>
          <w:rFonts w:cs="Times New Roman"/>
          <w:i/>
          <w:iCs/>
          <w:szCs w:val="24"/>
        </w:rPr>
        <w:t>Marascalco</w:t>
      </w:r>
      <w:proofErr w:type="spellEnd"/>
      <w:r w:rsidRPr="006A4CD7">
        <w:rPr>
          <w:rFonts w:cs="Times New Roman"/>
          <w:i/>
          <w:iCs/>
          <w:szCs w:val="24"/>
        </w:rPr>
        <w:t xml:space="preserve">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7CDB7EFF" w:rsidR="006A4CD7" w:rsidRPr="006A4CD7" w:rsidRDefault="006A4CD7" w:rsidP="0095312F">
      <w:pPr>
        <w:pStyle w:val="Heading2"/>
      </w:pPr>
      <w:r w:rsidRPr="006A4CD7">
        <w:br w:type="page"/>
      </w:r>
      <w:bookmarkStart w:id="313" w:name="_Toc117512590"/>
      <w:r w:rsidRPr="006A4CD7">
        <w:t xml:space="preserve">17.13 </w:t>
      </w:r>
      <w:r w:rsidR="00646BCE" w:rsidRPr="00646BCE">
        <w:t>Copyright Interests—Exclusive Licensee</w:t>
      </w:r>
      <w:r w:rsidR="0095312F">
        <w:br/>
      </w:r>
      <w:r w:rsidRPr="006A4CD7">
        <w:t>(17 U.S.C. § 201(d)(2))</w:t>
      </w:r>
      <w:bookmarkEnd w:id="313"/>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1F12F40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w:t>
      </w:r>
      <w:proofErr w:type="spellStart"/>
      <w:r w:rsidRPr="006A4CD7">
        <w:rPr>
          <w:rFonts w:cs="Times New Roman"/>
          <w:szCs w:val="24"/>
        </w:rPr>
        <w:t>Nimmer</w:t>
      </w:r>
      <w:proofErr w:type="spellEnd"/>
      <w:r w:rsidRPr="006A4CD7">
        <w:rPr>
          <w:rFonts w:cs="Times New Roman"/>
          <w:szCs w:val="24"/>
        </w:rPr>
        <w:t xml:space="preserve"> &amp; D. </w:t>
      </w:r>
      <w:proofErr w:type="spellStart"/>
      <w:r w:rsidRPr="006A4CD7">
        <w:rPr>
          <w:rFonts w:cs="Times New Roman"/>
          <w:szCs w:val="24"/>
        </w:rPr>
        <w:t>Nimmer</w:t>
      </w:r>
      <w:proofErr w:type="spellEnd"/>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mallCaps/>
          <w:szCs w:val="24"/>
        </w:rPr>
        <w:t xml:space="preserve">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 xml:space="preserve">see also Micro Star v. </w:t>
      </w:r>
      <w:proofErr w:type="spellStart"/>
      <w:r w:rsidRPr="006A4CD7">
        <w:rPr>
          <w:rFonts w:cs="Times New Roman"/>
          <w:i/>
          <w:iCs/>
          <w:szCs w:val="24"/>
        </w:rPr>
        <w:t>Formgen</w:t>
      </w:r>
      <w:proofErr w:type="spellEnd"/>
      <w:r w:rsidRPr="006A4CD7">
        <w:rPr>
          <w:rFonts w:cs="Times New Roman"/>
          <w:i/>
          <w:iCs/>
          <w:szCs w:val="24"/>
        </w:rPr>
        <w:t>,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w:t>
      </w:r>
      <w:r w:rsidR="004D5B4F" w:rsidRPr="006A4CD7">
        <w:rPr>
          <w:rFonts w:cs="Times New Roman"/>
          <w:szCs w:val="24"/>
        </w:rPr>
        <w:t>§ 204</w:t>
      </w:r>
      <w:r w:rsidRPr="006A4CD7">
        <w:rPr>
          <w:rFonts w:cs="Times New Roman"/>
          <w:szCs w:val="24"/>
        </w:rPr>
        <w:t xml:space="preserve">(a)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6340974"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proofErr w:type="spellStart"/>
      <w:r w:rsidRPr="006A4CD7">
        <w:rPr>
          <w:rFonts w:cs="Times New Roman"/>
          <w:i/>
          <w:iCs/>
          <w:szCs w:val="24"/>
        </w:rPr>
        <w:t>Bagdadi</w:t>
      </w:r>
      <w:proofErr w:type="spellEnd"/>
      <w:r w:rsidRPr="006A4CD7">
        <w:rPr>
          <w:rFonts w:cs="Times New Roman"/>
          <w:i/>
          <w:iCs/>
          <w:szCs w:val="24"/>
        </w:rPr>
        <w:t xml:space="preserve"> v. </w:t>
      </w:r>
      <w:proofErr w:type="spellStart"/>
      <w:r w:rsidRPr="006A4CD7">
        <w:rPr>
          <w:rFonts w:cs="Times New Roman"/>
          <w:i/>
          <w:iCs/>
          <w:szCs w:val="24"/>
        </w:rPr>
        <w:t>Nazar</w:t>
      </w:r>
      <w:proofErr w:type="spellEnd"/>
      <w:r w:rsidRPr="006A4CD7">
        <w:rPr>
          <w:rFonts w:cs="Times New Roman"/>
          <w:szCs w:val="24"/>
        </w:rPr>
        <w:t xml:space="preserve">, 84 F.3d 1194, 1197 (9th Cir. 1996) (quoting 17 U.S.C.  § 201(d)(2)).  “An exclusive </w:t>
      </w:r>
    </w:p>
    <w:p w14:paraId="7148CFCE" w14:textId="0B5926D9" w:rsidR="006A4CD7" w:rsidRPr="006A4CD7" w:rsidRDefault="006A4CD7" w:rsidP="0060759C">
      <w:pPr>
        <w:autoSpaceDE w:val="0"/>
        <w:autoSpaceDN w:val="0"/>
        <w:adjustRightInd w:val="0"/>
        <w:rPr>
          <w:rFonts w:cs="Times New Roman"/>
          <w:szCs w:val="24"/>
        </w:rPr>
      </w:pPr>
      <w:r w:rsidRPr="006A4CD7">
        <w:rPr>
          <w:rFonts w:cs="Times New Roman"/>
          <w:szCs w:val="24"/>
        </w:rPr>
        <w:t xml:space="preserve">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particular exclusive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w:t>
      </w:r>
      <w:proofErr w:type="spellStart"/>
      <w:r w:rsidRPr="006A4CD7">
        <w:rPr>
          <w:rFonts w:cs="Times New Roman"/>
          <w:i/>
          <w:iCs/>
          <w:szCs w:val="24"/>
        </w:rPr>
        <w:t>Rano</w:t>
      </w:r>
      <w:proofErr w:type="spellEnd"/>
      <w:r w:rsidRPr="006A4CD7">
        <w:rPr>
          <w:rFonts w:cs="Times New Roman"/>
          <w:i/>
          <w:iCs/>
          <w:szCs w:val="24"/>
        </w:rPr>
        <w:t xml:space="preserve"> v. </w:t>
      </w:r>
      <w:proofErr w:type="spellStart"/>
      <w:r w:rsidRPr="006A4CD7">
        <w:rPr>
          <w:rFonts w:cs="Times New Roman"/>
          <w:i/>
          <w:iCs/>
          <w:szCs w:val="24"/>
        </w:rPr>
        <w:t>Sipa</w:t>
      </w:r>
      <w:proofErr w:type="spellEnd"/>
      <w:r w:rsidRPr="006A4CD7">
        <w:rPr>
          <w:rFonts w:cs="Times New Roman"/>
          <w:i/>
          <w:iCs/>
          <w:szCs w:val="24"/>
        </w:rPr>
        <w:t xml:space="preserve">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w:t>
      </w:r>
      <w:proofErr w:type="spellStart"/>
      <w:r w:rsidRPr="006A4CD7">
        <w:rPr>
          <w:rFonts w:cs="Times New Roman"/>
          <w:szCs w:val="24"/>
        </w:rPr>
        <w:t>licensee</w:t>
      </w:r>
      <w:proofErr w:type="spellEnd"/>
      <w:r w:rsidRPr="006A4CD7">
        <w:rPr>
          <w:rFonts w:cs="Times New Roman"/>
          <w:szCs w:val="24"/>
        </w:rPr>
        <w:t xml:space="preserve"> cannot bring suit to enforce a copyright, </w:t>
      </w:r>
      <w:r w:rsidRPr="006A4CD7">
        <w:rPr>
          <w:rFonts w:cs="Times New Roman"/>
          <w:i/>
          <w:iCs/>
          <w:szCs w:val="24"/>
        </w:rPr>
        <w:t>see</w:t>
      </w:r>
      <w:r w:rsidRPr="006A4CD7">
        <w:rPr>
          <w:rFonts w:cs="Times New Roman"/>
          <w:szCs w:val="24"/>
        </w:rPr>
        <w:t xml:space="preserve"> </w:t>
      </w:r>
      <w:proofErr w:type="spellStart"/>
      <w:r w:rsidRPr="006A4CD7">
        <w:rPr>
          <w:rFonts w:cs="Times New Roman"/>
          <w:i/>
          <w:iCs/>
          <w:szCs w:val="24"/>
        </w:rPr>
        <w:t>Righthaven</w:t>
      </w:r>
      <w:proofErr w:type="spellEnd"/>
      <w:r w:rsidRPr="006A4CD7">
        <w:rPr>
          <w:rFonts w:cs="Times New Roman"/>
          <w:i/>
          <w:iCs/>
          <w:szCs w:val="24"/>
        </w:rPr>
        <w:t xml:space="preserve"> LLC v. Hoehn</w:t>
      </w:r>
      <w:r w:rsidRPr="006A4CD7">
        <w:rPr>
          <w:rFonts w:cs="Times New Roman"/>
          <w:szCs w:val="24"/>
        </w:rPr>
        <w:t xml:space="preserve">, 716 F.3d 1166, 1171-72 (9th Cir. 2013) (holding that nonexclusive </w:t>
      </w:r>
      <w:proofErr w:type="spellStart"/>
      <w:r w:rsidRPr="006A4CD7">
        <w:rPr>
          <w:rFonts w:cs="Times New Roman"/>
          <w:szCs w:val="24"/>
        </w:rPr>
        <w:t>licensee</w:t>
      </w:r>
      <w:proofErr w:type="spellEnd"/>
      <w:r w:rsidRPr="006A4CD7">
        <w:rPr>
          <w:rFonts w:cs="Times New Roman"/>
          <w:szCs w:val="24"/>
        </w:rPr>
        <w:t xml:space="preserve"> did not have standing to sue for copyright infringement); </w:t>
      </w:r>
      <w:proofErr w:type="spellStart"/>
      <w:r w:rsidRPr="006A4CD7">
        <w:rPr>
          <w:rFonts w:cs="Times New Roman"/>
          <w:i/>
          <w:iCs/>
          <w:szCs w:val="24"/>
        </w:rPr>
        <w:t>Supersound</w:t>
      </w:r>
      <w:proofErr w:type="spellEnd"/>
      <w:r w:rsidRPr="006A4CD7">
        <w:rPr>
          <w:rFonts w:cs="Times New Roman"/>
          <w:i/>
          <w:iCs/>
          <w:szCs w:val="24"/>
        </w:rPr>
        <w:t xml:space="preserve">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07228073" w:rsidR="006A4CD7" w:rsidRPr="006A4CD7" w:rsidRDefault="006A4CD7" w:rsidP="0095312F">
      <w:pPr>
        <w:pStyle w:val="Heading2"/>
      </w:pPr>
      <w:r w:rsidRPr="006A4CD7">
        <w:br w:type="page"/>
      </w:r>
      <w:bookmarkStart w:id="314" w:name="_Toc117512591"/>
      <w:r w:rsidRPr="006A4CD7">
        <w:t xml:space="preserve">17.14 </w:t>
      </w:r>
      <w:r w:rsidR="00646BCE" w:rsidRPr="00646BCE">
        <w:t>Copyright Infringement—Originality</w:t>
      </w:r>
      <w:bookmarkEnd w:id="314"/>
    </w:p>
    <w:p w14:paraId="6F266134" w14:textId="77777777" w:rsidR="006A4CD7" w:rsidRPr="006A4CD7" w:rsidRDefault="006A4CD7" w:rsidP="0060759C">
      <w:pPr>
        <w:autoSpaceDE w:val="0"/>
        <w:autoSpaceDN w:val="0"/>
        <w:adjustRightInd w:val="0"/>
        <w:rPr>
          <w:rFonts w:cs="Times New Roman"/>
          <w:szCs w:val="24"/>
        </w:rPr>
      </w:pPr>
    </w:p>
    <w:p w14:paraId="2E6BE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original work may include or incorporate elements taken from [prior works] [works from the public domain] [works owned by others, with the owner’s permission].  The original part[s] of the plaintiff’s work [is] [are] the part[s] created: </w:t>
      </w:r>
      <w:r w:rsidRPr="006A4CD7">
        <w:rPr>
          <w:rFonts w:cs="Times New Roman"/>
          <w:szCs w:val="24"/>
        </w:rPr>
        <w:tab/>
      </w:r>
    </w:p>
    <w:p w14:paraId="7DADFE6F" w14:textId="77777777" w:rsidR="006A4CD7" w:rsidRPr="006A4CD7" w:rsidRDefault="006A4CD7" w:rsidP="0060759C">
      <w:pPr>
        <w:autoSpaceDE w:val="0"/>
        <w:autoSpaceDN w:val="0"/>
        <w:adjustRightInd w:val="0"/>
        <w:rPr>
          <w:rFonts w:cs="Times New Roman"/>
          <w:szCs w:val="24"/>
        </w:rPr>
      </w:pPr>
    </w:p>
    <w:p w14:paraId="1706DCC4"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independently by the [work’s] author, that is, the author did not copy it from another work; and</w:t>
      </w:r>
    </w:p>
    <w:p w14:paraId="7D50092A" w14:textId="77777777" w:rsidR="00C67800" w:rsidRDefault="00C67800" w:rsidP="00C67800">
      <w:pPr>
        <w:autoSpaceDE w:val="0"/>
        <w:autoSpaceDN w:val="0"/>
        <w:adjustRightInd w:val="0"/>
        <w:ind w:left="1440" w:hanging="720"/>
        <w:rPr>
          <w:rFonts w:cs="Times New Roman"/>
          <w:szCs w:val="24"/>
        </w:rPr>
      </w:pPr>
    </w:p>
    <w:p w14:paraId="027C98C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by use of at least some minimal creativity.</w:t>
      </w:r>
    </w:p>
    <w:p w14:paraId="00FDE256" w14:textId="77777777" w:rsidR="006A4CD7" w:rsidRPr="006A4CD7" w:rsidRDefault="006A4CD7" w:rsidP="0060759C">
      <w:pPr>
        <w:autoSpaceDE w:val="0"/>
        <w:autoSpaceDN w:val="0"/>
        <w:adjustRightInd w:val="0"/>
        <w:rPr>
          <w:rFonts w:cs="Times New Roman"/>
          <w:szCs w:val="24"/>
        </w:rPr>
      </w:pPr>
    </w:p>
    <w:p w14:paraId="26E0C1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copyright law, the “original” part of a work need not be new or novel.]  </w:t>
      </w:r>
    </w:p>
    <w:p w14:paraId="175DEF31" w14:textId="77777777" w:rsidR="006A4CD7" w:rsidRPr="006A4CD7" w:rsidRDefault="006A4CD7" w:rsidP="0060759C">
      <w:pPr>
        <w:autoSpaceDE w:val="0"/>
        <w:autoSpaceDN w:val="0"/>
        <w:adjustRightInd w:val="0"/>
        <w:rPr>
          <w:rFonts w:cs="Times New Roman"/>
          <w:szCs w:val="24"/>
        </w:rPr>
      </w:pPr>
    </w:p>
    <w:p w14:paraId="09ADFA3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263DB4A" w14:textId="77777777" w:rsidR="006A4CD7" w:rsidRPr="006A4CD7" w:rsidRDefault="006A4CD7" w:rsidP="0060759C">
      <w:pPr>
        <w:autoSpaceDE w:val="0"/>
        <w:autoSpaceDN w:val="0"/>
        <w:adjustRightInd w:val="0"/>
        <w:rPr>
          <w:rFonts w:cs="Times New Roman"/>
          <w:szCs w:val="24"/>
        </w:rPr>
      </w:pPr>
    </w:p>
    <w:p w14:paraId="7BE091E3" w14:textId="46D9F55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test in this instruction was set forth in </w:t>
      </w:r>
      <w:proofErr w:type="spellStart"/>
      <w:r w:rsidRPr="006A4CD7">
        <w:rPr>
          <w:rFonts w:cs="Times New Roman"/>
          <w:i/>
          <w:iCs/>
          <w:szCs w:val="24"/>
        </w:rPr>
        <w:t>Urantia</w:t>
      </w:r>
      <w:proofErr w:type="spellEnd"/>
      <w:r w:rsidRPr="006A4CD7">
        <w:rPr>
          <w:rFonts w:cs="Times New Roman"/>
          <w:i/>
          <w:iCs/>
          <w:szCs w:val="24"/>
        </w:rPr>
        <w:t xml:space="preserve"> Foundation v. </w:t>
      </w:r>
      <w:proofErr w:type="spellStart"/>
      <w:r w:rsidRPr="006A4CD7">
        <w:rPr>
          <w:rFonts w:cs="Times New Roman"/>
          <w:i/>
          <w:iCs/>
          <w:szCs w:val="24"/>
        </w:rPr>
        <w:t>Maaherra</w:t>
      </w:r>
      <w:proofErr w:type="spellEnd"/>
      <w:r w:rsidRPr="006A4CD7">
        <w:rPr>
          <w:rFonts w:cs="Times New Roman"/>
          <w:i/>
          <w:iCs/>
          <w:szCs w:val="24"/>
        </w:rPr>
        <w:t>,</w:t>
      </w:r>
      <w:r w:rsidRPr="006A4CD7">
        <w:rPr>
          <w:rFonts w:cs="Times New Roman"/>
          <w:szCs w:val="24"/>
        </w:rPr>
        <w:t xml:space="preserve"> 114 F.3d 955, 958-59 (9th Cir. 1997) (holding that selection and arrangement of “greater being’s” revelations was not so mechanical as to lack originality).  </w:t>
      </w:r>
      <w:r w:rsidRPr="006A4CD7">
        <w:rPr>
          <w:rFonts w:cs="Times New Roman"/>
          <w:i/>
          <w:iCs/>
          <w:szCs w:val="24"/>
        </w:rPr>
        <w:t xml:space="preserve">See also Feist </w:t>
      </w:r>
      <w:proofErr w:type="spellStart"/>
      <w:r w:rsidRPr="006A4CD7">
        <w:rPr>
          <w:rFonts w:cs="Times New Roman"/>
          <w:i/>
          <w:iCs/>
          <w:szCs w:val="24"/>
        </w:rPr>
        <w:t>Publ’ns</w:t>
      </w:r>
      <w:proofErr w:type="spellEnd"/>
      <w:r w:rsidRPr="006A4CD7">
        <w:rPr>
          <w:rFonts w:cs="Times New Roman"/>
          <w:i/>
          <w:iCs/>
          <w:szCs w:val="24"/>
        </w:rPr>
        <w:t>, Inc. v. Rural Tel. Serv. Co., Inc</w:t>
      </w:r>
      <w:r w:rsidRPr="006A4CD7">
        <w:rPr>
          <w:rFonts w:cs="Times New Roman"/>
          <w:szCs w:val="24"/>
        </w:rPr>
        <w:t xml:space="preserve">., 499 U.S. 340, 345 (1991) (“Original, as the term is used in copyright, means only that the work was independently created by the author (as opposed to copied from other works), and that it possesses at least some minimal degree of creativity.”); </w:t>
      </w:r>
      <w:r w:rsidRPr="006A4CD7">
        <w:rPr>
          <w:rFonts w:cs="Times New Roman"/>
          <w:i/>
          <w:iCs/>
          <w:szCs w:val="24"/>
        </w:rPr>
        <w:t>Skidmore v. Led Zeppelin</w:t>
      </w:r>
      <w:r w:rsidRPr="006A4CD7">
        <w:rPr>
          <w:rFonts w:cs="Times New Roman"/>
          <w:szCs w:val="24"/>
        </w:rPr>
        <w:t>, 952 F.3d 1051, 1064 (9th Cir. 2020) (</w:t>
      </w:r>
      <w:proofErr w:type="spellStart"/>
      <w:r w:rsidRPr="006A4CD7">
        <w:rPr>
          <w:rFonts w:cs="Times New Roman"/>
          <w:szCs w:val="24"/>
        </w:rPr>
        <w:t>en</w:t>
      </w:r>
      <w:proofErr w:type="spellEnd"/>
      <w:r w:rsidRPr="006A4CD7">
        <w:rPr>
          <w:rFonts w:cs="Times New Roman"/>
          <w:szCs w:val="24"/>
        </w:rPr>
        <w:t xml:space="preserve"> banc).  Originality is often a fact question for the jury.  </w:t>
      </w:r>
      <w:r w:rsidRPr="006A4CD7">
        <w:rPr>
          <w:rFonts w:cs="Times New Roman"/>
          <w:i/>
          <w:iCs/>
          <w:szCs w:val="24"/>
        </w:rPr>
        <w:t>See N. Coast Indus. v. Jason Maxwell, Inc</w:t>
      </w:r>
      <w:r w:rsidRPr="006A4CD7">
        <w:rPr>
          <w:rFonts w:cs="Times New Roman"/>
          <w:szCs w:val="24"/>
        </w:rPr>
        <w:t xml:space="preserve">., 972 F.2d 1031, 1034 (9th Cir. 1992) (holding that whether placement of geometric shapes was original was question </w:t>
      </w:r>
      <w:r w:rsidR="004D5B4F" w:rsidRPr="006A4CD7">
        <w:rPr>
          <w:rFonts w:cs="Times New Roman"/>
          <w:szCs w:val="24"/>
        </w:rPr>
        <w:t>for jury</w:t>
      </w:r>
      <w:r w:rsidRPr="006A4CD7">
        <w:rPr>
          <w:rFonts w:cs="Times New Roman"/>
          <w:szCs w:val="24"/>
        </w:rPr>
        <w:t xml:space="preserve">); </w:t>
      </w:r>
      <w:r w:rsidRPr="006A4CD7">
        <w:rPr>
          <w:rFonts w:cs="Times New Roman"/>
          <w:i/>
          <w:iCs/>
          <w:szCs w:val="24"/>
        </w:rPr>
        <w:t xml:space="preserve">see also </w:t>
      </w:r>
      <w:proofErr w:type="spellStart"/>
      <w:r w:rsidRPr="006A4CD7">
        <w:rPr>
          <w:rFonts w:cs="Times New Roman"/>
          <w:i/>
          <w:iCs/>
          <w:szCs w:val="24"/>
        </w:rPr>
        <w:t>Swirsky</w:t>
      </w:r>
      <w:proofErr w:type="spellEnd"/>
      <w:r w:rsidRPr="006A4CD7">
        <w:rPr>
          <w:rFonts w:cs="Times New Roman"/>
          <w:i/>
          <w:iCs/>
          <w:szCs w:val="24"/>
        </w:rPr>
        <w:t xml:space="preserve"> v. Carey,</w:t>
      </w:r>
      <w:r w:rsidRPr="006A4CD7">
        <w:rPr>
          <w:rFonts w:cs="Times New Roman"/>
          <w:szCs w:val="24"/>
        </w:rPr>
        <w:t xml:space="preserve"> 376 F.3d 841, 851 (9th Cir. 2004) (holding that whether musical composition was original was to be determined by trier of fact). </w:t>
      </w:r>
    </w:p>
    <w:p w14:paraId="7149BE8D" w14:textId="77777777" w:rsidR="006A4CD7" w:rsidRPr="006A4CD7" w:rsidRDefault="006A4CD7" w:rsidP="0060759C">
      <w:pPr>
        <w:autoSpaceDE w:val="0"/>
        <w:autoSpaceDN w:val="0"/>
        <w:adjustRightInd w:val="0"/>
        <w:rPr>
          <w:rFonts w:cs="Times New Roman"/>
          <w:szCs w:val="24"/>
        </w:rPr>
      </w:pPr>
    </w:p>
    <w:p w14:paraId="352028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copyright purposes, the required level of creativity is “minimal,” and “sweat of the brow” in creation is “wholly irrelevant.”  </w:t>
      </w:r>
      <w:r w:rsidRPr="006A4CD7">
        <w:rPr>
          <w:rFonts w:cs="Times New Roman"/>
          <w:i/>
          <w:iCs/>
          <w:szCs w:val="24"/>
        </w:rPr>
        <w:t xml:space="preserve">CDN, Inc. v. </w:t>
      </w:r>
      <w:proofErr w:type="spellStart"/>
      <w:r w:rsidRPr="006A4CD7">
        <w:rPr>
          <w:rFonts w:cs="Times New Roman"/>
          <w:i/>
          <w:iCs/>
          <w:szCs w:val="24"/>
        </w:rPr>
        <w:t>Kapes</w:t>
      </w:r>
      <w:proofErr w:type="spellEnd"/>
      <w:r w:rsidRPr="006A4CD7">
        <w:rPr>
          <w:rFonts w:cs="Times New Roman"/>
          <w:i/>
          <w:iCs/>
          <w:szCs w:val="24"/>
        </w:rPr>
        <w:t>,</w:t>
      </w:r>
      <w:r w:rsidRPr="006A4CD7">
        <w:rPr>
          <w:rFonts w:cs="Times New Roman"/>
          <w:szCs w:val="24"/>
        </w:rPr>
        <w:t xml:space="preserve"> 197 F.3d 1256, 1259-61 (9th Cir. 1999).  The circuit has recognized originality or creativity in a variety of works, including in: a price list that reflected selection and weighing of price date, </w:t>
      </w:r>
      <w:r w:rsidRPr="006A4CD7">
        <w:rPr>
          <w:rFonts w:cs="Times New Roman"/>
          <w:i/>
          <w:iCs/>
          <w:szCs w:val="24"/>
        </w:rPr>
        <w:t>see</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 musical composition with the same pitch and sequence as another work, but with a nonidentical meter, tempo or key, </w:t>
      </w:r>
      <w:r w:rsidRPr="006A4CD7">
        <w:rPr>
          <w:rFonts w:cs="Times New Roman"/>
          <w:i/>
          <w:iCs/>
          <w:szCs w:val="24"/>
        </w:rPr>
        <w:t xml:space="preserve">see </w:t>
      </w:r>
      <w:proofErr w:type="spellStart"/>
      <w:r w:rsidRPr="006A4CD7">
        <w:rPr>
          <w:rFonts w:cs="Times New Roman"/>
          <w:i/>
          <w:iCs/>
          <w:szCs w:val="24"/>
        </w:rPr>
        <w:t>Swirsky</w:t>
      </w:r>
      <w:proofErr w:type="spellEnd"/>
      <w:r w:rsidRPr="006A4CD7">
        <w:rPr>
          <w:rFonts w:cs="Times New Roman"/>
          <w:i/>
          <w:iCs/>
          <w:szCs w:val="24"/>
        </w:rPr>
        <w:t xml:space="preserve">, </w:t>
      </w:r>
      <w:r w:rsidRPr="006A4CD7">
        <w:rPr>
          <w:rFonts w:cs="Times New Roman"/>
          <w:szCs w:val="24"/>
        </w:rPr>
        <w:t xml:space="preserve">376 F.3d at 851; and a picture, based on its subject, posture, background, lighting, or  perspective,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Hamilton</w:t>
      </w:r>
      <w:r w:rsidRPr="006A4CD7">
        <w:rPr>
          <w:rFonts w:cs="Times New Roman"/>
          <w:szCs w:val="24"/>
        </w:rPr>
        <w:t>, 583 F.2d 448, 452 (9th Cir. 1978);</w:t>
      </w:r>
      <w:r w:rsidRPr="006A4CD7">
        <w:rPr>
          <w:rFonts w:cs="Times New Roman"/>
          <w:i/>
          <w:iCs/>
          <w:szCs w:val="24"/>
        </w:rPr>
        <w:t xml:space="preserve"> see also </w:t>
      </w:r>
      <w:proofErr w:type="spellStart"/>
      <w:r w:rsidRPr="006A4CD7">
        <w:rPr>
          <w:rFonts w:cs="Times New Roman"/>
          <w:i/>
          <w:iCs/>
          <w:szCs w:val="24"/>
        </w:rPr>
        <w:t>Rentmeester</w:t>
      </w:r>
      <w:proofErr w:type="spellEnd"/>
      <w:r w:rsidRPr="006A4CD7">
        <w:rPr>
          <w:rFonts w:cs="Times New Roman"/>
          <w:i/>
          <w:iCs/>
          <w:szCs w:val="24"/>
        </w:rPr>
        <w:t xml:space="preserve"> v. Nike, Inc.</w:t>
      </w:r>
      <w:r w:rsidRPr="006A4CD7">
        <w:rPr>
          <w:rFonts w:cs="Times New Roman"/>
          <w:szCs w:val="24"/>
        </w:rPr>
        <w:t xml:space="preserve">, 883 F.3d 1111, 1121 (9th Cir. 2018) (noting that photographer’s “selection and arrangement of [creative] elements produced an image entitled to the broadest protection a photograph can receive”).  </w:t>
      </w:r>
    </w:p>
    <w:p w14:paraId="2DC35047" w14:textId="77777777" w:rsidR="006A4CD7" w:rsidRPr="006A4CD7" w:rsidRDefault="006A4CD7" w:rsidP="0060759C">
      <w:pPr>
        <w:autoSpaceDE w:val="0"/>
        <w:autoSpaceDN w:val="0"/>
        <w:adjustRightInd w:val="0"/>
        <w:rPr>
          <w:rFonts w:cs="Times New Roman"/>
          <w:szCs w:val="24"/>
        </w:rPr>
      </w:pPr>
    </w:p>
    <w:p w14:paraId="38EB7894" w14:textId="448164B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work embodies only the minimum level of creativity necessary for copyright, it is said to have “thin” copyright protection.  </w:t>
      </w:r>
      <w:r w:rsidRPr="006A4CD7">
        <w:rPr>
          <w:rFonts w:cs="Times New Roman"/>
          <w:i/>
          <w:iCs/>
          <w:szCs w:val="24"/>
        </w:rPr>
        <w:t xml:space="preserve">See, e.g., </w:t>
      </w:r>
      <w:proofErr w:type="spellStart"/>
      <w:r w:rsidRPr="006A4CD7">
        <w:rPr>
          <w:rFonts w:cs="Times New Roman"/>
          <w:i/>
          <w:iCs/>
          <w:szCs w:val="24"/>
        </w:rPr>
        <w:t>Satava</w:t>
      </w:r>
      <w:proofErr w:type="spellEnd"/>
      <w:r w:rsidRPr="006A4CD7">
        <w:rPr>
          <w:rFonts w:cs="Times New Roman"/>
          <w:i/>
          <w:iCs/>
          <w:szCs w:val="24"/>
        </w:rPr>
        <w:t xml:space="preserve"> v. Lowry</w:t>
      </w:r>
      <w:r w:rsidRPr="006A4CD7">
        <w:rPr>
          <w:rFonts w:cs="Times New Roman"/>
          <w:szCs w:val="24"/>
        </w:rPr>
        <w:t xml:space="preserve">, 323 F.3d 805, 810-12 (9th Cir. 2003).  A thin copyright would only protect against “virtually identical copying.”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also Mattel, Inc. v. MGA Entm’t, Inc.</w:t>
      </w:r>
      <w:r w:rsidRPr="006A4CD7">
        <w:rPr>
          <w:rFonts w:cs="Times New Roman"/>
          <w:szCs w:val="24"/>
        </w:rPr>
        <w:t xml:space="preserve">, 616 F.3d 904, 915 (9th Cir. 2010) (noting “thin” copyright protection </w:t>
      </w:r>
      <w:r w:rsidR="004D5B4F" w:rsidRPr="006A4CD7">
        <w:rPr>
          <w:rFonts w:cs="Times New Roman"/>
          <w:szCs w:val="24"/>
        </w:rPr>
        <w:t>for “</w:t>
      </w:r>
      <w:r w:rsidRPr="006A4CD7">
        <w:rPr>
          <w:rFonts w:cs="Times New Roman"/>
          <w:szCs w:val="24"/>
        </w:rPr>
        <w:t>expression of an attractive young, female fashion doll with exaggerated proportions”);</w:t>
      </w:r>
      <w:r w:rsidRPr="006A4CD7">
        <w:rPr>
          <w:rFonts w:cs="Times New Roman"/>
          <w:i/>
          <w:iCs/>
          <w:szCs w:val="24"/>
        </w:rPr>
        <w:t xml:space="preserve"> Apple Computer, Inc. v. Microsoft Corp</w:t>
      </w:r>
      <w:r w:rsidRPr="006A4CD7">
        <w:rPr>
          <w:rFonts w:cs="Times New Roman"/>
          <w:szCs w:val="24"/>
        </w:rPr>
        <w:t>., 35 F.3d 1435, 1442 (9th Cir. 1994) (holding that “thin” copyright in graphical user interface protected against only “virtually identical copying”).</w:t>
      </w:r>
    </w:p>
    <w:p w14:paraId="3C7D95DD" w14:textId="77777777" w:rsidR="006A4CD7" w:rsidRPr="006A4CD7" w:rsidRDefault="006A4CD7" w:rsidP="0060759C">
      <w:pPr>
        <w:autoSpaceDE w:val="0"/>
        <w:autoSpaceDN w:val="0"/>
        <w:adjustRightInd w:val="0"/>
        <w:rPr>
          <w:rFonts w:cs="Times New Roman"/>
          <w:szCs w:val="24"/>
        </w:rPr>
      </w:pPr>
    </w:p>
    <w:p w14:paraId="38EB1F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905 F.3d 1116, 1125-30 (9th Cir. 2018), the Ninth Circuit provided an extensive discussion of “originality” in the context of a case involving the alleged copyright infringement of a musical composition.  Among other things, the Ninth Circuit explained: “To prove ‘unlawful appropriation,’ a higher showing of substantial similarity is needed.  The works must share substantial similarities and those similarities must involve parts of the plaintiff’s work that are original and therefore protected by copyright.”  </w:t>
      </w:r>
      <w:r w:rsidRPr="006A4CD7">
        <w:rPr>
          <w:rFonts w:cs="Times New Roman"/>
          <w:i/>
          <w:iCs/>
          <w:szCs w:val="24"/>
        </w:rPr>
        <w:t>Skidmore</w:t>
      </w:r>
      <w:r w:rsidRPr="006A4CD7">
        <w:rPr>
          <w:rFonts w:cs="Times New Roman"/>
          <w:szCs w:val="24"/>
        </w:rPr>
        <w:t xml:space="preserve">, 905 F.3d at 1125 (citing </w:t>
      </w:r>
      <w:proofErr w:type="spellStart"/>
      <w:r w:rsidRPr="006A4CD7">
        <w:rPr>
          <w:rFonts w:cs="Times New Roman"/>
          <w:i/>
          <w:iCs/>
          <w:szCs w:val="24"/>
        </w:rPr>
        <w:t>Rentmeester</w:t>
      </w:r>
      <w:proofErr w:type="spellEnd"/>
      <w:r w:rsidRPr="006A4CD7">
        <w:rPr>
          <w:rFonts w:cs="Times New Roman"/>
          <w:i/>
          <w:iCs/>
          <w:szCs w:val="24"/>
        </w:rPr>
        <w:t xml:space="preserve"> v. Nike, Inc</w:t>
      </w:r>
      <w:r w:rsidRPr="006A4CD7">
        <w:rPr>
          <w:rFonts w:cs="Times New Roman"/>
          <w:szCs w:val="24"/>
        </w:rPr>
        <w:t>., 883 F.3d 1111, 1117 (9th Cir. 2018)).</w:t>
      </w:r>
    </w:p>
    <w:p w14:paraId="2F2F86CA" w14:textId="77777777" w:rsidR="006A4CD7" w:rsidRPr="006A4CD7" w:rsidRDefault="006A4CD7" w:rsidP="0060759C">
      <w:pPr>
        <w:autoSpaceDE w:val="0"/>
        <w:autoSpaceDN w:val="0"/>
        <w:adjustRightInd w:val="0"/>
        <w:rPr>
          <w:rFonts w:cs="Times New Roman"/>
          <w:szCs w:val="24"/>
        </w:rPr>
      </w:pPr>
    </w:p>
    <w:p w14:paraId="4D52B744" w14:textId="77777777" w:rsidR="006A4CD7" w:rsidRPr="006A4CD7" w:rsidRDefault="006A4CD7" w:rsidP="0060759C">
      <w:pPr>
        <w:autoSpaceDE w:val="0"/>
        <w:autoSpaceDN w:val="0"/>
        <w:adjustRightInd w:val="0"/>
        <w:rPr>
          <w:rFonts w:cs="Times New Roman"/>
          <w:szCs w:val="24"/>
        </w:rPr>
      </w:pPr>
    </w:p>
    <w:p w14:paraId="794D9B4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14A91AA" w14:textId="77777777" w:rsidR="008E5DC5" w:rsidRPr="006A4CD7" w:rsidRDefault="008E5DC5" w:rsidP="008E5DC5"/>
    <w:p w14:paraId="69F133AD" w14:textId="23426658" w:rsidR="009A3F8A" w:rsidRDefault="006A4CD7" w:rsidP="00982B7E">
      <w:pPr>
        <w:pStyle w:val="Heading2"/>
      </w:pPr>
      <w:r w:rsidRPr="006A4CD7">
        <w:br w:type="page"/>
      </w:r>
      <w:bookmarkStart w:id="315" w:name="_Toc117512592"/>
      <w:r w:rsidRPr="006A4CD7">
        <w:t xml:space="preserve">17.15 </w:t>
      </w:r>
      <w:r w:rsidR="00646BCE" w:rsidRPr="00646BCE">
        <w:t>Copyright Interests—Derivative Work</w:t>
      </w:r>
      <w:bookmarkEnd w:id="315"/>
      <w:r w:rsidR="00646BCE" w:rsidRPr="00646BCE">
        <w:t xml:space="preserve"> </w:t>
      </w:r>
    </w:p>
    <w:p w14:paraId="14C2FA4E" w14:textId="28B1B261" w:rsidR="006A4CD7" w:rsidRPr="006A4CD7" w:rsidRDefault="006A4CD7" w:rsidP="00982B7E">
      <w:pPr>
        <w:pStyle w:val="Heading2"/>
      </w:pPr>
      <w:bookmarkStart w:id="316" w:name="_Toc117512593"/>
      <w:r w:rsidRPr="006A4CD7">
        <w:t>(17 U.S.C. §§ 101, 106(2))</w:t>
      </w:r>
      <w:bookmarkEnd w:id="316"/>
    </w:p>
    <w:p w14:paraId="17094A1F" w14:textId="77777777" w:rsidR="006A4CD7" w:rsidRPr="006A4CD7" w:rsidRDefault="006A4CD7" w:rsidP="0060759C">
      <w:pPr>
        <w:autoSpaceDE w:val="0"/>
        <w:autoSpaceDN w:val="0"/>
        <w:adjustRightInd w:val="0"/>
        <w:rPr>
          <w:rFonts w:cs="Times New Roman"/>
          <w:szCs w:val="24"/>
        </w:rPr>
      </w:pPr>
    </w:p>
    <w:p w14:paraId="5A6D3B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B84758F" w14:textId="77777777" w:rsidR="006A4CD7" w:rsidRPr="006A4CD7" w:rsidRDefault="006A4CD7" w:rsidP="0060759C">
      <w:pPr>
        <w:autoSpaceDE w:val="0"/>
        <w:autoSpaceDN w:val="0"/>
        <w:adjustRightInd w:val="0"/>
        <w:rPr>
          <w:rFonts w:cs="Times New Roman"/>
          <w:szCs w:val="24"/>
        </w:rPr>
      </w:pPr>
    </w:p>
    <w:p w14:paraId="139EAF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49C3EA82" w14:textId="77777777" w:rsidR="006A4CD7" w:rsidRPr="006A4CD7" w:rsidRDefault="006A4CD7" w:rsidP="0060759C">
      <w:pPr>
        <w:autoSpaceDE w:val="0"/>
        <w:autoSpaceDN w:val="0"/>
        <w:adjustRightInd w:val="0"/>
        <w:rPr>
          <w:rFonts w:cs="Times New Roman"/>
          <w:szCs w:val="24"/>
        </w:rPr>
      </w:pPr>
    </w:p>
    <w:p w14:paraId="7C085A3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6779B36A" w14:textId="77777777" w:rsidR="006A4CD7" w:rsidRPr="006A4CD7" w:rsidRDefault="006A4CD7" w:rsidP="0060759C">
      <w:pPr>
        <w:autoSpaceDE w:val="0"/>
        <w:autoSpaceDN w:val="0"/>
        <w:adjustRightInd w:val="0"/>
        <w:rPr>
          <w:rFonts w:cs="Times New Roman"/>
          <w:szCs w:val="24"/>
        </w:rPr>
      </w:pPr>
    </w:p>
    <w:p w14:paraId="42E4D5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author of the derivative work may enforce the right to exclude others from the original elements added by the author in an action for copyright infringement.]</w:t>
      </w:r>
    </w:p>
    <w:p w14:paraId="5FE45F72" w14:textId="77777777" w:rsidR="006A4CD7" w:rsidRPr="006A4CD7" w:rsidRDefault="006A4CD7" w:rsidP="0060759C">
      <w:pPr>
        <w:autoSpaceDE w:val="0"/>
        <w:autoSpaceDN w:val="0"/>
        <w:adjustRightInd w:val="0"/>
        <w:rPr>
          <w:rFonts w:cs="Times New Roman"/>
          <w:szCs w:val="24"/>
        </w:rPr>
      </w:pPr>
    </w:p>
    <w:p w14:paraId="572E9013"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copyright owner of the pre-existing work may enforce the right to exclude others in an action for copyright infringement to the extent that the material copied derived from the pre-existing work.]</w:t>
      </w:r>
    </w:p>
    <w:p w14:paraId="305A05D1" w14:textId="77777777" w:rsidR="006A4CD7" w:rsidRPr="006A4CD7" w:rsidRDefault="006A4CD7" w:rsidP="008E5DC5"/>
    <w:p w14:paraId="089DDF6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8FEF93" w14:textId="77777777" w:rsidR="006A4CD7" w:rsidRPr="006A4CD7" w:rsidRDefault="006A4CD7" w:rsidP="0060759C">
      <w:pPr>
        <w:autoSpaceDE w:val="0"/>
        <w:autoSpaceDN w:val="0"/>
        <w:adjustRightInd w:val="0"/>
        <w:rPr>
          <w:rFonts w:cs="Times New Roman"/>
          <w:szCs w:val="24"/>
        </w:rPr>
      </w:pPr>
    </w:p>
    <w:p w14:paraId="4BE691A0" w14:textId="52F91D16" w:rsidR="006A4CD7" w:rsidRPr="006A4CD7" w:rsidRDefault="006A4CD7" w:rsidP="0060759C">
      <w:pPr>
        <w:autoSpaceDE w:val="0"/>
        <w:autoSpaceDN w:val="0"/>
        <w:adjustRightInd w:val="0"/>
        <w:rPr>
          <w:rFonts w:cs="Times New Roman"/>
          <w:szCs w:val="24"/>
        </w:rPr>
      </w:pPr>
      <w:r w:rsidRPr="006A4CD7">
        <w:rPr>
          <w:rFonts w:cs="Times New Roman"/>
          <w:szCs w:val="24"/>
        </w:rPr>
        <w:tab/>
        <w:t>In the case of a recorded performance (</w:t>
      </w:r>
      <w:r w:rsidR="00887684" w:rsidRPr="006A4CD7">
        <w:rPr>
          <w:rFonts w:cs="Times New Roman"/>
          <w:szCs w:val="24"/>
        </w:rPr>
        <w:t>i.e.,</w:t>
      </w:r>
      <w:r w:rsidRPr="006A4CD7">
        <w:rPr>
          <w:rFonts w:cs="Times New Roman"/>
          <w:szCs w:val="24"/>
        </w:rPr>
        <w:t xml:space="preserve"> a sound recording) of a musical work, the sound recording constitutes a derivative work of the musical work.  </w:t>
      </w:r>
      <w:r w:rsidRPr="006A4CD7">
        <w:rPr>
          <w:rFonts w:cs="Times New Roman"/>
          <w:i/>
          <w:iCs/>
          <w:szCs w:val="24"/>
        </w:rPr>
        <w:t>Mills Music, Inc. v. Snyder</w:t>
      </w:r>
      <w:r w:rsidRPr="006A4CD7">
        <w:rPr>
          <w:rFonts w:cs="Times New Roman"/>
          <w:szCs w:val="24"/>
        </w:rPr>
        <w:t>, 469 U.S. 153 (1985).</w:t>
      </w:r>
    </w:p>
    <w:p w14:paraId="676D7BF1" w14:textId="77777777" w:rsidR="006A4CD7" w:rsidRPr="006A4CD7" w:rsidRDefault="006A4CD7" w:rsidP="0060759C">
      <w:pPr>
        <w:autoSpaceDE w:val="0"/>
        <w:autoSpaceDN w:val="0"/>
        <w:adjustRightInd w:val="0"/>
        <w:rPr>
          <w:rFonts w:cs="Times New Roman"/>
          <w:szCs w:val="24"/>
        </w:rPr>
      </w:pPr>
    </w:p>
    <w:p w14:paraId="6E38BE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11E07323" w14:textId="77777777" w:rsidR="006A4CD7" w:rsidRPr="006A4CD7" w:rsidRDefault="006A4CD7" w:rsidP="0060759C">
      <w:pPr>
        <w:autoSpaceDE w:val="0"/>
        <w:autoSpaceDN w:val="0"/>
        <w:adjustRightInd w:val="0"/>
        <w:rPr>
          <w:rFonts w:cs="Times New Roman"/>
          <w:szCs w:val="24"/>
        </w:rPr>
      </w:pPr>
    </w:p>
    <w:p w14:paraId="64D4334F"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“When a copyright owner authorizes a third party to prepare a derivative work, the owner </w:t>
      </w:r>
    </w:p>
    <w:p w14:paraId="6AADBAFD" w14:textId="455B90F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underlying work retains a copyright in that derivative work with respect to all of the elements that the derivative creator drew from the underlying work and employed in the derivative work.”  </w:t>
      </w:r>
      <w:r w:rsidRPr="006A4CD7">
        <w:rPr>
          <w:rFonts w:cs="Times New Roman"/>
          <w:i/>
          <w:iCs/>
          <w:szCs w:val="24"/>
        </w:rPr>
        <w:t>DC Comics v. Towle</w:t>
      </w:r>
      <w:r w:rsidRPr="006A4CD7">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6A4CD7">
        <w:rPr>
          <w:rFonts w:cs="Times New Roman"/>
          <w:i/>
          <w:iCs/>
          <w:szCs w:val="24"/>
        </w:rPr>
        <w:t>Id</w:t>
      </w:r>
      <w:r w:rsidRPr="006A4CD7">
        <w:rPr>
          <w:rFonts w:cs="Times New Roman"/>
          <w:szCs w:val="24"/>
        </w:rPr>
        <w:t>. at 1024.</w:t>
      </w:r>
    </w:p>
    <w:p w14:paraId="25EB5B5F" w14:textId="77777777" w:rsidR="006A4CD7" w:rsidRPr="006A4CD7" w:rsidRDefault="006A4CD7" w:rsidP="0060759C">
      <w:pPr>
        <w:autoSpaceDE w:val="0"/>
        <w:autoSpaceDN w:val="0"/>
        <w:adjustRightInd w:val="0"/>
        <w:rPr>
          <w:rFonts w:cs="Times New Roman"/>
          <w:szCs w:val="24"/>
        </w:rPr>
      </w:pPr>
    </w:p>
    <w:p w14:paraId="511D0E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6A4CD7">
        <w:rPr>
          <w:rFonts w:cs="Times New Roman"/>
          <w:i/>
          <w:iCs/>
          <w:szCs w:val="24"/>
        </w:rPr>
        <w:t>see also Stewart v. Abend</w:t>
      </w:r>
      <w:r w:rsidRPr="006A4CD7">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6A4CD7">
        <w:rPr>
          <w:rFonts w:cs="Times New Roman"/>
          <w:i/>
          <w:iCs/>
          <w:szCs w:val="24"/>
        </w:rPr>
        <w:t>U.S. Auto Parts Network, Inc. v. Parts Geek, LLC</w:t>
      </w:r>
      <w:r w:rsidRPr="006A4CD7">
        <w:rPr>
          <w:rFonts w:cs="Times New Roman"/>
          <w:szCs w:val="24"/>
        </w:rPr>
        <w:t xml:space="preserve">, 692 F.3d 1009, 1016 (9th Cir. 2012) (“[A] derivative work may be independently copyrightable, but the scope of this copyright is limited.”); </w:t>
      </w:r>
      <w:proofErr w:type="spellStart"/>
      <w:r w:rsidRPr="006A4CD7">
        <w:rPr>
          <w:rFonts w:cs="Times New Roman"/>
          <w:i/>
          <w:iCs/>
          <w:szCs w:val="24"/>
        </w:rPr>
        <w:t>Batjac</w:t>
      </w:r>
      <w:proofErr w:type="spellEnd"/>
      <w:r w:rsidRPr="006A4CD7">
        <w:rPr>
          <w:rFonts w:cs="Times New Roman"/>
          <w:i/>
          <w:iCs/>
          <w:szCs w:val="24"/>
        </w:rPr>
        <w:t xml:space="preserve"> Prods. Inc. v. </w:t>
      </w:r>
      <w:proofErr w:type="spellStart"/>
      <w:r w:rsidRPr="006A4CD7">
        <w:rPr>
          <w:rFonts w:cs="Times New Roman"/>
          <w:i/>
          <w:iCs/>
          <w:szCs w:val="24"/>
        </w:rPr>
        <w:t>Goodtimes</w:t>
      </w:r>
      <w:proofErr w:type="spellEnd"/>
      <w:r w:rsidRPr="006A4CD7">
        <w:rPr>
          <w:rFonts w:cs="Times New Roman"/>
          <w:i/>
          <w:iCs/>
          <w:szCs w:val="24"/>
        </w:rPr>
        <w:t xml:space="preserve"> Home Video</w:t>
      </w:r>
      <w:r w:rsidRPr="006A4CD7">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62CAA66C" w14:textId="77777777" w:rsidR="006A4CD7" w:rsidRPr="006A4CD7" w:rsidRDefault="006A4CD7" w:rsidP="0060759C">
      <w:pPr>
        <w:autoSpaceDE w:val="0"/>
        <w:autoSpaceDN w:val="0"/>
        <w:adjustRightInd w:val="0"/>
        <w:rPr>
          <w:rFonts w:cs="Times New Roman"/>
          <w:szCs w:val="24"/>
        </w:rPr>
      </w:pPr>
    </w:p>
    <w:p w14:paraId="135F67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6A4CD7">
        <w:rPr>
          <w:rFonts w:cs="Times New Roman"/>
          <w:i/>
          <w:iCs/>
          <w:szCs w:val="24"/>
        </w:rPr>
        <w:t xml:space="preserve">United States v. </w:t>
      </w:r>
      <w:proofErr w:type="spellStart"/>
      <w:r w:rsidRPr="006A4CD7">
        <w:rPr>
          <w:rFonts w:cs="Times New Roman"/>
          <w:i/>
          <w:iCs/>
          <w:szCs w:val="24"/>
        </w:rPr>
        <w:t>Taxe</w:t>
      </w:r>
      <w:proofErr w:type="spellEnd"/>
      <w:r w:rsidRPr="006A4CD7">
        <w:rPr>
          <w:rFonts w:cs="Times New Roman"/>
          <w:szCs w:val="24"/>
        </w:rPr>
        <w:t>, 540 F.2d 961, 965 n.2 (9th Cir. 1976);</w:t>
      </w:r>
      <w:r w:rsidRPr="006A4CD7">
        <w:rPr>
          <w:rFonts w:cs="Times New Roman"/>
          <w:i/>
          <w:iCs/>
          <w:szCs w:val="24"/>
        </w:rPr>
        <w:t xml:space="preserve"> see also U.S. Auto Parts</w:t>
      </w:r>
      <w:r w:rsidRPr="006A4CD7">
        <w:rPr>
          <w:rFonts w:cs="Times New Roman"/>
          <w:szCs w:val="24"/>
        </w:rPr>
        <w:t>, 692 F.3d at 1016 (“[I]f a third party uses preexisting work in violation of the Copyright Act, the resulting derivative work is not entitled to copyright protection.” (citation omitted)).</w:t>
      </w:r>
    </w:p>
    <w:p w14:paraId="4E14A91F" w14:textId="77777777" w:rsidR="006A4CD7" w:rsidRPr="006A4CD7" w:rsidRDefault="006A4CD7" w:rsidP="0060759C">
      <w:pPr>
        <w:autoSpaceDE w:val="0"/>
        <w:autoSpaceDN w:val="0"/>
        <w:adjustRightInd w:val="0"/>
        <w:rPr>
          <w:rFonts w:cs="Times New Roman"/>
          <w:szCs w:val="24"/>
        </w:rPr>
      </w:pPr>
    </w:p>
    <w:p w14:paraId="09A8F1B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6A4CD7">
        <w:rPr>
          <w:rFonts w:cs="Times New Roman"/>
          <w:i/>
          <w:iCs/>
          <w:szCs w:val="24"/>
        </w:rPr>
        <w:t>Id</w:t>
      </w:r>
      <w:r w:rsidRPr="006A4CD7">
        <w:rPr>
          <w:rFonts w:cs="Times New Roman"/>
          <w:szCs w:val="24"/>
        </w:rPr>
        <w:t xml:space="preserve">. at 1016 (quoting </w:t>
      </w:r>
      <w:r w:rsidRPr="006A4CD7">
        <w:rPr>
          <w:rFonts w:cs="Times New Roman"/>
          <w:i/>
          <w:iCs/>
          <w:szCs w:val="24"/>
        </w:rPr>
        <w:t xml:space="preserve">Durham Indus. v. </w:t>
      </w:r>
      <w:proofErr w:type="spellStart"/>
      <w:r w:rsidRPr="006A4CD7">
        <w:rPr>
          <w:rFonts w:cs="Times New Roman"/>
          <w:i/>
          <w:iCs/>
          <w:szCs w:val="24"/>
        </w:rPr>
        <w:t>Tomy</w:t>
      </w:r>
      <w:proofErr w:type="spellEnd"/>
      <w:r w:rsidRPr="006A4CD7">
        <w:rPr>
          <w:rFonts w:cs="Times New Roman"/>
          <w:i/>
          <w:iCs/>
          <w:szCs w:val="24"/>
        </w:rPr>
        <w:t xml:space="preserve"> Corp</w:t>
      </w:r>
      <w:r w:rsidRPr="006A4CD7">
        <w:rPr>
          <w:rFonts w:cs="Times New Roman"/>
          <w:szCs w:val="24"/>
        </w:rPr>
        <w:t>., 630 F.2d 905, 909 (2d Cir.1980)).</w:t>
      </w:r>
    </w:p>
    <w:p w14:paraId="314EB395" w14:textId="77777777" w:rsidR="008E5DC5" w:rsidRPr="006A4CD7" w:rsidRDefault="008E5DC5" w:rsidP="0060759C">
      <w:pPr>
        <w:autoSpaceDE w:val="0"/>
        <w:autoSpaceDN w:val="0"/>
        <w:adjustRightInd w:val="0"/>
        <w:rPr>
          <w:rFonts w:cs="Times New Roman"/>
          <w:szCs w:val="24"/>
        </w:rPr>
      </w:pPr>
    </w:p>
    <w:p w14:paraId="334C1F64" w14:textId="5B392ECC" w:rsidR="006A4CD7" w:rsidRPr="006A4CD7" w:rsidRDefault="006A4CD7" w:rsidP="008E5DC5">
      <w:pPr>
        <w:pStyle w:val="Heading2"/>
      </w:pPr>
      <w:r w:rsidRPr="006A4CD7">
        <w:br w:type="page"/>
      </w:r>
      <w:bookmarkStart w:id="317" w:name="_Toc117512594"/>
      <w:r w:rsidRPr="006A4CD7">
        <w:t>17.16</w:t>
      </w:r>
      <w:r w:rsidR="008E5DC5">
        <w:t xml:space="preserve"> </w:t>
      </w:r>
      <w:r w:rsidR="00646BCE" w:rsidRPr="00646BCE">
        <w:t>Compilation</w:t>
      </w:r>
      <w:r w:rsidR="00646BCE" w:rsidRPr="006A4CD7">
        <w:t xml:space="preserve"> </w:t>
      </w:r>
      <w:r w:rsidRPr="006A4CD7">
        <w:t>(17 U.S.C. § 101)</w:t>
      </w:r>
      <w:bookmarkEnd w:id="317"/>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owner is entitled to copyright protection of a compilation.  A compilation is a work formed by the collection and assembling of preexisting materials or of data that are selected, coordinated, or arranged in such a way that the resulting work as a whole constitutes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Feist </w:t>
      </w:r>
      <w:proofErr w:type="spellStart"/>
      <w:r w:rsidRPr="006A4CD7">
        <w:rPr>
          <w:rFonts w:cs="Times New Roman"/>
          <w:i/>
          <w:iCs/>
          <w:szCs w:val="24"/>
        </w:rPr>
        <w:t>Publ’ns</w:t>
      </w:r>
      <w:proofErr w:type="spellEnd"/>
      <w:r w:rsidRPr="006A4CD7">
        <w:rPr>
          <w:rFonts w:cs="Times New Roman"/>
          <w:i/>
          <w:iCs/>
          <w:szCs w:val="24"/>
        </w:rPr>
        <w:t>,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w:t>
      </w:r>
      <w:proofErr w:type="spellStart"/>
      <w:r w:rsidRPr="006A4CD7">
        <w:rPr>
          <w:rFonts w:cs="Times New Roman"/>
          <w:i/>
          <w:iCs/>
          <w:szCs w:val="24"/>
        </w:rPr>
        <w:t>Satava</w:t>
      </w:r>
      <w:proofErr w:type="spellEnd"/>
      <w:r w:rsidRPr="006A4CD7">
        <w:rPr>
          <w:rFonts w:cs="Times New Roman"/>
          <w:i/>
          <w:iCs/>
          <w:szCs w:val="24"/>
        </w:rPr>
        <w:t xml:space="preserve">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w:t>
      </w:r>
      <w:proofErr w:type="spellStart"/>
      <w:r w:rsidRPr="006A4CD7">
        <w:rPr>
          <w:rFonts w:cs="Times New Roman"/>
          <w:i/>
          <w:iCs/>
          <w:szCs w:val="24"/>
        </w:rPr>
        <w:t>Satava</w:t>
      </w:r>
      <w:proofErr w:type="spellEnd"/>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w:t>
      </w:r>
      <w:proofErr w:type="spellStart"/>
      <w:r w:rsidRPr="006A4CD7">
        <w:rPr>
          <w:rFonts w:cs="Times New Roman"/>
          <w:i/>
          <w:iCs/>
          <w:szCs w:val="24"/>
        </w:rPr>
        <w:t>Kapes</w:t>
      </w:r>
      <w:proofErr w:type="spellEnd"/>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only part of the work has been copied.  “[W]e have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23A21B87" w14:textId="77777777" w:rsidR="00D10B92" w:rsidRDefault="00D10B92" w:rsidP="0060759C">
      <w:pPr>
        <w:autoSpaceDE w:val="0"/>
        <w:autoSpaceDN w:val="0"/>
        <w:adjustRightInd w:val="0"/>
        <w:jc w:val="right"/>
        <w:rPr>
          <w:rFonts w:cs="Times New Roman"/>
          <w:i/>
          <w:iCs/>
          <w:szCs w:val="24"/>
        </w:rPr>
      </w:pPr>
    </w:p>
    <w:p w14:paraId="795C6186" w14:textId="1D3C0BEC"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05B1871A" w:rsidR="006A4CD7" w:rsidRPr="006A4CD7" w:rsidRDefault="006A4CD7" w:rsidP="008E5DC5">
      <w:pPr>
        <w:pStyle w:val="Heading2"/>
      </w:pPr>
      <w:r w:rsidRPr="006A4CD7">
        <w:br w:type="page"/>
      </w:r>
      <w:bookmarkStart w:id="318" w:name="_Toc117512595"/>
      <w:r w:rsidRPr="006A4CD7">
        <w:t xml:space="preserve">17.17 </w:t>
      </w:r>
      <w:r w:rsidR="00646BCE" w:rsidRPr="00646BCE">
        <w:t>Copying—Access and Substantial Similarity</w:t>
      </w:r>
      <w:bookmarkEnd w:id="318"/>
    </w:p>
    <w:p w14:paraId="393C54D9" w14:textId="77777777" w:rsidR="006A4CD7" w:rsidRPr="006A4CD7" w:rsidRDefault="006A4CD7" w:rsidP="0060759C">
      <w:pPr>
        <w:autoSpaceDE w:val="0"/>
        <w:autoSpaceDN w:val="0"/>
        <w:adjustRightInd w:val="0"/>
        <w:rPr>
          <w:rFonts w:cs="Times New Roman"/>
          <w:szCs w:val="24"/>
        </w:rPr>
      </w:pPr>
    </w:p>
    <w:p w14:paraId="10408A4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Instruction [</w:t>
      </w:r>
      <w:r w:rsidR="00454361" w:rsidRPr="00454361">
        <w:rPr>
          <w:rFonts w:cs="Times New Roman"/>
          <w:i/>
          <w:iCs/>
          <w:color w:val="000000" w:themeColor="text1"/>
          <w:szCs w:val="24"/>
          <w:u w:val="single"/>
        </w:rPr>
        <w:t>insert cross reference to the pertinent instruction, e.g., Instruction 17.5</w:t>
      </w:r>
      <w:r w:rsidR="00454361" w:rsidRPr="00454361">
        <w:rPr>
          <w:rFonts w:cs="Times New Roman"/>
          <w:color w:val="000000" w:themeColor="text1"/>
          <w:szCs w:val="24"/>
        </w:rPr>
        <w:t xml:space="preserve">] states that the plaintiff has the burden of proving that the defendant copied original elements from the plaintiff’s copyrighted work.  The plaintiff may show the defendant copied from the work by proving by a preponderance of the evidence that the defendant had access to the plaintiff’s copyrighted work and that there are substantial similarities between the defendant’s work and original elements of the plaintiff’s work.  </w:t>
      </w:r>
    </w:p>
    <w:p w14:paraId="17058077" w14:textId="77777777" w:rsidR="00454361" w:rsidRPr="00454361" w:rsidRDefault="00454361" w:rsidP="00454361">
      <w:pPr>
        <w:autoSpaceDE w:val="0"/>
        <w:autoSpaceDN w:val="0"/>
        <w:adjustRightInd w:val="0"/>
        <w:rPr>
          <w:rFonts w:cs="Times New Roman"/>
          <w:color w:val="000000" w:themeColor="text1"/>
          <w:szCs w:val="24"/>
        </w:rPr>
      </w:pPr>
    </w:p>
    <w:p w14:paraId="491E1CD3"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you find that the plaintiff has failed to prove either access to the plaintiff’s copyrighted</w:t>
      </w:r>
    </w:p>
    <w:p w14:paraId="2344A6B4"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work or substantial similarities between the defendant’s work and original elements of the</w:t>
      </w:r>
    </w:p>
    <w:p w14:paraId="1BBC13A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plaintiff’s work, your verdict should be for the defendant.</w:t>
      </w:r>
    </w:p>
    <w:p w14:paraId="194B5D84" w14:textId="77777777" w:rsidR="00454361" w:rsidRPr="00454361" w:rsidRDefault="00454361" w:rsidP="00454361">
      <w:pPr>
        <w:autoSpaceDE w:val="0"/>
        <w:autoSpaceDN w:val="0"/>
        <w:adjustRightInd w:val="0"/>
        <w:rPr>
          <w:rFonts w:cs="Times New Roman"/>
          <w:color w:val="000000" w:themeColor="text1"/>
          <w:szCs w:val="24"/>
        </w:rPr>
      </w:pPr>
    </w:p>
    <w:p w14:paraId="7B4F54FC" w14:textId="77777777" w:rsidR="00454361" w:rsidRPr="00454361" w:rsidRDefault="00454361" w:rsidP="00454361">
      <w:pPr>
        <w:autoSpaceDE w:val="0"/>
        <w:autoSpaceDN w:val="0"/>
        <w:adjustRightInd w:val="0"/>
        <w:jc w:val="center"/>
        <w:rPr>
          <w:rFonts w:cs="Times New Roman"/>
          <w:color w:val="000000" w:themeColor="text1"/>
          <w:szCs w:val="24"/>
        </w:rPr>
      </w:pPr>
      <w:r w:rsidRPr="00454361">
        <w:rPr>
          <w:rFonts w:cs="Times New Roman"/>
          <w:b/>
          <w:bCs/>
          <w:color w:val="000000" w:themeColor="text1"/>
          <w:szCs w:val="24"/>
        </w:rPr>
        <w:t>Comment</w:t>
      </w:r>
    </w:p>
    <w:p w14:paraId="2D7C450E" w14:textId="77777777" w:rsidR="00454361" w:rsidRPr="00454361" w:rsidRDefault="00454361" w:rsidP="00454361">
      <w:pPr>
        <w:autoSpaceDE w:val="0"/>
        <w:autoSpaceDN w:val="0"/>
        <w:adjustRightInd w:val="0"/>
        <w:rPr>
          <w:rFonts w:cs="Times New Roman"/>
          <w:color w:val="000000" w:themeColor="text1"/>
          <w:szCs w:val="24"/>
        </w:rPr>
      </w:pPr>
    </w:p>
    <w:p w14:paraId="1371E728"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Regarding access, substantial similarity, and independent creation, </w:t>
      </w:r>
      <w:r w:rsidRPr="00454361">
        <w:rPr>
          <w:rFonts w:cs="Times New Roman"/>
          <w:i/>
          <w:iCs/>
          <w:color w:val="000000" w:themeColor="text1"/>
          <w:szCs w:val="24"/>
        </w:rPr>
        <w:t>see</w:t>
      </w:r>
      <w:r w:rsidRPr="00454361">
        <w:rPr>
          <w:rFonts w:cs="Times New Roman"/>
          <w:color w:val="000000" w:themeColor="text1"/>
          <w:szCs w:val="24"/>
        </w:rPr>
        <w:t xml:space="preserve"> </w:t>
      </w:r>
      <w:proofErr w:type="spellStart"/>
      <w:r w:rsidRPr="00454361">
        <w:rPr>
          <w:rFonts w:cs="Times New Roman"/>
          <w:i/>
          <w:iCs/>
          <w:color w:val="000000" w:themeColor="text1"/>
          <w:szCs w:val="24"/>
        </w:rPr>
        <w:t>Transgo</w:t>
      </w:r>
      <w:proofErr w:type="spellEnd"/>
      <w:r w:rsidRPr="00454361">
        <w:rPr>
          <w:rFonts w:cs="Times New Roman"/>
          <w:i/>
          <w:iCs/>
          <w:color w:val="000000" w:themeColor="text1"/>
          <w:szCs w:val="24"/>
        </w:rPr>
        <w:t xml:space="preserve">, Inc. v. </w:t>
      </w:r>
      <w:proofErr w:type="spellStart"/>
      <w:r w:rsidRPr="00454361">
        <w:rPr>
          <w:rFonts w:cs="Times New Roman"/>
          <w:i/>
          <w:iCs/>
          <w:color w:val="000000" w:themeColor="text1"/>
          <w:szCs w:val="24"/>
        </w:rPr>
        <w:t>Ajac</w:t>
      </w:r>
      <w:proofErr w:type="spellEnd"/>
      <w:r w:rsidRPr="00454361">
        <w:rPr>
          <w:rFonts w:cs="Times New Roman"/>
          <w:i/>
          <w:iCs/>
          <w:color w:val="000000" w:themeColor="text1"/>
          <w:szCs w:val="24"/>
        </w:rPr>
        <w:t xml:space="preserve"> Transmission Parts Corp.</w:t>
      </w:r>
      <w:r w:rsidRPr="00454361">
        <w:rPr>
          <w:rFonts w:cs="Times New Roman"/>
          <w:color w:val="000000" w:themeColor="text1"/>
          <w:szCs w:val="24"/>
        </w:rPr>
        <w:t xml:space="preserve">, 768 F.2d 1001, 1018 (9th Cir. 1985).  </w:t>
      </w:r>
      <w:r w:rsidRPr="00454361">
        <w:rPr>
          <w:rFonts w:cs="Times New Roman"/>
          <w:i/>
          <w:iCs/>
          <w:color w:val="000000" w:themeColor="text1"/>
          <w:szCs w:val="24"/>
        </w:rPr>
        <w:t>See also</w:t>
      </w:r>
      <w:r w:rsidRPr="00454361">
        <w:rPr>
          <w:rFonts w:cs="Times New Roman"/>
          <w:color w:val="000000" w:themeColor="text1"/>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454361">
        <w:rPr>
          <w:rFonts w:cs="Times New Roman"/>
          <w:i/>
          <w:iCs/>
          <w:color w:val="000000" w:themeColor="text1"/>
          <w:szCs w:val="24"/>
        </w:rPr>
        <w:t xml:space="preserve"> Range Rd. Music, Inc. v. E. Coast Foods, Inc.</w:t>
      </w:r>
      <w:r w:rsidRPr="00454361">
        <w:rPr>
          <w:rFonts w:cs="Times New Roman"/>
          <w:color w:val="000000" w:themeColor="text1"/>
          <w:szCs w:val="24"/>
        </w:rPr>
        <w:t xml:space="preserve">, 668 F.3d 1148, 1154 (9th Cir. 2012) (quoting </w:t>
      </w:r>
      <w:r w:rsidRPr="00454361">
        <w:rPr>
          <w:rFonts w:cs="Times New Roman"/>
          <w:i/>
          <w:iCs/>
          <w:color w:val="000000" w:themeColor="text1"/>
          <w:szCs w:val="24"/>
        </w:rPr>
        <w:t>S.O.S., Inc. v. Payday, Inc.,</w:t>
      </w:r>
      <w:r w:rsidRPr="00454361">
        <w:rPr>
          <w:rFonts w:cs="Times New Roman"/>
          <w:color w:val="000000" w:themeColor="text1"/>
          <w:szCs w:val="24"/>
        </w:rPr>
        <w:t xml:space="preserve"> 886 F.2d 1081, 1085 n.3 (9th Cir. 1989)).</w:t>
      </w:r>
    </w:p>
    <w:p w14:paraId="13BD9E6F" w14:textId="77777777" w:rsidR="00454361" w:rsidRPr="00454361" w:rsidRDefault="00454361" w:rsidP="00454361">
      <w:pPr>
        <w:autoSpaceDE w:val="0"/>
        <w:autoSpaceDN w:val="0"/>
        <w:adjustRightInd w:val="0"/>
        <w:rPr>
          <w:rFonts w:cs="Times New Roman"/>
          <w:color w:val="000000" w:themeColor="text1"/>
          <w:szCs w:val="24"/>
        </w:rPr>
      </w:pPr>
    </w:p>
    <w:p w14:paraId="6C73C4F0"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If it can be determined that either access or substantial similarity are lacking in a</w:t>
      </w:r>
    </w:p>
    <w:p w14:paraId="3057295E"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particular case, the remaining prong need not be addressed; failure on either prong is sufficient</w:t>
      </w:r>
    </w:p>
    <w:p w14:paraId="1ADAD07F"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for failure of the claim.  </w:t>
      </w:r>
      <w:r w:rsidRPr="00454361">
        <w:rPr>
          <w:rFonts w:cs="Times New Roman"/>
          <w:i/>
          <w:iCs/>
          <w:color w:val="000000" w:themeColor="text1"/>
          <w:szCs w:val="24"/>
        </w:rPr>
        <w:t>See Gray v. Hudson</w:t>
      </w:r>
      <w:r w:rsidRPr="00454361">
        <w:rPr>
          <w:rFonts w:cs="Times New Roman"/>
          <w:color w:val="000000" w:themeColor="text1"/>
          <w:szCs w:val="24"/>
        </w:rPr>
        <w:t>, 28 F.4th 87, 96 (9th Cir. 2022).</w:t>
      </w:r>
    </w:p>
    <w:p w14:paraId="577D4757" w14:textId="77777777" w:rsidR="00454361" w:rsidRPr="00454361" w:rsidRDefault="00454361" w:rsidP="00454361">
      <w:pPr>
        <w:autoSpaceDE w:val="0"/>
        <w:autoSpaceDN w:val="0"/>
        <w:adjustRightInd w:val="0"/>
        <w:rPr>
          <w:rFonts w:cs="Times New Roman"/>
          <w:color w:val="000000" w:themeColor="text1"/>
          <w:szCs w:val="24"/>
        </w:rPr>
      </w:pPr>
    </w:p>
    <w:p w14:paraId="7C26BF13" w14:textId="77777777" w:rsidR="00454361" w:rsidRPr="00454361" w:rsidRDefault="00454361" w:rsidP="00454361">
      <w:pPr>
        <w:autoSpaceDE w:val="0"/>
        <w:autoSpaceDN w:val="0"/>
        <w:adjustRightInd w:val="0"/>
        <w:jc w:val="center"/>
        <w:rPr>
          <w:rFonts w:cs="Times New Roman"/>
          <w:i/>
          <w:iCs/>
          <w:color w:val="000000" w:themeColor="text1"/>
          <w:szCs w:val="24"/>
        </w:rPr>
      </w:pPr>
      <w:r w:rsidRPr="00454361">
        <w:rPr>
          <w:rFonts w:cs="Times New Roman"/>
          <w:i/>
          <w:iCs/>
          <w:color w:val="000000" w:themeColor="text1"/>
          <w:szCs w:val="24"/>
        </w:rPr>
        <w:t>Supplemental Instruction</w:t>
      </w:r>
    </w:p>
    <w:p w14:paraId="757D405F" w14:textId="77777777" w:rsidR="00454361" w:rsidRPr="00454361" w:rsidRDefault="00454361" w:rsidP="00454361">
      <w:pPr>
        <w:autoSpaceDE w:val="0"/>
        <w:autoSpaceDN w:val="0"/>
        <w:adjustRightInd w:val="0"/>
        <w:rPr>
          <w:rFonts w:cs="Times New Roman"/>
          <w:color w:val="000000" w:themeColor="text1"/>
          <w:szCs w:val="24"/>
        </w:rPr>
      </w:pPr>
    </w:p>
    <w:p w14:paraId="611B821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t xml:space="preserve">For guidance in modifying the instruction so that the jury may consider evidence of a “striking similarity” between works to infer access, </w:t>
      </w:r>
      <w:r w:rsidRPr="00454361">
        <w:rPr>
          <w:rFonts w:cs="Times New Roman"/>
          <w:i/>
          <w:iCs/>
          <w:color w:val="000000" w:themeColor="text1"/>
          <w:szCs w:val="24"/>
        </w:rPr>
        <w:t>see</w:t>
      </w:r>
      <w:r w:rsidRPr="00454361">
        <w:rPr>
          <w:rFonts w:cs="Times New Roman"/>
          <w:color w:val="000000" w:themeColor="text1"/>
          <w:szCs w:val="24"/>
        </w:rPr>
        <w:t xml:space="preserve"> </w:t>
      </w:r>
      <w:r w:rsidRPr="00454361">
        <w:rPr>
          <w:rFonts w:cs="Times New Roman"/>
          <w:i/>
          <w:iCs/>
          <w:color w:val="000000" w:themeColor="text1"/>
          <w:szCs w:val="24"/>
        </w:rPr>
        <w:t>Three Boys Music Corp. v. Bolton</w:t>
      </w:r>
      <w:r w:rsidRPr="00454361">
        <w:rPr>
          <w:rFonts w:cs="Times New Roman"/>
          <w:color w:val="000000" w:themeColor="text1"/>
          <w:szCs w:val="24"/>
        </w:rPr>
        <w:t xml:space="preserve">, 212 F.3d 477, 485 (9th Cir. 2000) (“[I]n the absence of any proof of access, a copyright plaintiff can still make out a case of infringement by showing that the songs were ‘strikingly similar.’” (citing </w:t>
      </w:r>
      <w:r w:rsidRPr="00454361">
        <w:rPr>
          <w:rFonts w:cs="Times New Roman"/>
          <w:i/>
          <w:iCs/>
          <w:color w:val="000000" w:themeColor="text1"/>
          <w:szCs w:val="24"/>
        </w:rPr>
        <w:t>Smith v. Jackson</w:t>
      </w:r>
      <w:r w:rsidRPr="00454361">
        <w:rPr>
          <w:rFonts w:cs="Times New Roman"/>
          <w:color w:val="000000" w:themeColor="text1"/>
          <w:szCs w:val="24"/>
        </w:rPr>
        <w:t xml:space="preserve">, 84 F.3d 1213, 1220 (9th Cir. 1996), and </w:t>
      </w:r>
      <w:r w:rsidRPr="00454361">
        <w:rPr>
          <w:rFonts w:cs="Times New Roman"/>
          <w:i/>
          <w:iCs/>
          <w:color w:val="000000" w:themeColor="text1"/>
          <w:szCs w:val="24"/>
        </w:rPr>
        <w:t>Baxter v. MCA, Inc.</w:t>
      </w:r>
      <w:r w:rsidRPr="00454361">
        <w:rPr>
          <w:rFonts w:cs="Times New Roman"/>
          <w:color w:val="000000" w:themeColor="text1"/>
          <w:szCs w:val="24"/>
        </w:rPr>
        <w:t>, 812 F.2d 421, 423, 424 n.2 (9th Cir. 1987)).</w:t>
      </w:r>
    </w:p>
    <w:p w14:paraId="775B40EA" w14:textId="77777777" w:rsidR="00454361" w:rsidRPr="00454361" w:rsidRDefault="00454361" w:rsidP="00454361">
      <w:pPr>
        <w:autoSpaceDE w:val="0"/>
        <w:autoSpaceDN w:val="0"/>
        <w:adjustRightInd w:val="0"/>
        <w:rPr>
          <w:rFonts w:cs="Times New Roman"/>
          <w:color w:val="000000" w:themeColor="text1"/>
          <w:szCs w:val="24"/>
        </w:rPr>
      </w:pPr>
    </w:p>
    <w:p w14:paraId="02D63B8F" w14:textId="77777777" w:rsidR="00454361" w:rsidRPr="00454361" w:rsidRDefault="00454361" w:rsidP="00454361">
      <w:pPr>
        <w:autoSpaceDE w:val="0"/>
        <w:autoSpaceDN w:val="0"/>
        <w:adjustRightInd w:val="0"/>
        <w:rPr>
          <w:rFonts w:cs="Times New Roman"/>
          <w:strike/>
          <w:color w:val="000000" w:themeColor="text1"/>
          <w:szCs w:val="24"/>
        </w:rPr>
      </w:pPr>
      <w:r w:rsidRPr="00454361">
        <w:rPr>
          <w:rFonts w:cs="Times New Roman"/>
          <w:color w:val="000000" w:themeColor="text1"/>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454361">
        <w:rPr>
          <w:rFonts w:cs="Times New Roman"/>
          <w:i/>
          <w:iCs/>
          <w:color w:val="000000" w:themeColor="text1"/>
          <w:szCs w:val="24"/>
        </w:rPr>
        <w:t>Three Boys Music</w:t>
      </w:r>
      <w:r w:rsidRPr="00454361">
        <w:rPr>
          <w:rFonts w:cs="Times New Roman"/>
          <w:color w:val="000000" w:themeColor="text1"/>
          <w:szCs w:val="24"/>
        </w:rPr>
        <w:t>, 212 F.3d at 486 (“By establishing reasonable access and substantial similarity, a copyright plaintiff creates a presumption of copying. The burden shifts to the defendant to rebut that presumption through proof of independent creation.” (citing</w:t>
      </w:r>
      <w:r w:rsidRPr="00454361">
        <w:rPr>
          <w:rFonts w:cs="Times New Roman"/>
          <w:i/>
          <w:iCs/>
          <w:color w:val="000000" w:themeColor="text1"/>
          <w:szCs w:val="24"/>
        </w:rPr>
        <w:t xml:space="preserve"> Granite Music Corp. v. United Artists Corp.</w:t>
      </w:r>
      <w:r w:rsidRPr="00454361">
        <w:rPr>
          <w:rFonts w:cs="Times New Roman"/>
          <w:color w:val="000000" w:themeColor="text1"/>
          <w:szCs w:val="24"/>
        </w:rPr>
        <w:t xml:space="preserve">, 532 F.2d 718, 721 (9th Cir. 1976))); </w:t>
      </w:r>
      <w:r w:rsidRPr="00454361">
        <w:rPr>
          <w:rFonts w:cs="Times New Roman"/>
          <w:i/>
          <w:iCs/>
          <w:color w:val="000000" w:themeColor="text1"/>
          <w:szCs w:val="24"/>
        </w:rPr>
        <w:t xml:space="preserve">see also Herbert Rosenthal Jewelry Corp. v. </w:t>
      </w:r>
      <w:proofErr w:type="spellStart"/>
      <w:r w:rsidRPr="00454361">
        <w:rPr>
          <w:rFonts w:cs="Times New Roman"/>
          <w:i/>
          <w:iCs/>
          <w:color w:val="000000" w:themeColor="text1"/>
          <w:szCs w:val="24"/>
        </w:rPr>
        <w:t>Kalpakian</w:t>
      </w:r>
      <w:proofErr w:type="spellEnd"/>
      <w:r w:rsidRPr="00454361">
        <w:rPr>
          <w:rFonts w:cs="Times New Roman"/>
          <w:color w:val="000000" w:themeColor="text1"/>
          <w:szCs w:val="24"/>
        </w:rPr>
        <w:t>, 446 F.2d 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(citations omitted)).</w:t>
      </w:r>
    </w:p>
    <w:p w14:paraId="6FB79BD0" w14:textId="77777777" w:rsidR="00454361" w:rsidRPr="00454361" w:rsidRDefault="00454361" w:rsidP="00454361">
      <w:pPr>
        <w:autoSpaceDE w:val="0"/>
        <w:autoSpaceDN w:val="0"/>
        <w:adjustRightInd w:val="0"/>
        <w:rPr>
          <w:rFonts w:cs="Times New Roman"/>
          <w:color w:val="000000" w:themeColor="text1"/>
          <w:szCs w:val="24"/>
        </w:rPr>
      </w:pPr>
    </w:p>
    <w:p w14:paraId="71E1639D" w14:textId="77777777" w:rsidR="00454361" w:rsidRPr="00454361" w:rsidRDefault="00454361" w:rsidP="00454361">
      <w:pPr>
        <w:autoSpaceDE w:val="0"/>
        <w:autoSpaceDN w:val="0"/>
        <w:adjustRightInd w:val="0"/>
        <w:rPr>
          <w:rFonts w:cs="Times New Roman"/>
          <w:color w:val="000000" w:themeColor="text1"/>
          <w:szCs w:val="24"/>
          <w:u w:val="double"/>
        </w:rPr>
      </w:pPr>
      <w:r w:rsidRPr="00454361">
        <w:rPr>
          <w:rFonts w:cs="Times New Roman"/>
          <w:color w:val="000000" w:themeColor="text1"/>
          <w:szCs w:val="24"/>
        </w:rPr>
        <w:tab/>
        <w:t xml:space="preserve">In </w:t>
      </w:r>
      <w:r w:rsidRPr="00454361">
        <w:rPr>
          <w:rFonts w:cs="Times New Roman"/>
          <w:i/>
          <w:iCs/>
          <w:color w:val="000000" w:themeColor="text1"/>
          <w:szCs w:val="24"/>
        </w:rPr>
        <w:t>Skidmore v. Led Zeppelin</w:t>
      </w:r>
      <w:r w:rsidRPr="00454361">
        <w:rPr>
          <w:rFonts w:cs="Times New Roman"/>
          <w:color w:val="000000" w:themeColor="text1"/>
          <w:szCs w:val="24"/>
        </w:rPr>
        <w:t>,</w:t>
      </w:r>
      <w:r w:rsidRPr="00454361">
        <w:rPr>
          <w:rFonts w:cs="Times New Roman"/>
          <w:strike/>
          <w:color w:val="000000" w:themeColor="text1"/>
          <w:szCs w:val="24"/>
        </w:rPr>
        <w:t xml:space="preserve"> </w:t>
      </w:r>
      <w:r w:rsidRPr="00454361">
        <w:rPr>
          <w:rFonts w:cs="Times New Roman"/>
          <w:color w:val="000000" w:themeColor="text1"/>
          <w:szCs w:val="24"/>
        </w:rPr>
        <w:t>952 F.3d 1051, 1069 (9th Cir. 2020) (</w:t>
      </w:r>
      <w:proofErr w:type="spellStart"/>
      <w:r w:rsidRPr="00454361">
        <w:rPr>
          <w:rFonts w:cs="Times New Roman"/>
          <w:color w:val="000000" w:themeColor="text1"/>
          <w:szCs w:val="24"/>
        </w:rPr>
        <w:t>en</w:t>
      </w:r>
      <w:proofErr w:type="spellEnd"/>
      <w:r w:rsidRPr="00454361">
        <w:rPr>
          <w:rFonts w:cs="Times New Roman"/>
          <w:color w:val="000000" w:themeColor="text1"/>
          <w:szCs w:val="24"/>
        </w:rPr>
        <w:t xml:space="preserve"> banc), the Ninth Circuit rejected the “inverse ratio rule,” which had provided that if a defendant had access to copyrighted work, the plaintiff could show infringement based on a lesser degree of similarity between the copyrighted work and the allegedly infringing work.  “We join the majority of our sister circuits that have considered the inverse ratio rule and have correctly chosen to excise it from copyright analysis.” </w:t>
      </w:r>
      <w:r w:rsidRPr="00454361">
        <w:rPr>
          <w:rFonts w:cs="Times New Roman"/>
          <w:i/>
          <w:iCs/>
          <w:color w:val="000000" w:themeColor="text1"/>
          <w:szCs w:val="24"/>
        </w:rPr>
        <w:t xml:space="preserve"> Id. </w:t>
      </w:r>
    </w:p>
    <w:p w14:paraId="6EB761E9" w14:textId="77777777" w:rsidR="00454361" w:rsidRPr="00454361" w:rsidRDefault="00454361" w:rsidP="00454361">
      <w:pPr>
        <w:autoSpaceDE w:val="0"/>
        <w:autoSpaceDN w:val="0"/>
        <w:adjustRightInd w:val="0"/>
        <w:rPr>
          <w:rFonts w:cs="Times New Roman"/>
          <w:color w:val="000000" w:themeColor="text1"/>
          <w:szCs w:val="24"/>
        </w:rPr>
      </w:pPr>
    </w:p>
    <w:p w14:paraId="0C342CCC" w14:textId="77777777" w:rsidR="00454361" w:rsidRPr="00454361" w:rsidRDefault="00454361" w:rsidP="00454361">
      <w:pPr>
        <w:autoSpaceDE w:val="0"/>
        <w:autoSpaceDN w:val="0"/>
        <w:adjustRightInd w:val="0"/>
        <w:rPr>
          <w:rFonts w:cs="Times New Roman"/>
          <w:color w:val="000000" w:themeColor="text1"/>
          <w:szCs w:val="24"/>
        </w:rPr>
      </w:pPr>
    </w:p>
    <w:p w14:paraId="48A7390B" w14:textId="77777777" w:rsidR="00454361" w:rsidRPr="00454361" w:rsidRDefault="00454361" w:rsidP="00454361">
      <w:pPr>
        <w:autoSpaceDE w:val="0"/>
        <w:autoSpaceDN w:val="0"/>
        <w:adjustRightInd w:val="0"/>
        <w:jc w:val="right"/>
        <w:rPr>
          <w:rFonts w:cs="Times New Roman"/>
          <w:i/>
          <w:iCs/>
          <w:color w:val="000000" w:themeColor="text1"/>
          <w:szCs w:val="24"/>
        </w:rPr>
      </w:pPr>
      <w:r w:rsidRPr="00454361">
        <w:rPr>
          <w:rFonts w:cs="Times New Roman"/>
          <w:i/>
          <w:iCs/>
          <w:color w:val="000000" w:themeColor="text1"/>
          <w:szCs w:val="24"/>
        </w:rPr>
        <w:t>Revised June 2022</w:t>
      </w:r>
    </w:p>
    <w:p w14:paraId="524437E8" w14:textId="77777777" w:rsidR="00454361" w:rsidRPr="00454361" w:rsidRDefault="00454361" w:rsidP="00454361">
      <w:pPr>
        <w:spacing w:after="160" w:line="259" w:lineRule="auto"/>
        <w:rPr>
          <w:rFonts w:asciiTheme="minorHAnsi" w:hAnsiTheme="minorHAnsi"/>
          <w:color w:val="000000" w:themeColor="text1"/>
          <w:sz w:val="22"/>
        </w:rPr>
      </w:pPr>
    </w:p>
    <w:p w14:paraId="45941523" w14:textId="1E21A21D" w:rsidR="006A4CD7" w:rsidRPr="006A4CD7" w:rsidRDefault="006A4CD7" w:rsidP="00454361">
      <w:pPr>
        <w:autoSpaceDE w:val="0"/>
        <w:autoSpaceDN w:val="0"/>
        <w:adjustRightInd w:val="0"/>
        <w:rPr>
          <w:rFonts w:cs="Times New Roman"/>
          <w:szCs w:val="24"/>
        </w:rPr>
      </w:pPr>
    </w:p>
    <w:p w14:paraId="5CFBC83D" w14:textId="37DCBC93" w:rsidR="006A4CD7" w:rsidRPr="006A4CD7" w:rsidRDefault="006A4CD7" w:rsidP="008E5DC5">
      <w:pPr>
        <w:pStyle w:val="Heading2"/>
      </w:pPr>
      <w:r w:rsidRPr="006A4CD7">
        <w:br w:type="page"/>
      </w:r>
      <w:bookmarkStart w:id="319" w:name="_Toc117512596"/>
      <w:r w:rsidRPr="006A4CD7">
        <w:t xml:space="preserve">17.18 </w:t>
      </w:r>
      <w:r w:rsidR="00646BCE" w:rsidRPr="00646BCE">
        <w:t>Copyright Infringement—Copying—Access Defined</w:t>
      </w:r>
      <w:bookmarkEnd w:id="319"/>
    </w:p>
    <w:p w14:paraId="423DB4E9" w14:textId="77777777" w:rsidR="006A4CD7" w:rsidRPr="006A4CD7" w:rsidRDefault="006A4CD7" w:rsidP="0060759C">
      <w:pPr>
        <w:autoSpaceDE w:val="0"/>
        <w:autoSpaceDN w:val="0"/>
        <w:adjustRightInd w:val="0"/>
        <w:rPr>
          <w:rFonts w:cs="Times New Roman"/>
          <w:szCs w:val="24"/>
        </w:rPr>
      </w:pPr>
    </w:p>
    <w:p w14:paraId="545225EF" w14:textId="71B31EE8"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FB5993F"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 xml:space="preserve">See Sid &amp; Marty </w:t>
      </w:r>
      <w:proofErr w:type="spellStart"/>
      <w:r w:rsidRPr="006A4CD7">
        <w:rPr>
          <w:rFonts w:cs="Times New Roman"/>
          <w:i/>
          <w:iCs/>
          <w:szCs w:val="24"/>
        </w:rPr>
        <w:t>Krofft</w:t>
      </w:r>
      <w:proofErr w:type="spellEnd"/>
      <w:r w:rsidRPr="006A4CD7">
        <w:rPr>
          <w:rFonts w:cs="Times New Roman"/>
          <w:i/>
          <w:iCs/>
          <w:szCs w:val="24"/>
        </w:rPr>
        <w:t xml:space="preserve">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4C5068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w:t>
      </w:r>
      <w:proofErr w:type="spellStart"/>
      <w:r w:rsidRPr="006A4CD7">
        <w:rPr>
          <w:rFonts w:cs="Times New Roman"/>
          <w:szCs w:val="24"/>
        </w:rPr>
        <w:t>Nimmer</w:t>
      </w:r>
      <w:proofErr w:type="spellEnd"/>
      <w:r w:rsidRPr="006A4CD7">
        <w:rPr>
          <w:rFonts w:cs="Times New Roman"/>
          <w:szCs w:val="24"/>
        </w:rPr>
        <w:t xml:space="preserve"> &amp; D. </w:t>
      </w:r>
      <w:proofErr w:type="spellStart"/>
      <w:r w:rsidRPr="006A4CD7">
        <w:rPr>
          <w:rFonts w:cs="Times New Roman"/>
          <w:szCs w:val="24"/>
        </w:rPr>
        <w:t>Nimmer</w:t>
      </w:r>
      <w:proofErr w:type="spellEnd"/>
      <w:r w:rsidRPr="006A4CD7">
        <w:rPr>
          <w:rFonts w:cs="Times New Roman"/>
          <w:szCs w:val="24"/>
        </w:rPr>
        <w:t xml:space="preserve">, </w:t>
      </w:r>
      <w:proofErr w:type="spellStart"/>
      <w:r w:rsidRPr="006A4CD7">
        <w:rPr>
          <w:rFonts w:cs="Times New Roman"/>
          <w:smallCaps/>
          <w:szCs w:val="24"/>
        </w:rPr>
        <w:t>Nimmer</w:t>
      </w:r>
      <w:proofErr w:type="spellEnd"/>
      <w:r w:rsidRPr="006A4CD7">
        <w:rPr>
          <w:rFonts w:cs="Times New Roman"/>
          <w:smallCaps/>
          <w:szCs w:val="24"/>
        </w:rPr>
        <w:t xml:space="preserve">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 xml:space="preserve">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657 F.2d 1059 (9th Cir. 1981) (finding access shown by dealings between parties and third party on chain of events theory relating to same subject matter).  When the subject matter of dealings between parties and the third party differs, the chain is broken</w:t>
      </w:r>
      <w:r w:rsidR="009262BE">
        <w:rPr>
          <w:rFonts w:cs="Times New Roman"/>
          <w:szCs w:val="24"/>
        </w:rPr>
        <w:t>,</w:t>
      </w:r>
      <w:r w:rsidRPr="006A4CD7">
        <w:rPr>
          <w:rFonts w:cs="Times New Roman"/>
          <w:szCs w:val="24"/>
        </w:rPr>
        <w:t xml:space="preserve"> and access is not shown.  </w:t>
      </w:r>
      <w:r w:rsidRPr="006A4CD7">
        <w:rPr>
          <w:rFonts w:cs="Times New Roman"/>
          <w:i/>
          <w:iCs/>
          <w:szCs w:val="24"/>
        </w:rPr>
        <w:t xml:space="preserve">See Gable v. </w:t>
      </w:r>
      <w:proofErr w:type="spellStart"/>
      <w:r w:rsidRPr="006A4CD7">
        <w:rPr>
          <w:rFonts w:cs="Times New Roman"/>
          <w:i/>
          <w:iCs/>
          <w:szCs w:val="24"/>
        </w:rPr>
        <w:t>Nat’l</w:t>
      </w:r>
      <w:proofErr w:type="spellEnd"/>
      <w:r w:rsidRPr="006A4CD7">
        <w:rPr>
          <w:rFonts w:cs="Times New Roman"/>
          <w:i/>
          <w:iCs/>
          <w:szCs w:val="24"/>
        </w:rPr>
        <w:t xml:space="preserve">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(citation omitted).</w:t>
      </w:r>
    </w:p>
    <w:p w14:paraId="237BC3AF" w14:textId="77777777" w:rsidR="008E5DC5" w:rsidRPr="006A4CD7" w:rsidRDefault="008E5DC5" w:rsidP="0060759C">
      <w:pPr>
        <w:autoSpaceDE w:val="0"/>
        <w:autoSpaceDN w:val="0"/>
        <w:adjustRightInd w:val="0"/>
        <w:rPr>
          <w:rFonts w:cs="Times New Roman"/>
          <w:szCs w:val="24"/>
        </w:rPr>
      </w:pPr>
    </w:p>
    <w:p w14:paraId="5E0EE04C" w14:textId="713FABC3" w:rsidR="006A4CD7" w:rsidRPr="006A4CD7" w:rsidRDefault="006A4CD7" w:rsidP="008E5DC5">
      <w:pPr>
        <w:pStyle w:val="Heading2"/>
      </w:pPr>
      <w:r w:rsidRPr="006A4CD7">
        <w:br w:type="page"/>
      </w:r>
      <w:bookmarkStart w:id="320" w:name="_Toc117512597"/>
      <w:r w:rsidRPr="006A4CD7">
        <w:t xml:space="preserve">17.19 </w:t>
      </w:r>
      <w:r w:rsidR="00646BCE" w:rsidRPr="00646BCE">
        <w:t>Substantial Similarity—Extrinsic Test; Intrinsic Test</w:t>
      </w:r>
      <w:bookmarkEnd w:id="320"/>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2D176CF7" w14:textId="77777777" w:rsidR="00454361" w:rsidRPr="00454361" w:rsidRDefault="006A4CD7" w:rsidP="00454361">
      <w:pPr>
        <w:autoSpaceDE w:val="0"/>
        <w:autoSpaceDN w:val="0"/>
        <w:adjustRightInd w:val="0"/>
        <w:rPr>
          <w:rFonts w:cs="Times New Roman"/>
          <w:color w:val="000000" w:themeColor="text1"/>
          <w:szCs w:val="24"/>
        </w:rPr>
      </w:pPr>
      <w:r w:rsidRPr="006A4CD7">
        <w:rPr>
          <w:rFonts w:cs="Times New Roman"/>
          <w:szCs w:val="24"/>
        </w:rPr>
        <w:tab/>
      </w:r>
      <w:r w:rsidR="00454361" w:rsidRPr="00454361">
        <w:rPr>
          <w:rFonts w:cs="Times New Roman"/>
          <w:color w:val="000000" w:themeColor="text1"/>
          <w:szCs w:val="24"/>
        </w:rPr>
        <w:t xml:space="preserve">As the Ninth Circuit confirmed in </w:t>
      </w:r>
      <w:proofErr w:type="spellStart"/>
      <w:r w:rsidR="00454361" w:rsidRPr="00454361">
        <w:rPr>
          <w:rFonts w:cs="Times New Roman"/>
          <w:i/>
          <w:iCs/>
          <w:color w:val="000000" w:themeColor="text1"/>
          <w:szCs w:val="24"/>
        </w:rPr>
        <w:t>Antonick</w:t>
      </w:r>
      <w:proofErr w:type="spellEnd"/>
      <w:r w:rsidR="00454361" w:rsidRPr="00454361">
        <w:rPr>
          <w:rFonts w:cs="Times New Roman"/>
          <w:i/>
          <w:iCs/>
          <w:color w:val="000000" w:themeColor="text1"/>
          <w:szCs w:val="24"/>
        </w:rPr>
        <w:t xml:space="preserve"> v. Elec. Arts, Inc</w:t>
      </w:r>
      <w:r w:rsidR="00454361" w:rsidRPr="00454361">
        <w:rPr>
          <w:rFonts w:cs="Times New Roman"/>
          <w:color w:val="000000" w:themeColor="text1"/>
          <w:szCs w:val="24"/>
        </w:rPr>
        <w:t>., 841 F.3d 1062 (9th Cir. 2016), the court employs a two-part test for determining whether one work is substantially similar to another:</w:t>
      </w:r>
    </w:p>
    <w:p w14:paraId="76BC07F5" w14:textId="77777777" w:rsidR="00454361" w:rsidRPr="00454361" w:rsidRDefault="00454361" w:rsidP="00454361">
      <w:pPr>
        <w:autoSpaceDE w:val="0"/>
        <w:autoSpaceDN w:val="0"/>
        <w:adjustRightInd w:val="0"/>
        <w:rPr>
          <w:rFonts w:cs="Times New Roman"/>
          <w:color w:val="000000" w:themeColor="text1"/>
          <w:szCs w:val="24"/>
        </w:rPr>
      </w:pPr>
    </w:p>
    <w:p w14:paraId="268A461B" w14:textId="77777777" w:rsidR="00454361" w:rsidRPr="00454361" w:rsidRDefault="00454361" w:rsidP="00454361">
      <w:pPr>
        <w:autoSpaceDE w:val="0"/>
        <w:autoSpaceDN w:val="0"/>
        <w:adjustRightInd w:val="0"/>
        <w:ind w:left="720" w:right="720"/>
        <w:jc w:val="both"/>
        <w:rPr>
          <w:rFonts w:cs="Times New Roman"/>
          <w:color w:val="000000" w:themeColor="text1"/>
          <w:szCs w:val="24"/>
        </w:rPr>
      </w:pPr>
      <w:r w:rsidRPr="00454361">
        <w:rPr>
          <w:rFonts w:cs="Times New Roman"/>
          <w:color w:val="000000" w:themeColor="text1"/>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21B03647" w14:textId="77777777" w:rsidR="00454361" w:rsidRPr="00454361" w:rsidRDefault="00454361" w:rsidP="00454361">
      <w:pPr>
        <w:autoSpaceDE w:val="0"/>
        <w:autoSpaceDN w:val="0"/>
        <w:adjustRightInd w:val="0"/>
        <w:rPr>
          <w:rFonts w:cs="Times New Roman"/>
          <w:color w:val="000000" w:themeColor="text1"/>
          <w:szCs w:val="24"/>
        </w:rPr>
      </w:pPr>
    </w:p>
    <w:p w14:paraId="001F0BA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i/>
          <w:iCs/>
          <w:color w:val="000000" w:themeColor="text1"/>
          <w:szCs w:val="24"/>
        </w:rPr>
        <w:t>Id</w:t>
      </w:r>
      <w:r w:rsidRPr="00454361">
        <w:rPr>
          <w:rFonts w:cs="Times New Roman"/>
          <w:color w:val="000000" w:themeColor="text1"/>
          <w:szCs w:val="24"/>
        </w:rPr>
        <w:t xml:space="preserve">. at 1065-66; </w:t>
      </w:r>
      <w:r w:rsidRPr="00454361">
        <w:rPr>
          <w:rFonts w:cs="Times New Roman"/>
          <w:i/>
          <w:iCs/>
          <w:color w:val="000000" w:themeColor="text1"/>
          <w:szCs w:val="24"/>
        </w:rPr>
        <w:t>see also Williams v. Gaye</w:t>
      </w:r>
      <w:r w:rsidRPr="00454361">
        <w:rPr>
          <w:rFonts w:cs="Times New Roman"/>
          <w:color w:val="000000" w:themeColor="text1"/>
          <w:szCs w:val="24"/>
        </w:rPr>
        <w:t>, 885 F.3d 1150, 1163 (9th Cir. 2018) (approving instructions and explaining that extrinsic test requires “analytical dissection of a work and expert testimony”).  If the plaintiff cannot prove substantial similarity under either the extrinsic test or</w:t>
      </w:r>
    </w:p>
    <w:p w14:paraId="420FA312" w14:textId="77777777" w:rsidR="00454361" w:rsidRPr="00454361" w:rsidRDefault="00454361" w:rsidP="00454361">
      <w:pPr>
        <w:autoSpaceDE w:val="0"/>
        <w:autoSpaceDN w:val="0"/>
        <w:adjustRightInd w:val="0"/>
        <w:rPr>
          <w:rFonts w:cs="Times New Roman"/>
          <w:i/>
          <w:iCs/>
          <w:color w:val="000000" w:themeColor="text1"/>
          <w:szCs w:val="24"/>
        </w:rPr>
      </w:pPr>
      <w:r w:rsidRPr="00454361">
        <w:rPr>
          <w:rFonts w:cs="Times New Roman"/>
          <w:color w:val="000000" w:themeColor="text1"/>
          <w:szCs w:val="24"/>
        </w:rPr>
        <w:t xml:space="preserve">the intrinsic test, the plaintiff’s claim should fail.  </w:t>
      </w:r>
      <w:r w:rsidRPr="00454361">
        <w:rPr>
          <w:rFonts w:cs="Times New Roman"/>
          <w:i/>
          <w:iCs/>
          <w:color w:val="000000" w:themeColor="text1"/>
          <w:szCs w:val="24"/>
        </w:rPr>
        <w:t>See Skidmore as Tr. for Randy Craig Wolfe Tr.</w:t>
      </w:r>
    </w:p>
    <w:p w14:paraId="6CEFBE5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i/>
          <w:iCs/>
          <w:color w:val="000000" w:themeColor="text1"/>
          <w:szCs w:val="24"/>
        </w:rPr>
        <w:t>v. Led Zeppelin</w:t>
      </w:r>
      <w:r w:rsidRPr="00454361">
        <w:rPr>
          <w:rFonts w:cs="Times New Roman"/>
          <w:color w:val="000000" w:themeColor="text1"/>
          <w:szCs w:val="24"/>
        </w:rPr>
        <w:t>, 952 F.3d 1051, 1064 (9th Cir. 2020) (</w:t>
      </w:r>
      <w:proofErr w:type="spellStart"/>
      <w:r w:rsidRPr="00454361">
        <w:rPr>
          <w:rFonts w:cs="Times New Roman"/>
          <w:color w:val="000000" w:themeColor="text1"/>
          <w:szCs w:val="24"/>
        </w:rPr>
        <w:t>en</w:t>
      </w:r>
      <w:proofErr w:type="spellEnd"/>
      <w:r w:rsidRPr="00454361">
        <w:rPr>
          <w:rFonts w:cs="Times New Roman"/>
          <w:color w:val="000000" w:themeColor="text1"/>
          <w:szCs w:val="24"/>
        </w:rPr>
        <w:t xml:space="preserve"> banc) (“[b]</w:t>
      </w:r>
      <w:proofErr w:type="spellStart"/>
      <w:r w:rsidRPr="00454361">
        <w:rPr>
          <w:rFonts w:cs="Times New Roman"/>
          <w:color w:val="000000" w:themeColor="text1"/>
          <w:szCs w:val="24"/>
        </w:rPr>
        <w:t>oth</w:t>
      </w:r>
      <w:proofErr w:type="spellEnd"/>
      <w:r w:rsidRPr="00454361">
        <w:rPr>
          <w:rFonts w:cs="Times New Roman"/>
          <w:color w:val="000000" w:themeColor="text1"/>
          <w:szCs w:val="24"/>
        </w:rPr>
        <w:t xml:space="preserve"> tests must be satisfied</w:t>
      </w:r>
    </w:p>
    <w:p w14:paraId="4466A8F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for the works to be deemed substantially similar”).</w:t>
      </w:r>
    </w:p>
    <w:p w14:paraId="316CC19B" w14:textId="77777777" w:rsidR="00454361" w:rsidRPr="00454361" w:rsidRDefault="00454361" w:rsidP="00454361">
      <w:pPr>
        <w:autoSpaceDE w:val="0"/>
        <w:autoSpaceDN w:val="0"/>
        <w:adjustRightInd w:val="0"/>
        <w:rPr>
          <w:rFonts w:cs="Times New Roman"/>
          <w:color w:val="000000" w:themeColor="text1"/>
          <w:szCs w:val="24"/>
        </w:rPr>
      </w:pPr>
    </w:p>
    <w:p w14:paraId="344C21CA" w14:textId="77777777" w:rsidR="00454361" w:rsidRPr="00454361" w:rsidRDefault="00454361" w:rsidP="00454361">
      <w:pPr>
        <w:autoSpaceDE w:val="0"/>
        <w:autoSpaceDN w:val="0"/>
        <w:adjustRightInd w:val="0"/>
        <w:ind w:firstLine="720"/>
        <w:rPr>
          <w:rFonts w:cs="Times New Roman"/>
          <w:color w:val="000000" w:themeColor="text1"/>
          <w:szCs w:val="24"/>
        </w:rPr>
      </w:pPr>
      <w:r w:rsidRPr="00454361">
        <w:rPr>
          <w:rFonts w:cs="Times New Roman"/>
          <w:color w:val="000000" w:themeColor="text1"/>
          <w:szCs w:val="24"/>
        </w:rPr>
        <w:t>The Committee recommends that the court and counsel specifically craft instructions on substantial similarity based on the particular work(s) at issue, the copyright in question, and the evidence developed at trial.  The following cases may provide guidance in formulating substantial similarity instructions in specific subject areas:</w:t>
      </w:r>
    </w:p>
    <w:p w14:paraId="67B90AFC" w14:textId="77777777" w:rsidR="00454361" w:rsidRPr="00454361" w:rsidRDefault="00454361" w:rsidP="00454361">
      <w:pPr>
        <w:autoSpaceDE w:val="0"/>
        <w:autoSpaceDN w:val="0"/>
        <w:adjustRightInd w:val="0"/>
        <w:rPr>
          <w:rFonts w:cs="Times New Roman"/>
          <w:color w:val="000000" w:themeColor="text1"/>
          <w:szCs w:val="24"/>
        </w:rPr>
      </w:pPr>
    </w:p>
    <w:p w14:paraId="40E76620"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Literary or Dramatic Works:</w:t>
      </w:r>
      <w:r w:rsidRPr="00454361">
        <w:rPr>
          <w:rFonts w:cs="Times New Roman"/>
          <w:color w:val="000000" w:themeColor="text1"/>
          <w:szCs w:val="24"/>
        </w:rPr>
        <w:t xml:space="preserve"> </w:t>
      </w:r>
      <w:r w:rsidRPr="00454361">
        <w:rPr>
          <w:rFonts w:cs="Times New Roman"/>
          <w:i/>
          <w:iCs/>
          <w:color w:val="000000" w:themeColor="text1"/>
          <w:szCs w:val="24"/>
        </w:rPr>
        <w:t xml:space="preserve"> Shaw v. </w:t>
      </w:r>
      <w:proofErr w:type="spellStart"/>
      <w:r w:rsidRPr="00454361">
        <w:rPr>
          <w:rFonts w:cs="Times New Roman"/>
          <w:i/>
          <w:iCs/>
          <w:color w:val="000000" w:themeColor="text1"/>
          <w:szCs w:val="24"/>
        </w:rPr>
        <w:t>Lindheim</w:t>
      </w:r>
      <w:proofErr w:type="spellEnd"/>
      <w:r w:rsidRPr="00454361">
        <w:rPr>
          <w:rFonts w:cs="Times New Roman"/>
          <w:color w:val="000000" w:themeColor="text1"/>
          <w:szCs w:val="24"/>
        </w:rPr>
        <w:t>, 919 F.2d 1353, 1357 (9th Cir. 1990);</w:t>
      </w:r>
      <w:r w:rsidRPr="00454361">
        <w:rPr>
          <w:rFonts w:cs="Times New Roman"/>
          <w:i/>
          <w:iCs/>
          <w:color w:val="000000" w:themeColor="text1"/>
          <w:szCs w:val="24"/>
        </w:rPr>
        <w:t xml:space="preserve"> Sid &amp; Marty </w:t>
      </w:r>
      <w:proofErr w:type="spellStart"/>
      <w:r w:rsidRPr="00454361">
        <w:rPr>
          <w:rFonts w:cs="Times New Roman"/>
          <w:i/>
          <w:iCs/>
          <w:color w:val="000000" w:themeColor="text1"/>
          <w:szCs w:val="24"/>
        </w:rPr>
        <w:t>Krofft</w:t>
      </w:r>
      <w:proofErr w:type="spellEnd"/>
      <w:r w:rsidRPr="00454361">
        <w:rPr>
          <w:rFonts w:cs="Times New Roman"/>
          <w:i/>
          <w:iCs/>
          <w:color w:val="000000" w:themeColor="text1"/>
          <w:szCs w:val="24"/>
        </w:rPr>
        <w:t xml:space="preserve"> Television Prods. v. McDonald’s Corp.</w:t>
      </w:r>
      <w:r w:rsidRPr="00454361">
        <w:rPr>
          <w:rFonts w:cs="Times New Roman"/>
          <w:color w:val="000000" w:themeColor="text1"/>
          <w:szCs w:val="24"/>
        </w:rPr>
        <w:t xml:space="preserve">, 562 F.2d 1157, 1164 (9th Cir. 1977) (holding that commercials infringed television production; applying specific criteria to assessment of substantial similarity); </w:t>
      </w:r>
      <w:r w:rsidRPr="00454361">
        <w:rPr>
          <w:rFonts w:cs="Times New Roman"/>
          <w:i/>
          <w:iCs/>
          <w:color w:val="000000" w:themeColor="text1"/>
          <w:szCs w:val="24"/>
        </w:rPr>
        <w:t>see also</w:t>
      </w:r>
      <w:r w:rsidRPr="00454361">
        <w:rPr>
          <w:rFonts w:cs="Times New Roman"/>
          <w:color w:val="000000" w:themeColor="text1"/>
          <w:szCs w:val="24"/>
        </w:rPr>
        <w:t xml:space="preserve"> </w:t>
      </w:r>
      <w:proofErr w:type="spellStart"/>
      <w:r w:rsidRPr="00454361">
        <w:rPr>
          <w:rFonts w:cs="Times New Roman"/>
          <w:i/>
          <w:iCs/>
          <w:color w:val="000000" w:themeColor="text1"/>
          <w:szCs w:val="24"/>
        </w:rPr>
        <w:t>Corbello</w:t>
      </w:r>
      <w:proofErr w:type="spellEnd"/>
      <w:r w:rsidRPr="00454361">
        <w:rPr>
          <w:rFonts w:cs="Times New Roman"/>
          <w:i/>
          <w:iCs/>
          <w:color w:val="000000" w:themeColor="text1"/>
          <w:szCs w:val="24"/>
        </w:rPr>
        <w:t xml:space="preserve"> v. </w:t>
      </w:r>
      <w:r w:rsidRPr="00454361">
        <w:rPr>
          <w:rFonts w:cs="Times New Roman"/>
          <w:color w:val="000000" w:themeColor="text1"/>
          <w:szCs w:val="24"/>
        </w:rPr>
        <w:t xml:space="preserve">Valli, 974 F.3d 965, 975 (9th Cir. 2020) (applying extrinsic test for similarity to elements of challenged work that are undisputedly factual); </w:t>
      </w:r>
      <w:r w:rsidRPr="00454361">
        <w:rPr>
          <w:rFonts w:cs="Times New Roman"/>
          <w:i/>
          <w:iCs/>
          <w:color w:val="000000" w:themeColor="text1"/>
          <w:szCs w:val="24"/>
        </w:rPr>
        <w:t>Metcalf v. Bochco</w:t>
      </w:r>
      <w:r w:rsidRPr="00454361">
        <w:rPr>
          <w:rFonts w:cs="Times New Roman"/>
          <w:color w:val="000000" w:themeColor="text1"/>
          <w:szCs w:val="24"/>
        </w:rPr>
        <w:t xml:space="preserve">, 294 F.3d 1069, 1073-74 (9th Cir. 2002) (applying </w:t>
      </w:r>
      <w:r w:rsidRPr="00454361">
        <w:rPr>
          <w:rFonts w:cs="Times New Roman"/>
          <w:i/>
          <w:iCs/>
          <w:color w:val="000000" w:themeColor="text1"/>
          <w:szCs w:val="24"/>
        </w:rPr>
        <w:t xml:space="preserve">Shaw </w:t>
      </w:r>
      <w:r w:rsidRPr="00454361">
        <w:rPr>
          <w:rFonts w:cs="Times New Roman"/>
          <w:color w:val="000000" w:themeColor="text1"/>
          <w:szCs w:val="24"/>
        </w:rPr>
        <w:t>factors applied to screenplay for television show);</w:t>
      </w:r>
      <w:r w:rsidRPr="00454361">
        <w:rPr>
          <w:rFonts w:cs="Times New Roman"/>
          <w:i/>
          <w:iCs/>
          <w:color w:val="000000" w:themeColor="text1"/>
          <w:szCs w:val="24"/>
        </w:rPr>
        <w:t xml:space="preserve"> </w:t>
      </w:r>
      <w:proofErr w:type="spellStart"/>
      <w:r w:rsidRPr="00454361">
        <w:rPr>
          <w:rFonts w:cs="Times New Roman"/>
          <w:i/>
          <w:iCs/>
          <w:color w:val="000000" w:themeColor="text1"/>
          <w:szCs w:val="24"/>
        </w:rPr>
        <w:t>Pasillas</w:t>
      </w:r>
      <w:proofErr w:type="spellEnd"/>
      <w:r w:rsidRPr="00454361">
        <w:rPr>
          <w:rFonts w:cs="Times New Roman"/>
          <w:i/>
          <w:iCs/>
          <w:color w:val="000000" w:themeColor="text1"/>
          <w:szCs w:val="24"/>
        </w:rPr>
        <w:t xml:space="preserve"> v. McDonald’s Corp.</w:t>
      </w:r>
      <w:r w:rsidRPr="00454361">
        <w:rPr>
          <w:rFonts w:cs="Times New Roman"/>
          <w:color w:val="000000" w:themeColor="text1"/>
          <w:szCs w:val="24"/>
        </w:rPr>
        <w:t xml:space="preserve">, 927 F.2d 440, 442-43 (9th Cir. 1991) (noting that </w:t>
      </w:r>
      <w:r w:rsidRPr="00454361">
        <w:rPr>
          <w:rFonts w:cs="Times New Roman"/>
          <w:i/>
          <w:iCs/>
          <w:color w:val="000000" w:themeColor="text1"/>
          <w:szCs w:val="24"/>
        </w:rPr>
        <w:t>Shaw</w:t>
      </w:r>
      <w:r w:rsidRPr="00454361">
        <w:rPr>
          <w:rFonts w:cs="Times New Roman"/>
          <w:color w:val="000000" w:themeColor="text1"/>
          <w:szCs w:val="24"/>
        </w:rPr>
        <w:t xml:space="preserve"> “is explicitly limited to literary works” and </w:t>
      </w:r>
      <w:proofErr w:type="spellStart"/>
      <w:r w:rsidRPr="00454361">
        <w:rPr>
          <w:rFonts w:cs="Times New Roman"/>
          <w:i/>
          <w:iCs/>
          <w:color w:val="000000" w:themeColor="text1"/>
          <w:szCs w:val="24"/>
        </w:rPr>
        <w:t>Krofft</w:t>
      </w:r>
      <w:proofErr w:type="spellEnd"/>
      <w:r w:rsidRPr="00454361">
        <w:rPr>
          <w:rFonts w:cs="Times New Roman"/>
          <w:color w:val="000000" w:themeColor="text1"/>
          <w:szCs w:val="24"/>
        </w:rPr>
        <w:t xml:space="preserve"> test is still applicable to other than dramatic or literary works).</w:t>
      </w:r>
    </w:p>
    <w:p w14:paraId="0845A7C7"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73424213"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Musical Compositions:</w:t>
      </w:r>
      <w:r w:rsidRPr="00454361">
        <w:rPr>
          <w:rFonts w:cs="Times New Roman"/>
          <w:color w:val="000000" w:themeColor="text1"/>
          <w:szCs w:val="24"/>
        </w:rPr>
        <w:t xml:space="preserve"> </w:t>
      </w:r>
      <w:r w:rsidRPr="00454361">
        <w:rPr>
          <w:rFonts w:cs="Times New Roman"/>
          <w:i/>
          <w:iCs/>
          <w:color w:val="000000" w:themeColor="text1"/>
          <w:szCs w:val="24"/>
        </w:rPr>
        <w:t>Gray v. Hudson</w:t>
      </w:r>
      <w:r w:rsidRPr="00454361">
        <w:rPr>
          <w:rFonts w:cs="Times New Roman"/>
          <w:color w:val="000000" w:themeColor="text1"/>
          <w:szCs w:val="24"/>
        </w:rPr>
        <w:t>, 28 F.4th 87, 97 (9th Cir. 2022) (applying extrinsic</w:t>
      </w:r>
    </w:p>
    <w:p w14:paraId="4FEDC95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test and noting that protection for original expression does not extend to ideas, concepts,</w:t>
      </w:r>
    </w:p>
    <w:p w14:paraId="7052D55D"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common or trite musical elements, or commonplace elements firmly rooted in genre’s</w:t>
      </w:r>
    </w:p>
    <w:p w14:paraId="34D05629"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 xml:space="preserve">tradition) (citing </w:t>
      </w:r>
      <w:r w:rsidRPr="00454361">
        <w:rPr>
          <w:rFonts w:cs="Times New Roman"/>
          <w:i/>
          <w:iCs/>
          <w:color w:val="000000" w:themeColor="text1"/>
          <w:szCs w:val="24"/>
        </w:rPr>
        <w:t>Skidmore</w:t>
      </w:r>
      <w:r w:rsidRPr="00454361">
        <w:rPr>
          <w:rFonts w:cs="Times New Roman"/>
          <w:color w:val="000000" w:themeColor="text1"/>
          <w:szCs w:val="24"/>
        </w:rPr>
        <w:t>, 952 F.3d at 1069);</w:t>
      </w:r>
      <w:r w:rsidRPr="00454361">
        <w:rPr>
          <w:rFonts w:cs="Times New Roman"/>
          <w:i/>
          <w:iCs/>
          <w:color w:val="000000" w:themeColor="text1"/>
          <w:szCs w:val="24"/>
        </w:rPr>
        <w:t xml:space="preserve"> </w:t>
      </w:r>
      <w:proofErr w:type="spellStart"/>
      <w:r w:rsidRPr="00454361">
        <w:rPr>
          <w:rFonts w:cs="Times New Roman"/>
          <w:i/>
          <w:iCs/>
          <w:color w:val="000000" w:themeColor="text1"/>
          <w:szCs w:val="24"/>
        </w:rPr>
        <w:t>Swirsky</w:t>
      </w:r>
      <w:proofErr w:type="spellEnd"/>
      <w:r w:rsidRPr="00454361">
        <w:rPr>
          <w:rFonts w:cs="Times New Roman"/>
          <w:i/>
          <w:iCs/>
          <w:color w:val="000000" w:themeColor="text1"/>
          <w:szCs w:val="24"/>
        </w:rPr>
        <w:t xml:space="preserve"> v. Carey</w:t>
      </w:r>
      <w:r w:rsidRPr="00454361">
        <w:rPr>
          <w:rFonts w:cs="Times New Roman"/>
          <w:color w:val="000000" w:themeColor="text1"/>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454361">
        <w:rPr>
          <w:rFonts w:cs="Times New Roman"/>
          <w:i/>
          <w:iCs/>
          <w:color w:val="000000" w:themeColor="text1"/>
          <w:szCs w:val="24"/>
        </w:rPr>
        <w:t>Newton v. Diamond</w:t>
      </w:r>
      <w:r w:rsidRPr="00454361">
        <w:rPr>
          <w:rFonts w:cs="Times New Roman"/>
          <w:color w:val="000000" w:themeColor="text1"/>
          <w:szCs w:val="24"/>
        </w:rPr>
        <w:t>, 388 F.3d 1189, 1196 (9th Cir. 2003) (noting musical elements);</w:t>
      </w:r>
      <w:r w:rsidRPr="00454361">
        <w:rPr>
          <w:rFonts w:cs="Times New Roman"/>
          <w:i/>
          <w:iCs/>
          <w:color w:val="000000" w:themeColor="text1"/>
          <w:szCs w:val="24"/>
        </w:rPr>
        <w:t xml:space="preserve"> Three Boys Music Corp. v. Bolton</w:t>
      </w:r>
      <w:r w:rsidRPr="00454361">
        <w:rPr>
          <w:rFonts w:cs="Times New Roman"/>
          <w:color w:val="000000" w:themeColor="text1"/>
          <w:szCs w:val="24"/>
        </w:rPr>
        <w:t xml:space="preserve">, 212 F.3d 477, 485-86 (9th Cir. 2000) (identifying “areas” of similarity of musical works); </w:t>
      </w:r>
      <w:r w:rsidRPr="00454361">
        <w:rPr>
          <w:rFonts w:cs="Times New Roman"/>
          <w:i/>
          <w:iCs/>
          <w:color w:val="000000" w:themeColor="text1"/>
          <w:szCs w:val="24"/>
        </w:rPr>
        <w:t>Williams</w:t>
      </w:r>
      <w:r w:rsidRPr="00454361">
        <w:rPr>
          <w:rFonts w:cs="Times New Roman"/>
          <w:color w:val="000000" w:themeColor="text1"/>
          <w:szCs w:val="24"/>
        </w:rPr>
        <w:t xml:space="preserve">, 885 F.3d at 1164 (noting that musical compositions are not “confined to a narrow range of expression”).  In </w:t>
      </w:r>
      <w:r w:rsidRPr="00454361">
        <w:rPr>
          <w:rFonts w:cs="Times New Roman"/>
          <w:i/>
          <w:iCs/>
          <w:color w:val="000000" w:themeColor="text1"/>
          <w:szCs w:val="24"/>
        </w:rPr>
        <w:t>Skidmore</w:t>
      </w:r>
      <w:r w:rsidRPr="00454361">
        <w:rPr>
          <w:rFonts w:cs="Times New Roman"/>
          <w:color w:val="000000" w:themeColor="text1"/>
          <w:szCs w:val="24"/>
        </w:rPr>
        <w:t xml:space="preserve">, 952 F.3d at 1074, a case involving the alleged copyright infringement of a musical composition, the Ninth Circuit, reviewing for plain error, concluded that the district court did not err in omitting a “selection and arrangement” instruction.  Such an instruction is appropriate only if the selection and arrangement of the unprotectable elements of a musical figure “is original in some way.”  </w:t>
      </w:r>
      <w:r w:rsidRPr="00454361">
        <w:rPr>
          <w:rFonts w:cs="Times New Roman"/>
          <w:i/>
          <w:iCs/>
          <w:color w:val="000000" w:themeColor="text1"/>
          <w:szCs w:val="24"/>
        </w:rPr>
        <w:t>Gray</w:t>
      </w:r>
      <w:r w:rsidRPr="00454361">
        <w:rPr>
          <w:rFonts w:cs="Times New Roman"/>
          <w:color w:val="000000" w:themeColor="text1"/>
          <w:szCs w:val="24"/>
        </w:rPr>
        <w:t xml:space="preserve">, 28 F.4th at 101 (quoting </w:t>
      </w:r>
      <w:proofErr w:type="spellStart"/>
      <w:r w:rsidRPr="00454361">
        <w:rPr>
          <w:rFonts w:cs="Times New Roman"/>
          <w:i/>
          <w:iCs/>
          <w:color w:val="000000" w:themeColor="text1"/>
          <w:szCs w:val="24"/>
        </w:rPr>
        <w:t>Satava</w:t>
      </w:r>
      <w:proofErr w:type="spellEnd"/>
      <w:r w:rsidRPr="00454361">
        <w:rPr>
          <w:rFonts w:cs="Times New Roman"/>
          <w:i/>
          <w:iCs/>
          <w:color w:val="000000" w:themeColor="text1"/>
          <w:szCs w:val="24"/>
        </w:rPr>
        <w:t xml:space="preserve"> v. Lowry</w:t>
      </w:r>
      <w:r w:rsidRPr="00454361">
        <w:rPr>
          <w:rFonts w:cs="Times New Roman"/>
          <w:color w:val="000000" w:themeColor="text1"/>
          <w:szCs w:val="24"/>
        </w:rPr>
        <w:t>, 323 F.3d 805, 811 (9th Cir. 2003)).</w:t>
      </w:r>
    </w:p>
    <w:p w14:paraId="378622A9" w14:textId="77777777" w:rsidR="00454361" w:rsidRPr="00454361" w:rsidRDefault="00454361" w:rsidP="00454361">
      <w:pPr>
        <w:autoSpaceDE w:val="0"/>
        <w:autoSpaceDN w:val="0"/>
        <w:adjustRightInd w:val="0"/>
        <w:rPr>
          <w:rFonts w:cs="Times New Roman"/>
          <w:color w:val="000000" w:themeColor="text1"/>
          <w:szCs w:val="24"/>
        </w:rPr>
      </w:pPr>
    </w:p>
    <w:p w14:paraId="2FEC76FA"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Computer Programs and Similar Technologies:</w:t>
      </w:r>
      <w:r w:rsidRPr="00454361">
        <w:rPr>
          <w:rFonts w:cs="Times New Roman"/>
          <w:color w:val="000000" w:themeColor="text1"/>
          <w:szCs w:val="24"/>
        </w:rPr>
        <w:t xml:space="preserve"> </w:t>
      </w:r>
      <w:r w:rsidRPr="00454361">
        <w:rPr>
          <w:rFonts w:cs="Times New Roman"/>
          <w:i/>
          <w:iCs/>
          <w:color w:val="000000" w:themeColor="text1"/>
          <w:szCs w:val="24"/>
        </w:rPr>
        <w:t xml:space="preserve"> Apple Computer, Inc. v. Microsoft Corp.</w:t>
      </w:r>
      <w:r w:rsidRPr="00454361">
        <w:rPr>
          <w:rFonts w:cs="Times New Roman"/>
          <w:color w:val="000000" w:themeColor="text1"/>
          <w:szCs w:val="24"/>
        </w:rPr>
        <w:t xml:space="preserve">, 35 F.3d 1435, 1445 (9th Cir. 1994) (involving audiovisual and literary component of computer program); </w:t>
      </w:r>
      <w:r w:rsidRPr="00454361">
        <w:rPr>
          <w:rFonts w:cs="Times New Roman"/>
          <w:i/>
          <w:iCs/>
          <w:color w:val="000000" w:themeColor="text1"/>
          <w:szCs w:val="24"/>
        </w:rPr>
        <w:t>Brown Bag Software v. Symantec Corp.</w:t>
      </w:r>
      <w:r w:rsidRPr="00454361">
        <w:rPr>
          <w:rFonts w:cs="Times New Roman"/>
          <w:color w:val="000000" w:themeColor="text1"/>
          <w:szCs w:val="24"/>
        </w:rPr>
        <w:t>, 960 F.2d 1465, 1477 (9th Cir. 1992) (“[C]</w:t>
      </w:r>
      <w:proofErr w:type="spellStart"/>
      <w:r w:rsidRPr="00454361">
        <w:rPr>
          <w:rFonts w:cs="Times New Roman"/>
          <w:color w:val="000000" w:themeColor="text1"/>
          <w:szCs w:val="24"/>
        </w:rPr>
        <w:t>omputer</w:t>
      </w:r>
      <w:proofErr w:type="spellEnd"/>
      <w:r w:rsidRPr="00454361">
        <w:rPr>
          <w:rFonts w:cs="Times New Roman"/>
          <w:color w:val="000000" w:themeColor="text1"/>
          <w:szCs w:val="24"/>
        </w:rPr>
        <w:t xml:space="preserve"> programs are subject to a </w:t>
      </w:r>
      <w:proofErr w:type="spellStart"/>
      <w:r w:rsidRPr="00454361">
        <w:rPr>
          <w:rFonts w:cs="Times New Roman"/>
          <w:i/>
          <w:iCs/>
          <w:color w:val="000000" w:themeColor="text1"/>
          <w:szCs w:val="24"/>
        </w:rPr>
        <w:t>Shawtype</w:t>
      </w:r>
      <w:proofErr w:type="spellEnd"/>
      <w:r w:rsidRPr="00454361">
        <w:rPr>
          <w:rFonts w:cs="Times New Roman"/>
          <w:i/>
          <w:iCs/>
          <w:color w:val="000000" w:themeColor="text1"/>
          <w:szCs w:val="24"/>
        </w:rPr>
        <w:t xml:space="preserve"> analytic dissection of various standard components</w:t>
      </w:r>
      <w:r w:rsidRPr="00454361">
        <w:rPr>
          <w:rFonts w:cs="Times New Roman"/>
          <w:color w:val="000000" w:themeColor="text1"/>
          <w:szCs w:val="24"/>
        </w:rPr>
        <w:t xml:space="preserve">, e.g., screens, menus, and keystrokes”); </w:t>
      </w:r>
      <w:r w:rsidRPr="00454361">
        <w:rPr>
          <w:rFonts w:cs="Times New Roman"/>
          <w:i/>
          <w:iCs/>
          <w:color w:val="000000" w:themeColor="text1"/>
          <w:szCs w:val="24"/>
        </w:rPr>
        <w:t xml:space="preserve">Data E. USA, Inc. v. </w:t>
      </w:r>
      <w:proofErr w:type="spellStart"/>
      <w:r w:rsidRPr="00454361">
        <w:rPr>
          <w:rFonts w:cs="Times New Roman"/>
          <w:i/>
          <w:iCs/>
          <w:color w:val="000000" w:themeColor="text1"/>
          <w:szCs w:val="24"/>
        </w:rPr>
        <w:t>Epyx</w:t>
      </w:r>
      <w:proofErr w:type="spellEnd"/>
      <w:r w:rsidRPr="00454361">
        <w:rPr>
          <w:rFonts w:cs="Times New Roman"/>
          <w:i/>
          <w:iCs/>
          <w:color w:val="000000" w:themeColor="text1"/>
          <w:szCs w:val="24"/>
        </w:rPr>
        <w:t>, Inc.</w:t>
      </w:r>
      <w:r w:rsidRPr="00454361">
        <w:rPr>
          <w:rFonts w:cs="Times New Roman"/>
          <w:color w:val="000000" w:themeColor="text1"/>
          <w:szCs w:val="24"/>
        </w:rPr>
        <w:t xml:space="preserve">, 862 F.2d 204, 210 (9th Cir. 1988) (involving home-computer karate game); </w:t>
      </w:r>
      <w:proofErr w:type="spellStart"/>
      <w:r w:rsidRPr="00454361">
        <w:rPr>
          <w:rFonts w:cs="Times New Roman"/>
          <w:i/>
          <w:iCs/>
          <w:color w:val="000000" w:themeColor="text1"/>
          <w:szCs w:val="24"/>
        </w:rPr>
        <w:t>Frybarger</w:t>
      </w:r>
      <w:proofErr w:type="spellEnd"/>
      <w:r w:rsidRPr="00454361">
        <w:rPr>
          <w:rFonts w:cs="Times New Roman"/>
          <w:i/>
          <w:iCs/>
          <w:color w:val="000000" w:themeColor="text1"/>
          <w:szCs w:val="24"/>
        </w:rPr>
        <w:t xml:space="preserve"> v. Int’l Bus. Mach. Corp</w:t>
      </w:r>
      <w:r w:rsidRPr="00454361">
        <w:rPr>
          <w:rFonts w:cs="Times New Roman"/>
          <w:color w:val="000000" w:themeColor="text1"/>
          <w:szCs w:val="24"/>
        </w:rPr>
        <w:t>., 812 F.2d 525, 529-30 (9th Cir. 1987) (involving video game).</w:t>
      </w:r>
    </w:p>
    <w:p w14:paraId="1D9D1689"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2E7644B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Motion Picture, Television Production, or Copyrighted Script:</w:t>
      </w:r>
      <w:r w:rsidRPr="00454361">
        <w:rPr>
          <w:rFonts w:cs="Times New Roman"/>
          <w:color w:val="000000" w:themeColor="text1"/>
          <w:szCs w:val="24"/>
        </w:rPr>
        <w:t xml:space="preserve">  </w:t>
      </w:r>
      <w:proofErr w:type="spellStart"/>
      <w:r w:rsidRPr="00454361">
        <w:rPr>
          <w:rFonts w:cs="Times New Roman"/>
          <w:i/>
          <w:iCs/>
          <w:color w:val="000000" w:themeColor="text1"/>
          <w:szCs w:val="24"/>
        </w:rPr>
        <w:t>Benay</w:t>
      </w:r>
      <w:proofErr w:type="spellEnd"/>
      <w:r w:rsidRPr="00454361">
        <w:rPr>
          <w:rFonts w:cs="Times New Roman"/>
          <w:i/>
          <w:iCs/>
          <w:color w:val="000000" w:themeColor="text1"/>
          <w:szCs w:val="24"/>
        </w:rPr>
        <w:t xml:space="preserve"> v. Warner Bros. Entm’t, Inc.</w:t>
      </w:r>
      <w:r w:rsidRPr="00454361">
        <w:rPr>
          <w:rFonts w:cs="Times New Roman"/>
          <w:color w:val="000000" w:themeColor="text1"/>
          <w:szCs w:val="24"/>
        </w:rPr>
        <w:t xml:space="preserve">, 607 F.3d 620, 624-29 (2010) (involving movie and screenplay); </w:t>
      </w:r>
      <w:r w:rsidRPr="00454361">
        <w:rPr>
          <w:rFonts w:cs="Times New Roman"/>
          <w:i/>
          <w:iCs/>
          <w:color w:val="000000" w:themeColor="text1"/>
          <w:szCs w:val="24"/>
        </w:rPr>
        <w:t>Funky Films, Inc. v. Time Warner Entm’t Co., L.P.</w:t>
      </w:r>
      <w:r w:rsidRPr="00454361">
        <w:rPr>
          <w:rFonts w:cs="Times New Roman"/>
          <w:color w:val="000000" w:themeColor="text1"/>
          <w:szCs w:val="24"/>
        </w:rPr>
        <w:t xml:space="preserve">, 462 F.3d 1072, 1076-77 (9th Cir. 2006) (involving screenplay and television series); </w:t>
      </w:r>
      <w:r w:rsidRPr="00454361">
        <w:rPr>
          <w:rFonts w:cs="Times New Roman"/>
          <w:i/>
          <w:iCs/>
          <w:color w:val="000000" w:themeColor="text1"/>
          <w:szCs w:val="24"/>
        </w:rPr>
        <w:t>Rice v. Fox Broad. Co.</w:t>
      </w:r>
      <w:r w:rsidRPr="00454361">
        <w:rPr>
          <w:rFonts w:cs="Times New Roman"/>
          <w:color w:val="000000" w:themeColor="text1"/>
          <w:szCs w:val="24"/>
        </w:rPr>
        <w:t xml:space="preserve">, 330 F.3d 1170, 1177-78 (9th Cir. 2003) (involving video and television specials); </w:t>
      </w:r>
      <w:r w:rsidRPr="00454361">
        <w:rPr>
          <w:rFonts w:cs="Times New Roman"/>
          <w:i/>
          <w:iCs/>
          <w:color w:val="000000" w:themeColor="text1"/>
          <w:szCs w:val="24"/>
        </w:rPr>
        <w:t>Metcalf v. Bochco</w:t>
      </w:r>
      <w:r w:rsidRPr="00454361">
        <w:rPr>
          <w:rFonts w:cs="Times New Roman"/>
          <w:color w:val="000000" w:themeColor="text1"/>
          <w:szCs w:val="24"/>
        </w:rPr>
        <w:t xml:space="preserve">, 294 F.3d 1069 (9th Cir. 2002) (involving screenplay and television series); </w:t>
      </w:r>
      <w:proofErr w:type="spellStart"/>
      <w:r w:rsidRPr="00454361">
        <w:rPr>
          <w:rFonts w:cs="Times New Roman"/>
          <w:i/>
          <w:iCs/>
          <w:color w:val="000000" w:themeColor="text1"/>
          <w:szCs w:val="24"/>
        </w:rPr>
        <w:t>Berkic</w:t>
      </w:r>
      <w:proofErr w:type="spellEnd"/>
      <w:r w:rsidRPr="00454361">
        <w:rPr>
          <w:rFonts w:cs="Times New Roman"/>
          <w:i/>
          <w:iCs/>
          <w:color w:val="000000" w:themeColor="text1"/>
          <w:szCs w:val="24"/>
        </w:rPr>
        <w:t xml:space="preserve"> v. Crichton</w:t>
      </w:r>
      <w:r w:rsidRPr="00454361">
        <w:rPr>
          <w:rFonts w:cs="Times New Roman"/>
          <w:color w:val="000000" w:themeColor="text1"/>
          <w:szCs w:val="24"/>
        </w:rPr>
        <w:t xml:space="preserve">, 761 F.2d 1289, 1293 (9th Cir. 1985) (involving novel and motion picture); </w:t>
      </w:r>
      <w:r w:rsidRPr="00454361">
        <w:rPr>
          <w:rFonts w:cs="Times New Roman"/>
          <w:i/>
          <w:iCs/>
          <w:color w:val="000000" w:themeColor="text1"/>
          <w:szCs w:val="24"/>
        </w:rPr>
        <w:t>Litchfield v. Spielberg</w:t>
      </w:r>
      <w:r w:rsidRPr="00454361">
        <w:rPr>
          <w:rFonts w:cs="Times New Roman"/>
          <w:color w:val="000000" w:themeColor="text1"/>
          <w:szCs w:val="24"/>
        </w:rPr>
        <w:t>, 736 F.2d 1352, 1356-57 (9th Cir. 1984) (involving musical play and movie).</w:t>
      </w:r>
    </w:p>
    <w:p w14:paraId="0A36C3C6"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72014B9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“Other Than Dramatic or Literary Works”:</w:t>
      </w:r>
      <w:r w:rsidRPr="00454361">
        <w:rPr>
          <w:rFonts w:cs="Times New Roman"/>
          <w:b/>
          <w:bCs/>
          <w:i/>
          <w:iCs/>
          <w:color w:val="000000" w:themeColor="text1"/>
          <w:szCs w:val="24"/>
        </w:rPr>
        <w:t xml:space="preserve"> </w:t>
      </w:r>
      <w:r w:rsidRPr="00454361">
        <w:rPr>
          <w:rFonts w:cs="Times New Roman"/>
          <w:i/>
          <w:iCs/>
          <w:color w:val="000000" w:themeColor="text1"/>
          <w:szCs w:val="24"/>
        </w:rPr>
        <w:t>Malibu Textiles, Inc., v. Label Lane Int’l, Inc</w:t>
      </w:r>
      <w:r w:rsidRPr="00454361">
        <w:rPr>
          <w:rFonts w:cs="Times New Roman"/>
          <w:color w:val="000000" w:themeColor="text1"/>
          <w:szCs w:val="24"/>
        </w:rPr>
        <w:t>.,</w:t>
      </w:r>
    </w:p>
    <w:p w14:paraId="36BE80DB"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922 F.3d 946 (9th Cir. 2019) (involving original selection, coordination, and arrangement of</w:t>
      </w:r>
    </w:p>
    <w:p w14:paraId="45621BAA"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floral-pattern-printed fabric)</w:t>
      </w:r>
      <w:r w:rsidRPr="00454361">
        <w:rPr>
          <w:rFonts w:cs="Times New Roman"/>
          <w:b/>
          <w:bCs/>
          <w:color w:val="000000" w:themeColor="text1"/>
          <w:szCs w:val="24"/>
        </w:rPr>
        <w:t>;</w:t>
      </w:r>
      <w:r w:rsidRPr="00454361">
        <w:rPr>
          <w:rFonts w:cs="Times New Roman"/>
          <w:color w:val="000000" w:themeColor="text1"/>
          <w:szCs w:val="24"/>
        </w:rPr>
        <w:t xml:space="preserve"> </w:t>
      </w:r>
      <w:r w:rsidRPr="00454361">
        <w:rPr>
          <w:rFonts w:cs="Times New Roman"/>
          <w:i/>
          <w:iCs/>
          <w:color w:val="000000" w:themeColor="text1"/>
          <w:szCs w:val="24"/>
        </w:rPr>
        <w:t xml:space="preserve">L.A. </w:t>
      </w:r>
      <w:proofErr w:type="spellStart"/>
      <w:r w:rsidRPr="00454361">
        <w:rPr>
          <w:rFonts w:cs="Times New Roman"/>
          <w:i/>
          <w:iCs/>
          <w:color w:val="000000" w:themeColor="text1"/>
          <w:szCs w:val="24"/>
        </w:rPr>
        <w:t>Printex</w:t>
      </w:r>
      <w:proofErr w:type="spellEnd"/>
      <w:r w:rsidRPr="00454361">
        <w:rPr>
          <w:rFonts w:cs="Times New Roman"/>
          <w:i/>
          <w:iCs/>
          <w:color w:val="000000" w:themeColor="text1"/>
          <w:szCs w:val="24"/>
        </w:rPr>
        <w:t xml:space="preserve"> Indus., Inc. v. Aeropostale, Inc</w:t>
      </w:r>
      <w:r w:rsidRPr="00454361">
        <w:rPr>
          <w:rFonts w:cs="Times New Roman"/>
          <w:color w:val="000000" w:themeColor="text1"/>
          <w:szCs w:val="24"/>
        </w:rPr>
        <w:t xml:space="preserve">., 676 F.3d 841, 848-52 (9th Cir. 2012) (same); </w:t>
      </w:r>
      <w:r w:rsidRPr="00454361">
        <w:rPr>
          <w:rFonts w:cs="Times New Roman"/>
          <w:i/>
          <w:iCs/>
          <w:color w:val="000000" w:themeColor="text1"/>
          <w:szCs w:val="24"/>
        </w:rPr>
        <w:t>Mattel, Inc. v. MGA Entm’t, Inc.</w:t>
      </w:r>
      <w:r w:rsidRPr="00454361">
        <w:rPr>
          <w:rFonts w:cs="Times New Roman"/>
          <w:color w:val="000000" w:themeColor="text1"/>
          <w:szCs w:val="24"/>
        </w:rPr>
        <w:t xml:space="preserve">, 616 F.3d 904, 913-14 (9th Cir. 2010) (involving toy dolls); </w:t>
      </w:r>
      <w:r w:rsidRPr="00454361">
        <w:rPr>
          <w:rFonts w:cs="Times New Roman"/>
          <w:i/>
          <w:iCs/>
          <w:color w:val="000000" w:themeColor="text1"/>
          <w:szCs w:val="24"/>
        </w:rPr>
        <w:t>Cavalier v. Random House, Inc.</w:t>
      </w:r>
      <w:r w:rsidRPr="00454361">
        <w:rPr>
          <w:rFonts w:cs="Times New Roman"/>
          <w:color w:val="000000" w:themeColor="text1"/>
          <w:szCs w:val="24"/>
        </w:rPr>
        <w:t xml:space="preserve">, 297 F.3d 815, 826 (9th Cir. 2002) (involving works of visual art); </w:t>
      </w:r>
      <w:r w:rsidRPr="00454361">
        <w:rPr>
          <w:rFonts w:cs="Times New Roman"/>
          <w:i/>
          <w:iCs/>
          <w:color w:val="000000" w:themeColor="text1"/>
          <w:szCs w:val="24"/>
        </w:rPr>
        <w:t xml:space="preserve">Sid &amp; Marty </w:t>
      </w:r>
      <w:proofErr w:type="spellStart"/>
      <w:r w:rsidRPr="00454361">
        <w:rPr>
          <w:rFonts w:cs="Times New Roman"/>
          <w:i/>
          <w:iCs/>
          <w:color w:val="000000" w:themeColor="text1"/>
          <w:szCs w:val="24"/>
        </w:rPr>
        <w:t>Krofft</w:t>
      </w:r>
      <w:proofErr w:type="spellEnd"/>
      <w:r w:rsidRPr="00454361">
        <w:rPr>
          <w:rFonts w:cs="Times New Roman"/>
          <w:i/>
          <w:iCs/>
          <w:color w:val="000000" w:themeColor="text1"/>
          <w:szCs w:val="24"/>
        </w:rPr>
        <w:t xml:space="preserve"> Television Prods.</w:t>
      </w:r>
      <w:r w:rsidRPr="00454361">
        <w:rPr>
          <w:rFonts w:cs="Times New Roman"/>
          <w:color w:val="000000" w:themeColor="text1"/>
          <w:szCs w:val="24"/>
        </w:rPr>
        <w:t>, 562 F.2d at 1164 (providing dicta concerning application of specific criteria to plaster recreation of nude human figure);</w:t>
      </w:r>
      <w:r w:rsidRPr="00454361">
        <w:rPr>
          <w:rFonts w:cs="Times New Roman"/>
          <w:i/>
          <w:iCs/>
          <w:color w:val="000000" w:themeColor="text1"/>
          <w:szCs w:val="24"/>
        </w:rPr>
        <w:t xml:space="preserve"> </w:t>
      </w:r>
      <w:proofErr w:type="spellStart"/>
      <w:r w:rsidRPr="00454361">
        <w:rPr>
          <w:rFonts w:cs="Times New Roman"/>
          <w:i/>
          <w:iCs/>
          <w:color w:val="000000" w:themeColor="text1"/>
          <w:szCs w:val="24"/>
        </w:rPr>
        <w:t>Pasillas</w:t>
      </w:r>
      <w:proofErr w:type="spellEnd"/>
      <w:r w:rsidRPr="00454361">
        <w:rPr>
          <w:rFonts w:cs="Times New Roman"/>
          <w:color w:val="000000" w:themeColor="text1"/>
          <w:szCs w:val="24"/>
        </w:rPr>
        <w:t xml:space="preserve">, 927 F.2d at 442-43 (noting </w:t>
      </w:r>
      <w:proofErr w:type="spellStart"/>
      <w:r w:rsidRPr="00454361">
        <w:rPr>
          <w:rFonts w:cs="Times New Roman"/>
          <w:i/>
          <w:iCs/>
          <w:color w:val="000000" w:themeColor="text1"/>
          <w:szCs w:val="24"/>
        </w:rPr>
        <w:t>Krofft</w:t>
      </w:r>
      <w:proofErr w:type="spellEnd"/>
      <w:r w:rsidRPr="00454361">
        <w:rPr>
          <w:rFonts w:cs="Times New Roman"/>
          <w:color w:val="000000" w:themeColor="text1"/>
          <w:szCs w:val="24"/>
        </w:rPr>
        <w:t xml:space="preserve"> test applicable to other than dramatic or literary works; using test to assess similarity of Halloween mask and mask used in television commercial).</w:t>
      </w:r>
    </w:p>
    <w:p w14:paraId="5FCC14E2"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color w:val="000000" w:themeColor="text1"/>
          <w:szCs w:val="24"/>
        </w:rPr>
        <w:tab/>
      </w:r>
    </w:p>
    <w:p w14:paraId="334A10EC" w14:textId="77777777" w:rsidR="00454361" w:rsidRPr="00454361" w:rsidRDefault="00454361" w:rsidP="00454361">
      <w:pPr>
        <w:autoSpaceDE w:val="0"/>
        <w:autoSpaceDN w:val="0"/>
        <w:adjustRightInd w:val="0"/>
        <w:rPr>
          <w:rFonts w:cs="Times New Roman"/>
          <w:color w:val="000000" w:themeColor="text1"/>
          <w:szCs w:val="24"/>
        </w:rPr>
      </w:pPr>
      <w:r w:rsidRPr="00454361">
        <w:rPr>
          <w:rFonts w:cs="Times New Roman"/>
          <w:b/>
          <w:bCs/>
          <w:color w:val="000000" w:themeColor="text1"/>
          <w:szCs w:val="24"/>
        </w:rPr>
        <w:t xml:space="preserve">“Ordinary Observer” Test: </w:t>
      </w:r>
      <w:r w:rsidRPr="00454361">
        <w:rPr>
          <w:rFonts w:cs="Times New Roman"/>
          <w:color w:val="000000" w:themeColor="text1"/>
          <w:szCs w:val="24"/>
        </w:rPr>
        <w:t xml:space="preserve"> </w:t>
      </w:r>
      <w:r w:rsidRPr="00454361">
        <w:rPr>
          <w:rFonts w:cs="Times New Roman"/>
          <w:i/>
          <w:iCs/>
          <w:color w:val="000000" w:themeColor="text1"/>
          <w:szCs w:val="24"/>
        </w:rPr>
        <w:t xml:space="preserve">Micro Star v. </w:t>
      </w:r>
      <w:proofErr w:type="spellStart"/>
      <w:r w:rsidRPr="00454361">
        <w:rPr>
          <w:rFonts w:cs="Times New Roman"/>
          <w:i/>
          <w:iCs/>
          <w:color w:val="000000" w:themeColor="text1"/>
          <w:szCs w:val="24"/>
        </w:rPr>
        <w:t>Formgen</w:t>
      </w:r>
      <w:proofErr w:type="spellEnd"/>
      <w:r w:rsidRPr="00454361">
        <w:rPr>
          <w:rFonts w:cs="Times New Roman"/>
          <w:i/>
          <w:iCs/>
          <w:color w:val="000000" w:themeColor="text1"/>
          <w:szCs w:val="24"/>
        </w:rPr>
        <w:t>, Inc.</w:t>
      </w:r>
      <w:r w:rsidRPr="00454361">
        <w:rPr>
          <w:rFonts w:cs="Times New Roman"/>
          <w:color w:val="000000" w:themeColor="text1"/>
          <w:szCs w:val="24"/>
        </w:rPr>
        <w:t xml:space="preserve">, 154 F.3d 1107, 1112 (9th Cir. 1998) (applying ordinary reasonable person standard); </w:t>
      </w:r>
      <w:r w:rsidRPr="00454361">
        <w:rPr>
          <w:rFonts w:cs="Times New Roman"/>
          <w:i/>
          <w:iCs/>
          <w:color w:val="000000" w:themeColor="text1"/>
          <w:szCs w:val="24"/>
        </w:rPr>
        <w:t>see also</w:t>
      </w:r>
      <w:r w:rsidRPr="00454361">
        <w:rPr>
          <w:rFonts w:cs="Times New Roman"/>
          <w:color w:val="000000" w:themeColor="text1"/>
          <w:szCs w:val="24"/>
        </w:rPr>
        <w:t> </w:t>
      </w:r>
      <w:r w:rsidRPr="00454361">
        <w:rPr>
          <w:rFonts w:cs="Times New Roman"/>
          <w:i/>
          <w:iCs/>
          <w:color w:val="000000" w:themeColor="text1"/>
          <w:szCs w:val="24"/>
        </w:rPr>
        <w:t xml:space="preserve">L.A. </w:t>
      </w:r>
      <w:proofErr w:type="spellStart"/>
      <w:r w:rsidRPr="00454361">
        <w:rPr>
          <w:rFonts w:cs="Times New Roman"/>
          <w:i/>
          <w:iCs/>
          <w:color w:val="000000" w:themeColor="text1"/>
          <w:szCs w:val="24"/>
        </w:rPr>
        <w:t>Printex</w:t>
      </w:r>
      <w:proofErr w:type="spellEnd"/>
      <w:r w:rsidRPr="00454361">
        <w:rPr>
          <w:rFonts w:cs="Times New Roman"/>
          <w:i/>
          <w:iCs/>
          <w:color w:val="000000" w:themeColor="text1"/>
          <w:szCs w:val="24"/>
        </w:rPr>
        <w:t xml:space="preserve"> Indus., Inc.</w:t>
      </w:r>
      <w:r w:rsidRPr="00454361">
        <w:rPr>
          <w:rFonts w:cs="Times New Roman"/>
          <w:color w:val="000000" w:themeColor="text1"/>
          <w:szCs w:val="24"/>
        </w:rPr>
        <w:t xml:space="preserve">, 676 F.3d at 852 (involving fabric designs); </w:t>
      </w:r>
      <w:r w:rsidRPr="00454361">
        <w:rPr>
          <w:rFonts w:cs="Times New Roman"/>
          <w:i/>
          <w:iCs/>
          <w:color w:val="000000" w:themeColor="text1"/>
          <w:szCs w:val="24"/>
        </w:rPr>
        <w:t>Johnson Controls Inc. v. Phoenix Control Sys.</w:t>
      </w:r>
      <w:r w:rsidRPr="00454361">
        <w:rPr>
          <w:rFonts w:cs="Times New Roman"/>
          <w:color w:val="000000" w:themeColor="text1"/>
          <w:szCs w:val="24"/>
        </w:rPr>
        <w:t xml:space="preserve">, 886 F.2d 1173, 1176 n.4 (9th Cir. 1989) (involving computer software), </w:t>
      </w:r>
      <w:r w:rsidRPr="00454361">
        <w:rPr>
          <w:rFonts w:cs="Times New Roman"/>
          <w:i/>
          <w:iCs/>
          <w:color w:val="000000" w:themeColor="text1"/>
          <w:szCs w:val="24"/>
        </w:rPr>
        <w:t>implied overruling on other grounds recognized by Perfect 10, Inc. v. Google, Inc</w:t>
      </w:r>
      <w:r w:rsidRPr="00454361">
        <w:rPr>
          <w:rFonts w:cs="Times New Roman"/>
          <w:color w:val="000000" w:themeColor="text1"/>
          <w:szCs w:val="24"/>
        </w:rPr>
        <w:t xml:space="preserve">., 653 F.3d 976, 979 (9th Cir. 2011); </w:t>
      </w:r>
      <w:r w:rsidRPr="00454361">
        <w:rPr>
          <w:rFonts w:cs="Times New Roman"/>
          <w:i/>
          <w:iCs/>
          <w:color w:val="000000" w:themeColor="text1"/>
          <w:szCs w:val="24"/>
        </w:rPr>
        <w:t>Data E. USA, Inc.</w:t>
      </w:r>
      <w:r w:rsidRPr="00454361">
        <w:rPr>
          <w:rFonts w:cs="Times New Roman"/>
          <w:color w:val="000000" w:themeColor="text1"/>
          <w:szCs w:val="24"/>
        </w:rPr>
        <w:t xml:space="preserve">, 862 F.2d at 209-10 (discussing intended audience); </w:t>
      </w:r>
      <w:proofErr w:type="spellStart"/>
      <w:r w:rsidRPr="00454361">
        <w:rPr>
          <w:rFonts w:cs="Times New Roman"/>
          <w:i/>
          <w:iCs/>
          <w:color w:val="000000" w:themeColor="text1"/>
          <w:szCs w:val="24"/>
        </w:rPr>
        <w:t>Aliotti</w:t>
      </w:r>
      <w:proofErr w:type="spellEnd"/>
      <w:r w:rsidRPr="00454361">
        <w:rPr>
          <w:rFonts w:cs="Times New Roman"/>
          <w:i/>
          <w:iCs/>
          <w:color w:val="000000" w:themeColor="text1"/>
          <w:szCs w:val="24"/>
        </w:rPr>
        <w:t xml:space="preserve"> v. R. Dakin &amp; Co.</w:t>
      </w:r>
      <w:r w:rsidRPr="00454361">
        <w:rPr>
          <w:rFonts w:cs="Times New Roman"/>
          <w:color w:val="000000" w:themeColor="text1"/>
          <w:szCs w:val="24"/>
        </w:rPr>
        <w:t xml:space="preserve">, 831 F.2d 898, 902 (9th Cir. 1987) (involving perception of children); </w:t>
      </w:r>
      <w:proofErr w:type="spellStart"/>
      <w:r w:rsidRPr="00454361">
        <w:rPr>
          <w:rFonts w:cs="Times New Roman"/>
          <w:i/>
          <w:iCs/>
          <w:color w:val="000000" w:themeColor="text1"/>
          <w:szCs w:val="24"/>
        </w:rPr>
        <w:t>Berkic</w:t>
      </w:r>
      <w:proofErr w:type="spellEnd"/>
      <w:r w:rsidRPr="00454361">
        <w:rPr>
          <w:rFonts w:cs="Times New Roman"/>
          <w:color w:val="000000" w:themeColor="text1"/>
          <w:szCs w:val="24"/>
        </w:rPr>
        <w:t>, 761 F.2d at 1293 (discussing reasonable reader or moviegoer).</w:t>
      </w:r>
    </w:p>
    <w:p w14:paraId="3B77FA03" w14:textId="77777777" w:rsidR="00454361" w:rsidRPr="00454361" w:rsidRDefault="00454361" w:rsidP="00454361">
      <w:pPr>
        <w:autoSpaceDE w:val="0"/>
        <w:autoSpaceDN w:val="0"/>
        <w:adjustRightInd w:val="0"/>
        <w:rPr>
          <w:rFonts w:cs="Times New Roman"/>
          <w:color w:val="000000" w:themeColor="text1"/>
          <w:szCs w:val="24"/>
        </w:rPr>
      </w:pPr>
    </w:p>
    <w:p w14:paraId="04BF1B7C" w14:textId="77777777" w:rsidR="00454361" w:rsidRPr="00454361" w:rsidRDefault="00454361" w:rsidP="00454361">
      <w:pPr>
        <w:autoSpaceDE w:val="0"/>
        <w:autoSpaceDN w:val="0"/>
        <w:adjustRightInd w:val="0"/>
        <w:rPr>
          <w:rFonts w:cs="Times New Roman"/>
          <w:color w:val="000000" w:themeColor="text1"/>
          <w:szCs w:val="24"/>
        </w:rPr>
      </w:pPr>
    </w:p>
    <w:p w14:paraId="328E2815" w14:textId="77777777" w:rsidR="00454361" w:rsidRPr="00454361" w:rsidRDefault="00454361" w:rsidP="00454361">
      <w:pPr>
        <w:spacing w:after="160" w:line="259" w:lineRule="auto"/>
        <w:jc w:val="right"/>
        <w:rPr>
          <w:rFonts w:asciiTheme="minorHAnsi" w:hAnsiTheme="minorHAnsi"/>
          <w:color w:val="000000" w:themeColor="text1"/>
          <w:sz w:val="22"/>
        </w:rPr>
      </w:pPr>
      <w:r w:rsidRPr="00454361">
        <w:rPr>
          <w:rFonts w:cs="Times New Roman"/>
          <w:i/>
          <w:iCs/>
          <w:color w:val="000000" w:themeColor="text1"/>
          <w:szCs w:val="24"/>
        </w:rPr>
        <w:t>Revised June 2022</w:t>
      </w:r>
    </w:p>
    <w:p w14:paraId="5F2530CC" w14:textId="12A484C6" w:rsidR="008E5DC5" w:rsidRPr="006A4CD7" w:rsidRDefault="008E5DC5" w:rsidP="00454361">
      <w:pPr>
        <w:autoSpaceDE w:val="0"/>
        <w:autoSpaceDN w:val="0"/>
        <w:adjustRightInd w:val="0"/>
      </w:pPr>
    </w:p>
    <w:p w14:paraId="0991D4A1" w14:textId="64DABB1D" w:rsidR="009A3F8A" w:rsidRDefault="006A4CD7" w:rsidP="008E5DC5">
      <w:pPr>
        <w:pStyle w:val="Heading2"/>
      </w:pPr>
      <w:r w:rsidRPr="006A4CD7">
        <w:br w:type="page"/>
      </w:r>
      <w:bookmarkStart w:id="321" w:name="_Toc117512598"/>
      <w:r w:rsidRPr="006A4CD7">
        <w:t xml:space="preserve">17.20 </w:t>
      </w:r>
      <w:r w:rsidR="00646BCE" w:rsidRPr="00646BCE">
        <w:t>Secondary Liability—Vicarious Infringement</w:t>
      </w:r>
      <w:bookmarkEnd w:id="321"/>
    </w:p>
    <w:p w14:paraId="689232E0" w14:textId="251A6297" w:rsidR="006A4CD7" w:rsidRPr="006A4CD7" w:rsidRDefault="00646BCE" w:rsidP="009A3F8A">
      <w:pPr>
        <w:pStyle w:val="Heading2"/>
      </w:pPr>
      <w:bookmarkStart w:id="322" w:name="_Toc117512599"/>
      <w:r w:rsidRPr="00646BCE">
        <w:t>—Elements</w:t>
      </w:r>
      <w:r w:rsidR="009A3F8A">
        <w:t xml:space="preserve"> </w:t>
      </w:r>
      <w:r w:rsidR="006A4CD7" w:rsidRPr="006A4CD7">
        <w:t xml:space="preserve"> </w:t>
      </w:r>
      <w:r>
        <w:t>and</w:t>
      </w:r>
      <w:r w:rsidR="006A4CD7" w:rsidRPr="006A4CD7">
        <w:t xml:space="preserve"> B</w:t>
      </w:r>
      <w:r>
        <w:t>urden</w:t>
      </w:r>
      <w:r w:rsidR="006A4CD7" w:rsidRPr="006A4CD7">
        <w:t xml:space="preserve"> </w:t>
      </w:r>
      <w:r>
        <w:t>of</w:t>
      </w:r>
      <w:r w:rsidR="006A4CD7" w:rsidRPr="006A4CD7">
        <w:t xml:space="preserve"> P</w:t>
      </w:r>
      <w:r>
        <w:t>roof</w:t>
      </w:r>
      <w:bookmarkEnd w:id="322"/>
    </w:p>
    <w:p w14:paraId="4BB6AE2A" w14:textId="77777777" w:rsidR="006A4CD7" w:rsidRPr="006A4CD7" w:rsidRDefault="006A4CD7" w:rsidP="0060759C">
      <w:pPr>
        <w:autoSpaceDE w:val="0"/>
        <w:autoSpaceDN w:val="0"/>
        <w:adjustRightInd w:val="0"/>
        <w:rPr>
          <w:rFonts w:cs="Times New Roman"/>
          <w:szCs w:val="24"/>
        </w:rPr>
      </w:pPr>
    </w:p>
    <w:p w14:paraId="3A446596" w14:textId="4598B154"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r w:rsidRPr="006A4CD7">
        <w:rPr>
          <w:rFonts w:cs="Times New Roman"/>
          <w:szCs w:val="24"/>
        </w:rPr>
        <w:t>];</w:t>
      </w:r>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name of direct infringer</w:t>
      </w:r>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 xml:space="preserve">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(quoting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C52477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w:t>
      </w:r>
      <w:r w:rsidR="009262BE" w:rsidRPr="006A4CD7">
        <w:rPr>
          <w:rFonts w:cs="Times New Roman"/>
          <w:szCs w:val="24"/>
        </w:rPr>
        <w:t>of “</w:t>
      </w:r>
      <w:r w:rsidRPr="006A4CD7">
        <w:rPr>
          <w:rFonts w:cs="Times New Roman"/>
          <w:szCs w:val="24"/>
        </w:rPr>
        <w:t xml:space="preserve">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 xml:space="preserve">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2D07FF0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most commonly identified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w:t>
      </w:r>
      <w:r w:rsidR="00D10B92" w:rsidRPr="006A4CD7">
        <w:rPr>
          <w:rFonts w:cs="Times New Roman"/>
          <w:szCs w:val="24"/>
        </w:rPr>
        <w:t>infringement but</w:t>
      </w:r>
      <w:r w:rsidRPr="006A4CD7">
        <w:rPr>
          <w:rFonts w:cs="Times New Roman"/>
          <w:szCs w:val="24"/>
        </w:rPr>
        <w:t xml:space="preserve">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42A782F4"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Right and Ability </w:t>
      </w:r>
      <w:r w:rsidR="009262BE" w:rsidRPr="006A4CD7">
        <w:rPr>
          <w:rFonts w:cs="Times New Roman"/>
          <w:b/>
          <w:bCs/>
          <w:szCs w:val="24"/>
        </w:rPr>
        <w:t>to</w:t>
      </w:r>
      <w:r w:rsidRPr="006A4CD7">
        <w:rPr>
          <w:rFonts w:cs="Times New Roman"/>
          <w:b/>
          <w:bCs/>
          <w:szCs w:val="24"/>
        </w:rPr>
        <w:t xml:space="preserve">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 xml:space="preserve">Perfect 10, Inc. v. Visa Int’l Serv. </w:t>
      </w:r>
      <w:proofErr w:type="spellStart"/>
      <w:r w:rsidRPr="006A4CD7">
        <w:rPr>
          <w:rFonts w:cs="Times New Roman"/>
          <w:i/>
          <w:iCs/>
          <w:szCs w:val="24"/>
        </w:rPr>
        <w:t>Ass’n</w:t>
      </w:r>
      <w:proofErr w:type="spellEnd"/>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 . . .”).  To show an ability to supervise infringing conduct, a plaintiff must show</w:t>
      </w:r>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make [third parties] stop their direct infringement.” (quoting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‘causal</w:t>
      </w:r>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1AB18F0A" w14:textId="6A42C64A" w:rsidR="009A3F8A" w:rsidRDefault="006A4CD7" w:rsidP="00982B7E">
      <w:pPr>
        <w:pStyle w:val="Heading2"/>
      </w:pPr>
      <w:r w:rsidRPr="006A4CD7">
        <w:br w:type="page"/>
      </w:r>
      <w:bookmarkStart w:id="323" w:name="_Toc117512600"/>
      <w:r w:rsidRPr="006A4CD7">
        <w:t xml:space="preserve">17.21 </w:t>
      </w:r>
      <w:r w:rsidR="00646BCE" w:rsidRPr="00646BCE">
        <w:t>Secondary Liability—Contributory Infringement</w:t>
      </w:r>
      <w:bookmarkEnd w:id="323"/>
    </w:p>
    <w:p w14:paraId="1F913CAA" w14:textId="19B234D4" w:rsidR="006A4CD7" w:rsidRPr="006A4CD7" w:rsidRDefault="00646BCE" w:rsidP="00982B7E">
      <w:pPr>
        <w:pStyle w:val="Heading2"/>
      </w:pPr>
      <w:bookmarkStart w:id="324" w:name="_Toc117512601"/>
      <w:r w:rsidRPr="00646BCE">
        <w:t>—Elements and Burden of Proof</w:t>
      </w:r>
      <w:bookmarkEnd w:id="324"/>
    </w:p>
    <w:p w14:paraId="21D10107" w14:textId="77777777" w:rsidR="006A4CD7" w:rsidRPr="006A4CD7" w:rsidRDefault="006A4CD7" w:rsidP="008E5DC5"/>
    <w:p w14:paraId="6A213704" w14:textId="127E0460" w:rsidR="006A4CD7" w:rsidRPr="006A4CD7" w:rsidRDefault="006A4CD7" w:rsidP="0060759C">
      <w:pPr>
        <w:autoSpaceDE w:val="0"/>
        <w:autoSpaceDN w:val="0"/>
        <w:adjustRightInd w:val="0"/>
        <w:rPr>
          <w:rFonts w:cs="Times New Roman"/>
          <w:szCs w:val="24"/>
        </w:rPr>
      </w:pPr>
      <w:r w:rsidRPr="006A4CD7">
        <w:rPr>
          <w:rFonts w:cs="Times New Roman"/>
          <w:szCs w:val="24"/>
        </w:rPr>
        <w:tab/>
        <w:t>A defendant may be liable for copyright infringement engaged in by another if [he] [she] [</w:t>
      </w:r>
      <w:r w:rsidR="00D10B92" w:rsidRPr="006A4CD7">
        <w:rPr>
          <w:rFonts w:cs="Times New Roman"/>
          <w:szCs w:val="24"/>
        </w:rPr>
        <w:t>it]</w:t>
      </w:r>
      <w:r w:rsidRPr="006A4CD7">
        <w:rPr>
          <w:rFonts w:cs="Times New Roman"/>
          <w:szCs w:val="24"/>
        </w:rPr>
        <w:t xml:space="preserve"> knew or had reason to know of the infringing activity and intentionally [induced] [materially contributed to] that infringing activity.</w:t>
      </w:r>
    </w:p>
    <w:p w14:paraId="17488D9D" w14:textId="77777777" w:rsidR="006A4CD7" w:rsidRPr="006A4CD7" w:rsidRDefault="006A4CD7" w:rsidP="0060759C">
      <w:pPr>
        <w:autoSpaceDE w:val="0"/>
        <w:autoSpaceDN w:val="0"/>
        <w:adjustRightInd w:val="0"/>
        <w:rPr>
          <w:rFonts w:cs="Times New Roman"/>
          <w:szCs w:val="24"/>
        </w:rPr>
      </w:pPr>
    </w:p>
    <w:p w14:paraId="556D8EDC" w14:textId="077A9153"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allegedly infringed work</w:t>
      </w:r>
      <w:r w:rsidRPr="006A4CD7">
        <w:rPr>
          <w:rFonts w:cs="Times New Roman"/>
          <w:szCs w:val="24"/>
        </w:rPr>
        <w:t>], you must determine whether [</w:t>
      </w:r>
      <w:r w:rsidRPr="006A4CD7">
        <w:rPr>
          <w:rFonts w:cs="Times New Roman"/>
          <w:i/>
          <w:iCs/>
          <w:szCs w:val="24"/>
          <w:u w:val="single"/>
        </w:rPr>
        <w:t>name of alleged contributory infringer</w:t>
      </w:r>
      <w:r w:rsidRPr="006A4CD7">
        <w:rPr>
          <w:rFonts w:cs="Times New Roman"/>
          <w:szCs w:val="24"/>
        </w:rPr>
        <w:t>] contributorily infringed that copyright.  The plaintiff has the burden of proving both of the following elements by a preponderance of the evidence:</w:t>
      </w:r>
    </w:p>
    <w:p w14:paraId="670E6B0E" w14:textId="77777777" w:rsidR="006A4CD7" w:rsidRPr="006A4CD7" w:rsidRDefault="006A4CD7" w:rsidP="0060759C">
      <w:pPr>
        <w:autoSpaceDE w:val="0"/>
        <w:autoSpaceDN w:val="0"/>
        <w:adjustRightInd w:val="0"/>
        <w:rPr>
          <w:rFonts w:cs="Times New Roman"/>
          <w:szCs w:val="24"/>
        </w:rPr>
      </w:pPr>
    </w:p>
    <w:p w14:paraId="2F2DEFD3" w14:textId="62999991"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knew or had reason to know of the infringing activity </w:t>
      </w:r>
      <w:r w:rsidR="00D10B92" w:rsidRPr="006A4CD7">
        <w:rPr>
          <w:rFonts w:cs="Times New Roman"/>
          <w:szCs w:val="24"/>
        </w:rPr>
        <w:t>of [</w:t>
      </w:r>
      <w:r w:rsidRPr="006A4CD7">
        <w:rPr>
          <w:rFonts w:cs="Times New Roman"/>
          <w:i/>
          <w:iCs/>
          <w:szCs w:val="24"/>
          <w:u w:val="single"/>
        </w:rPr>
        <w:t>name of direct infringer</w:t>
      </w:r>
      <w:r w:rsidRPr="006A4CD7">
        <w:rPr>
          <w:rFonts w:cs="Times New Roman"/>
          <w:szCs w:val="24"/>
        </w:rPr>
        <w:t>]; and</w:t>
      </w:r>
    </w:p>
    <w:p w14:paraId="10562F2C" w14:textId="77777777" w:rsidR="006A4CD7" w:rsidRPr="006A4CD7" w:rsidRDefault="006A4CD7" w:rsidP="00BD703F">
      <w:pPr>
        <w:autoSpaceDE w:val="0"/>
        <w:autoSpaceDN w:val="0"/>
        <w:adjustRightInd w:val="0"/>
        <w:ind w:left="1440" w:hanging="720"/>
        <w:rPr>
          <w:rFonts w:cs="Times New Roman"/>
          <w:szCs w:val="24"/>
        </w:rPr>
      </w:pPr>
    </w:p>
    <w:p w14:paraId="555C635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 the defendant intentionally [induced] [materially contributed to] [</w:t>
      </w:r>
      <w:r w:rsidRPr="006A4CD7">
        <w:rPr>
          <w:rFonts w:cs="Times New Roman"/>
          <w:i/>
          <w:iCs/>
          <w:szCs w:val="24"/>
          <w:u w:val="single"/>
        </w:rPr>
        <w:t>name of direct infringer’s</w:t>
      </w:r>
      <w:r w:rsidRPr="006A4CD7">
        <w:rPr>
          <w:rFonts w:cs="Times New Roman"/>
          <w:szCs w:val="24"/>
        </w:rPr>
        <w:t>] infringing activity.</w:t>
      </w:r>
    </w:p>
    <w:p w14:paraId="545B7E22" w14:textId="77777777" w:rsidR="006A4CD7" w:rsidRPr="006A4CD7" w:rsidRDefault="006A4CD7" w:rsidP="0060759C">
      <w:pPr>
        <w:autoSpaceDE w:val="0"/>
        <w:autoSpaceDN w:val="0"/>
        <w:adjustRightInd w:val="0"/>
        <w:rPr>
          <w:rFonts w:cs="Times New Roman"/>
          <w:szCs w:val="24"/>
        </w:rPr>
      </w:pPr>
    </w:p>
    <w:p w14:paraId="5502B8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intent to induce the infringing activity must be shown by clear expression of that intent or other affirmative steps taken by the defendant to encourage.]</w:t>
      </w:r>
    </w:p>
    <w:p w14:paraId="6469A115" w14:textId="77777777" w:rsidR="006A4CD7" w:rsidRPr="006A4CD7" w:rsidRDefault="006A4CD7" w:rsidP="0060759C">
      <w:pPr>
        <w:autoSpaceDE w:val="0"/>
        <w:autoSpaceDN w:val="0"/>
        <w:adjustRightInd w:val="0"/>
        <w:rPr>
          <w:rFonts w:cs="Times New Roman"/>
          <w:szCs w:val="24"/>
        </w:rPr>
      </w:pPr>
    </w:p>
    <w:p w14:paraId="43559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xml:space="preserve">] infringed the plaintiff’s copyright and you also find that the plaintiff has proved both of these elements, your verdict should be for the plaintiff.  If, on the other hand, the plaintiff has failed to prove either or both of these elements, your verdict should be for the defendant.  </w:t>
      </w:r>
    </w:p>
    <w:p w14:paraId="45690D2A" w14:textId="77777777" w:rsidR="006A4CD7" w:rsidRPr="006A4CD7" w:rsidRDefault="006A4CD7" w:rsidP="0060759C">
      <w:pPr>
        <w:autoSpaceDE w:val="0"/>
        <w:autoSpaceDN w:val="0"/>
        <w:adjustRightInd w:val="0"/>
        <w:rPr>
          <w:rFonts w:cs="Times New Roman"/>
          <w:szCs w:val="24"/>
        </w:rPr>
      </w:pPr>
    </w:p>
    <w:p w14:paraId="6A2AEB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A53F17" w14:textId="77777777" w:rsidR="006A4CD7" w:rsidRPr="006A4CD7" w:rsidRDefault="006A4CD7" w:rsidP="0060759C">
      <w:pPr>
        <w:autoSpaceDE w:val="0"/>
        <w:autoSpaceDN w:val="0"/>
        <w:adjustRightInd w:val="0"/>
        <w:rPr>
          <w:rFonts w:cs="Times New Roman"/>
          <w:i/>
          <w:iCs/>
          <w:szCs w:val="24"/>
        </w:rPr>
      </w:pPr>
    </w:p>
    <w:p w14:paraId="5D72157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The</w:t>
      </w:r>
      <w:r w:rsidRPr="006A4CD7">
        <w:rPr>
          <w:rFonts w:cs="Times New Roman"/>
          <w:i/>
          <w:iCs/>
          <w:szCs w:val="24"/>
        </w:rPr>
        <w:t xml:space="preserve"> </w:t>
      </w:r>
      <w:r w:rsidRPr="006A4CD7">
        <w:rPr>
          <w:rFonts w:cs="Times New Roman"/>
          <w:szCs w:val="24"/>
        </w:rPr>
        <w:t xml:space="preserve">above instruction is based on </w:t>
      </w:r>
      <w:proofErr w:type="spellStart"/>
      <w:r w:rsidRPr="006A4CD7">
        <w:rPr>
          <w:rFonts w:cs="Times New Roman"/>
          <w:i/>
          <w:iCs/>
          <w:szCs w:val="24"/>
        </w:rPr>
        <w:t>Fonovisa</w:t>
      </w:r>
      <w:proofErr w:type="spellEnd"/>
      <w:r w:rsidRPr="006A4CD7">
        <w:rPr>
          <w:rFonts w:cs="Times New Roman"/>
          <w:i/>
          <w:iCs/>
          <w:szCs w:val="24"/>
        </w:rPr>
        <w:t>, Inc. v. Cherry Auction, Inc</w:t>
      </w:r>
      <w:r w:rsidRPr="006A4CD7">
        <w:rPr>
          <w:rFonts w:cs="Times New Roman"/>
          <w:szCs w:val="24"/>
        </w:rPr>
        <w:t xml:space="preserve">. 76 F.3d 259, 261-63 (9th Cir. 1996), </w:t>
      </w:r>
      <w:r w:rsidRPr="006A4CD7">
        <w:rPr>
          <w:rFonts w:cs="Times New Roman"/>
          <w:i/>
          <w:iCs/>
          <w:szCs w:val="24"/>
        </w:rPr>
        <w:t>Ellison v. Robertson</w:t>
      </w:r>
      <w:r w:rsidRPr="006A4CD7">
        <w:rPr>
          <w:rFonts w:cs="Times New Roman"/>
          <w:szCs w:val="24"/>
        </w:rPr>
        <w:t xml:space="preserve">, 357 F.3d 1072, 1076 (9th Cir. 2004), and </w:t>
      </w:r>
      <w:r w:rsidRPr="006A4CD7">
        <w:rPr>
          <w:rFonts w:cs="Times New Roman"/>
          <w:i/>
          <w:iCs/>
          <w:szCs w:val="24"/>
        </w:rPr>
        <w:t>MDY Indus., LLC v. Blizzard Entm’t, Inc</w:t>
      </w:r>
      <w:r w:rsidRPr="006A4CD7">
        <w:rPr>
          <w:rFonts w:cs="Times New Roman"/>
          <w:szCs w:val="24"/>
        </w:rPr>
        <w:t xml:space="preserve">., 629 F.3d 928, 937-38 (9th Cir. 2010), </w:t>
      </w:r>
      <w:r w:rsidRPr="006A4CD7">
        <w:rPr>
          <w:rFonts w:cs="Times New Roman"/>
          <w:i/>
          <w:iCs/>
          <w:szCs w:val="24"/>
        </w:rPr>
        <w:t xml:space="preserve">as amended on denial of reh’g </w:t>
      </w:r>
      <w:r w:rsidRPr="006A4CD7">
        <w:rPr>
          <w:rFonts w:cs="Times New Roman"/>
          <w:szCs w:val="24"/>
        </w:rPr>
        <w:t xml:space="preserve">(Feb. 17, 2011), </w:t>
      </w:r>
      <w:r w:rsidRPr="006A4CD7">
        <w:rPr>
          <w:rFonts w:cs="Times New Roman"/>
          <w:i/>
          <w:iCs/>
          <w:szCs w:val="24"/>
        </w:rPr>
        <w:t>opinion amended and superseded on denial of reh’g</w:t>
      </w:r>
      <w:r w:rsidRPr="006A4CD7">
        <w:rPr>
          <w:rFonts w:cs="Times New Roman"/>
          <w:szCs w:val="24"/>
        </w:rPr>
        <w:t xml:space="preserve">, No. 09-15932, 2011 WL 538748 (9th Cir. Feb. 17, 2011); </w:t>
      </w:r>
      <w:r w:rsidRPr="006A4CD7">
        <w:rPr>
          <w:rFonts w:cs="Times New Roman"/>
          <w:i/>
          <w:iCs/>
          <w:szCs w:val="24"/>
        </w:rPr>
        <w:t>see also Erickson Prods., Inc. v. Kast</w:t>
      </w:r>
      <w:r w:rsidRPr="006A4CD7">
        <w:rPr>
          <w:rFonts w:cs="Times New Roman"/>
          <w:szCs w:val="24"/>
        </w:rPr>
        <w:t>, 921 F.3d 822,</w:t>
      </w:r>
    </w:p>
    <w:p w14:paraId="7CAF6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831 (9th Cir. 2019) (“A party engages in contributory copyright infringement when it ‘(1) has</w:t>
      </w:r>
    </w:p>
    <w:p w14:paraId="7149A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knowledge of another’s infringement and (2) either (a) materially contributes to or (b) induces</w:t>
      </w:r>
    </w:p>
    <w:p w14:paraId="313DC2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infringement.’” (quoting </w:t>
      </w:r>
      <w:r w:rsidRPr="006A4CD7">
        <w:rPr>
          <w:rFonts w:cs="Times New Roman"/>
          <w:i/>
          <w:iCs/>
          <w:szCs w:val="24"/>
        </w:rPr>
        <w:t>VHT, Inc. v. Zillow Grp</w:t>
      </w:r>
      <w:r w:rsidRPr="006A4CD7">
        <w:rPr>
          <w:rFonts w:cs="Times New Roman"/>
          <w:szCs w:val="24"/>
        </w:rPr>
        <w:t xml:space="preserve">., 918 F.3d 723, 745 (9th Cir. 2019))); </w:t>
      </w:r>
      <w:r w:rsidRPr="006A4CD7">
        <w:rPr>
          <w:rFonts w:cs="Times New Roman"/>
          <w:i/>
          <w:iCs/>
          <w:szCs w:val="24"/>
        </w:rPr>
        <w:t>Cobbler Nevada, LLC v. Gonzales</w:t>
      </w:r>
      <w:r w:rsidRPr="006A4CD7">
        <w:rPr>
          <w:rFonts w:cs="Times New Roman"/>
          <w:szCs w:val="24"/>
        </w:rPr>
        <w:t>, 901 F.3d 1142, 1147 (9th Cir. 2018) (“We have adopted the well-settled rule that ‘[o]ne infringes contributorily by intentionally inducing or encouraging direct infringement.’</w:t>
      </w:r>
      <w:r w:rsidRPr="006A4CD7">
        <w:rPr>
          <w:rFonts w:cs="Times New Roman"/>
          <w:i/>
          <w:iCs/>
          <w:szCs w:val="24"/>
        </w:rPr>
        <w:t xml:space="preserve">  Perfect 10, Inc. v. Amazon.com, Inc</w:t>
      </w:r>
      <w:r w:rsidRPr="006A4CD7">
        <w:rPr>
          <w:rFonts w:cs="Times New Roman"/>
          <w:szCs w:val="24"/>
        </w:rPr>
        <w:t xml:space="preserve">., 508 F.3d 1146, 1170 (9th Cir. 2007) (alteration in original) (quoting </w:t>
      </w:r>
      <w:r w:rsidRPr="006A4CD7">
        <w:rPr>
          <w:rFonts w:cs="Times New Roman"/>
          <w:i/>
          <w:iCs/>
          <w:szCs w:val="24"/>
        </w:rPr>
        <w:t xml:space="preserve">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545 U.S. 913, 930 (2005)).  Stated differently, ‘liability exists if the defendant engages in personal conduct that encourages or assists the infringement.’”).</w:t>
      </w:r>
    </w:p>
    <w:p w14:paraId="294F24C5" w14:textId="77777777" w:rsidR="006A4CD7" w:rsidRPr="006A4CD7" w:rsidRDefault="006A4CD7" w:rsidP="0060759C">
      <w:pPr>
        <w:autoSpaceDE w:val="0"/>
        <w:autoSpaceDN w:val="0"/>
        <w:adjustRightInd w:val="0"/>
        <w:rPr>
          <w:rFonts w:cs="Times New Roman"/>
          <w:szCs w:val="24"/>
        </w:rPr>
      </w:pPr>
    </w:p>
    <w:p w14:paraId="6BCA179D" w14:textId="77777777" w:rsidR="00604299"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Metro-Goldwyn-Mayer Studios Inc. v. </w:t>
      </w:r>
      <w:proofErr w:type="spellStart"/>
      <w:r w:rsidRPr="006A4CD7">
        <w:rPr>
          <w:rFonts w:cs="Times New Roman"/>
          <w:i/>
          <w:iCs/>
          <w:szCs w:val="24"/>
        </w:rPr>
        <w:t>Grokster</w:t>
      </w:r>
      <w:proofErr w:type="spellEnd"/>
      <w:r w:rsidRPr="006A4CD7">
        <w:rPr>
          <w:rFonts w:cs="Times New Roman"/>
          <w:i/>
          <w:iCs/>
          <w:szCs w:val="24"/>
        </w:rPr>
        <w:t>, Ltd.</w:t>
      </w:r>
      <w:r w:rsidRPr="006A4CD7">
        <w:rPr>
          <w:rFonts w:cs="Times New Roman"/>
          <w:szCs w:val="24"/>
        </w:rPr>
        <w:t xml:space="preserve">, 545 U.S. 913 (2005), the Supreme Court held that one who distributes a device with the object of promoting its use to infringe a copyright may be liable for the resulting acts of infringement by third parties, even if </w:t>
      </w:r>
    </w:p>
    <w:p w14:paraId="5C426D09" w14:textId="39397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device is capable of substantial </w:t>
      </w:r>
      <w:proofErr w:type="spellStart"/>
      <w:r w:rsidRPr="006A4CD7">
        <w:rPr>
          <w:rFonts w:cs="Times New Roman"/>
          <w:szCs w:val="24"/>
        </w:rPr>
        <w:t>noninfringing</w:t>
      </w:r>
      <w:proofErr w:type="spellEnd"/>
      <w:r w:rsidRPr="006A4CD7">
        <w:rPr>
          <w:rFonts w:cs="Times New Roman"/>
          <w:szCs w:val="24"/>
        </w:rPr>
        <w:t xml:space="preserve"> use.  </w:t>
      </w:r>
      <w:r w:rsidRPr="006A4CD7">
        <w:rPr>
          <w:rFonts w:cs="Times New Roman"/>
          <w:i/>
          <w:iCs/>
          <w:szCs w:val="24"/>
        </w:rPr>
        <w:t xml:space="preserve">Id. </w:t>
      </w:r>
      <w:r w:rsidRPr="006A4CD7">
        <w:rPr>
          <w:rFonts w:cs="Times New Roman"/>
          <w:szCs w:val="24"/>
        </w:rPr>
        <w:t xml:space="preserve">at 2780.  The Court characterized this as the inducement rule.  </w:t>
      </w:r>
      <w:r w:rsidRPr="006A4CD7">
        <w:rPr>
          <w:rFonts w:cs="Times New Roman"/>
          <w:i/>
          <w:iCs/>
          <w:szCs w:val="24"/>
        </w:rPr>
        <w:t>Id.</w:t>
      </w:r>
      <w:r w:rsidRPr="006A4CD7">
        <w:rPr>
          <w:rFonts w:cs="Times New Roman"/>
          <w:szCs w:val="24"/>
        </w:rPr>
        <w:t xml:space="preserve">  This rule was refined and formalized into four elements in </w:t>
      </w:r>
      <w:r w:rsidRPr="006A4CD7">
        <w:rPr>
          <w:rFonts w:cs="Times New Roman"/>
          <w:i/>
          <w:iCs/>
          <w:szCs w:val="24"/>
        </w:rPr>
        <w:t>Columbia Pictures Industries, Inc. v. Fung,</w:t>
      </w:r>
      <w:r w:rsidRPr="006A4CD7">
        <w:rPr>
          <w:rFonts w:cs="Times New Roman"/>
          <w:szCs w:val="24"/>
        </w:rPr>
        <w:t xml:space="preserve"> 710 F.3d 1020 (9th Cir. 2013)</w:t>
      </w:r>
      <w:r w:rsidRPr="006A4CD7">
        <w:rPr>
          <w:rFonts w:cs="Times New Roman"/>
          <w:i/>
          <w:iCs/>
          <w:szCs w:val="24"/>
        </w:rPr>
        <w:t>.</w:t>
      </w:r>
      <w:r w:rsidRPr="006A4CD7">
        <w:rPr>
          <w:rFonts w:cs="Times New Roman"/>
          <w:szCs w:val="24"/>
        </w:rPr>
        <w:t xml:space="preserve">  </w:t>
      </w:r>
      <w:r w:rsidRPr="006A4CD7">
        <w:rPr>
          <w:rFonts w:cs="Times New Roman"/>
          <w:i/>
          <w:iCs/>
          <w:szCs w:val="24"/>
        </w:rPr>
        <w:t xml:space="preserve">See id. </w:t>
      </w:r>
      <w:r w:rsidRPr="006A4CD7">
        <w:rPr>
          <w:rFonts w:cs="Times New Roman"/>
          <w:szCs w:val="24"/>
        </w:rPr>
        <w:t xml:space="preserve">at 1032 (listing these “four elements: (1) the distribution of a device or product, (2) acts of infringement, (3) an object of promoting its use to infringe copyright, and (4) causation”); </w:t>
      </w:r>
      <w:r w:rsidRPr="006A4CD7">
        <w:rPr>
          <w:rFonts w:cs="Times New Roman"/>
          <w:i/>
          <w:iCs/>
          <w:szCs w:val="24"/>
        </w:rPr>
        <w:t xml:space="preserve">see also Perfect 10, Inc. v. Visa Int’l Serv. </w:t>
      </w:r>
      <w:proofErr w:type="spellStart"/>
      <w:r w:rsidRPr="006A4CD7">
        <w:rPr>
          <w:rFonts w:cs="Times New Roman"/>
          <w:i/>
          <w:iCs/>
          <w:szCs w:val="24"/>
        </w:rPr>
        <w:t>Ass’n</w:t>
      </w:r>
      <w:proofErr w:type="spellEnd"/>
      <w:r w:rsidRPr="006A4CD7">
        <w:rPr>
          <w:rFonts w:cs="Times New Roman"/>
          <w:szCs w:val="24"/>
        </w:rPr>
        <w:t>, 494 F.3d 788, 795 (9th Cir. 2007) (describing inducement rule and material contribution test as “non-contradictory variations on the same basic test”).</w:t>
      </w:r>
    </w:p>
    <w:p w14:paraId="7B5DD971" w14:textId="77777777" w:rsidR="006A4CD7" w:rsidRPr="006A4CD7" w:rsidRDefault="006A4CD7" w:rsidP="0060759C">
      <w:pPr>
        <w:autoSpaceDE w:val="0"/>
        <w:autoSpaceDN w:val="0"/>
        <w:adjustRightInd w:val="0"/>
        <w:rPr>
          <w:rFonts w:cs="Times New Roman"/>
          <w:szCs w:val="24"/>
        </w:rPr>
      </w:pPr>
    </w:p>
    <w:p w14:paraId="5A6BC8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online context, a computer system operator may be liable under a material contribution theory if the operator has actual knowledge of specific infringement, can take simple measures to prevent further infringement, and yet fails to do so.  </w:t>
      </w:r>
      <w:r w:rsidRPr="006A4CD7">
        <w:rPr>
          <w:rFonts w:cs="Times New Roman"/>
          <w:i/>
          <w:iCs/>
          <w:szCs w:val="24"/>
        </w:rPr>
        <w:t xml:space="preserve">See Perfect 10, Inc. v. </w:t>
      </w:r>
      <w:proofErr w:type="spellStart"/>
      <w:r w:rsidRPr="006A4CD7">
        <w:rPr>
          <w:rFonts w:cs="Times New Roman"/>
          <w:i/>
          <w:iCs/>
          <w:szCs w:val="24"/>
        </w:rPr>
        <w:t>Giganews</w:t>
      </w:r>
      <w:proofErr w:type="spellEnd"/>
      <w:r w:rsidRPr="006A4CD7">
        <w:rPr>
          <w:rFonts w:cs="Times New Roman"/>
          <w:i/>
          <w:iCs/>
          <w:szCs w:val="24"/>
        </w:rPr>
        <w:t>, Inc</w:t>
      </w:r>
      <w:r w:rsidRPr="006A4CD7">
        <w:rPr>
          <w:rFonts w:cs="Times New Roman"/>
          <w:szCs w:val="24"/>
        </w:rPr>
        <w:t xml:space="preserve">., 847 F.3d 657, 671 (9th Cir. 2017); </w:t>
      </w:r>
      <w:r w:rsidRPr="006A4CD7">
        <w:rPr>
          <w:rFonts w:cs="Times New Roman"/>
          <w:i/>
          <w:iCs/>
          <w:szCs w:val="24"/>
        </w:rPr>
        <w:t>see also VHT, Inc. v. Zillow Grp</w:t>
      </w:r>
      <w:r w:rsidRPr="006A4CD7">
        <w:rPr>
          <w:rFonts w:cs="Times New Roman"/>
          <w:szCs w:val="24"/>
        </w:rPr>
        <w:t>., 918 F.3d</w:t>
      </w:r>
    </w:p>
    <w:p w14:paraId="74041B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723, 745 (9th Cir. 2019) (stating that website did not have “information necessary to take ‘simple</w:t>
      </w:r>
    </w:p>
    <w:p w14:paraId="5C9BD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measures’ to remedy the violation” because website had no means to identify allegedly</w:t>
      </w:r>
    </w:p>
    <w:p w14:paraId="625CF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infringing images uploaded by users).</w:t>
      </w:r>
    </w:p>
    <w:p w14:paraId="233EC004" w14:textId="77777777" w:rsidR="006A4CD7" w:rsidRPr="006A4CD7" w:rsidRDefault="006A4CD7" w:rsidP="0060759C">
      <w:pPr>
        <w:autoSpaceDE w:val="0"/>
        <w:autoSpaceDN w:val="0"/>
        <w:adjustRightInd w:val="0"/>
        <w:rPr>
          <w:rFonts w:cs="Times New Roman"/>
          <w:szCs w:val="24"/>
        </w:rPr>
      </w:pPr>
    </w:p>
    <w:p w14:paraId="39592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paraphrases the test for inducement set forth in </w:t>
      </w:r>
      <w:proofErr w:type="spellStart"/>
      <w:r w:rsidRPr="006A4CD7">
        <w:rPr>
          <w:rFonts w:cs="Times New Roman"/>
          <w:i/>
          <w:iCs/>
          <w:szCs w:val="24"/>
        </w:rPr>
        <w:t>Grokster</w:t>
      </w:r>
      <w:proofErr w:type="spellEnd"/>
      <w:r w:rsidRPr="006A4CD7">
        <w:rPr>
          <w:rFonts w:cs="Times New Roman"/>
          <w:szCs w:val="24"/>
        </w:rPr>
        <w:t xml:space="preserve">, 545 U.S. at 919, 936-37 (2005) and reiterated in </w:t>
      </w:r>
      <w:r w:rsidRPr="006A4CD7">
        <w:rPr>
          <w:rFonts w:cs="Times New Roman"/>
          <w:i/>
          <w:iCs/>
          <w:szCs w:val="24"/>
        </w:rPr>
        <w:t>Columbia Pictures</w:t>
      </w:r>
      <w:r w:rsidRPr="006A4CD7">
        <w:rPr>
          <w:rFonts w:cs="Times New Roman"/>
          <w:szCs w:val="24"/>
        </w:rPr>
        <w:t xml:space="preserve">, 710 F.3d at 1032.  The court should include this language if there is a dispute regarding whether the defendant took sufficient action, or any action, demonstrating its intent to encourage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id</w:t>
      </w:r>
      <w:r w:rsidRPr="006A4CD7">
        <w:rPr>
          <w:rFonts w:cs="Times New Roman"/>
          <w:szCs w:val="24"/>
        </w:rPr>
        <w:t>. at 1035-36 (“As for the necessary ‘clear expression or other affirmative steps’ evidence indicative of unlawful intent, the most important is Fung’s active encouragement of the uploading of torrent files concerning copyrighted content.”).</w:t>
      </w:r>
    </w:p>
    <w:p w14:paraId="2C1D6C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7FD53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sale of a product or device that has the potential to infringe (such as a home video recorder) does not constitute contributory infringement if the product is capable of a substantial non-infringing use.  </w:t>
      </w:r>
      <w:r w:rsidRPr="006A4CD7">
        <w:rPr>
          <w:rFonts w:cs="Times New Roman"/>
          <w:i/>
          <w:iCs/>
          <w:szCs w:val="24"/>
        </w:rPr>
        <w:t>Sony Corp. of Am. v. Universal City Studios, Inc.</w:t>
      </w:r>
      <w:r w:rsidRPr="006A4CD7">
        <w:rPr>
          <w:rFonts w:cs="Times New Roman"/>
          <w:szCs w:val="24"/>
        </w:rPr>
        <w:t xml:space="preserve">, 464 U.S. 417, 442 (1984); </w:t>
      </w:r>
      <w:proofErr w:type="spellStart"/>
      <w:r w:rsidRPr="006A4CD7">
        <w:rPr>
          <w:rFonts w:cs="Times New Roman"/>
          <w:i/>
          <w:iCs/>
          <w:szCs w:val="24"/>
        </w:rPr>
        <w:t>Grokster</w:t>
      </w:r>
      <w:proofErr w:type="spellEnd"/>
      <w:r w:rsidRPr="006A4CD7">
        <w:rPr>
          <w:rFonts w:cs="Times New Roman"/>
          <w:szCs w:val="24"/>
        </w:rPr>
        <w:t>, 545 U.S. at 939 n.12.</w:t>
      </w:r>
    </w:p>
    <w:p w14:paraId="31F050C9" w14:textId="77777777" w:rsidR="006A4CD7" w:rsidRPr="006A4CD7" w:rsidRDefault="006A4CD7" w:rsidP="0060759C">
      <w:pPr>
        <w:autoSpaceDE w:val="0"/>
        <w:autoSpaceDN w:val="0"/>
        <w:adjustRightInd w:val="0"/>
        <w:rPr>
          <w:rFonts w:cs="Times New Roman"/>
          <w:szCs w:val="24"/>
        </w:rPr>
      </w:pPr>
    </w:p>
    <w:p w14:paraId="6B57F9DF" w14:textId="77777777" w:rsidR="006A4CD7" w:rsidRPr="006A4CD7" w:rsidRDefault="006A4CD7" w:rsidP="0060759C">
      <w:pPr>
        <w:autoSpaceDE w:val="0"/>
        <w:autoSpaceDN w:val="0"/>
        <w:adjustRightInd w:val="0"/>
        <w:rPr>
          <w:rFonts w:cs="Times New Roman"/>
          <w:szCs w:val="24"/>
        </w:rPr>
      </w:pPr>
    </w:p>
    <w:p w14:paraId="2919CB7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D9F33A0" w14:textId="77777777" w:rsidR="008E5DC5" w:rsidRPr="006A4CD7" w:rsidRDefault="008E5DC5" w:rsidP="008E5DC5"/>
    <w:p w14:paraId="3F8C5F16" w14:textId="77777777" w:rsidR="008E5DC5" w:rsidRDefault="006A4CD7" w:rsidP="008E5DC5">
      <w:r w:rsidRPr="006A4CD7">
        <w:br w:type="page"/>
      </w:r>
    </w:p>
    <w:p w14:paraId="0728A04B" w14:textId="4908B54A" w:rsidR="008E5DC5" w:rsidRDefault="008E5DC5" w:rsidP="008E5DC5">
      <w:pPr>
        <w:pStyle w:val="Heading2"/>
      </w:pPr>
      <w:bookmarkStart w:id="325" w:name="_Toc117512602"/>
      <w:r w:rsidRPr="008E5DC5">
        <w:t xml:space="preserve">17.21A </w:t>
      </w:r>
      <w:r w:rsidR="00646BCE" w:rsidRPr="00646BCE">
        <w:t>Copyright—Useful Articles/Functional Elements</w:t>
      </w:r>
      <w:r>
        <w:br/>
      </w:r>
      <w:r w:rsidRPr="008E5DC5">
        <w:t>(17 U.S.C. § 101)</w:t>
      </w:r>
      <w:bookmarkEnd w:id="325"/>
      <w:r w:rsidRPr="008E5DC5">
        <w:t xml:space="preserve">  </w:t>
      </w:r>
    </w:p>
    <w:p w14:paraId="3C9A13CB" w14:textId="77777777" w:rsidR="008E5DC5" w:rsidRDefault="008E5DC5" w:rsidP="008E5DC5"/>
    <w:p w14:paraId="7DF63593" w14:textId="77777777" w:rsidR="008E5DC5" w:rsidRDefault="008E5DC5" w:rsidP="008E5DC5">
      <w:r w:rsidRPr="008E5DC5">
        <w:tab/>
        <w:t xml:space="preserve">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    </w:t>
      </w:r>
    </w:p>
    <w:p w14:paraId="697238A5" w14:textId="77777777" w:rsidR="008E5DC5" w:rsidRDefault="008E5DC5" w:rsidP="008E5DC5"/>
    <w:p w14:paraId="5DF3EFAD" w14:textId="37EA175F" w:rsidR="008E5DC5" w:rsidRDefault="008E5DC5" w:rsidP="008E5DC5">
      <w:r w:rsidRPr="008E5DC5">
        <w:tab/>
        <w:t xml:space="preserve">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w:t>
      </w:r>
      <w:r w:rsidR="00D10B92" w:rsidRPr="008E5DC5">
        <w:t>lamp and</w:t>
      </w:r>
      <w:r w:rsidRPr="008E5DC5">
        <w:t xml:space="preserve"> is capable of existing independently of the lamp.  </w:t>
      </w:r>
    </w:p>
    <w:p w14:paraId="723EA29A" w14:textId="77777777" w:rsidR="008E5DC5" w:rsidRDefault="008E5DC5" w:rsidP="008E5DC5"/>
    <w:p w14:paraId="67F0D738" w14:textId="77777777" w:rsidR="008E5DC5" w:rsidRDefault="008E5DC5" w:rsidP="008E5DC5">
      <w:r w:rsidRPr="008E5DC5">
        <w:tab/>
        <w:t xml:space="preserve">The defendant claims that the plaintiff’s work is not copyrightable because it is a useful article.  To prevail on this defense, the defendant must prove that the challenged article has an intrinsic use beyond displaying the appearance of the item or conveying useful information.  </w:t>
      </w:r>
    </w:p>
    <w:p w14:paraId="1D7D6121" w14:textId="77777777" w:rsidR="008E5DC5" w:rsidRDefault="008E5DC5" w:rsidP="008E5DC5"/>
    <w:p w14:paraId="6E03E409" w14:textId="77777777" w:rsidR="008E5DC5" w:rsidRDefault="008E5DC5" w:rsidP="008E5DC5">
      <w:r w:rsidRPr="008E5DC5">
        <w:tab/>
        <w:t xml:space="preserve">If the defendant proves this, you must find for the defendant unless the plaintiff proves that the work is copyrightable under the other instructions I have given you, and also proves that:  </w:t>
      </w:r>
    </w:p>
    <w:p w14:paraId="26501E30" w14:textId="77777777" w:rsidR="008E5DC5" w:rsidRDefault="008E5DC5" w:rsidP="008E5DC5"/>
    <w:p w14:paraId="6AA2E716" w14:textId="77777777" w:rsidR="008E5DC5" w:rsidRDefault="008E5DC5" w:rsidP="00BD703F">
      <w:pPr>
        <w:ind w:left="1440" w:hanging="720"/>
      </w:pPr>
      <w:r w:rsidRPr="008E5DC5">
        <w:t xml:space="preserve">1. </w:t>
      </w:r>
      <w:r w:rsidRPr="008E5DC5">
        <w:tab/>
        <w:t xml:space="preserve">the plaintiff’s work can be imagined as a freestanding two- or three-dimensional pictorial, graphic, or sculptural work separate from the utilitarian aspects of the useful article; and  </w:t>
      </w:r>
    </w:p>
    <w:p w14:paraId="0688140F" w14:textId="77777777" w:rsidR="008E5DC5" w:rsidRDefault="008E5DC5" w:rsidP="00BD703F">
      <w:pPr>
        <w:ind w:left="1440" w:hanging="720"/>
      </w:pPr>
      <w:r>
        <w:t>2</w:t>
      </w:r>
      <w:r w:rsidRPr="008E5DC5">
        <w:t xml:space="preserve">. </w:t>
      </w:r>
      <w:r w:rsidRPr="008E5DC5">
        <w:tab/>
        <w:t xml:space="preserve">the plaintiff’s work would be copyrightable under the other instructions I have given you if it were imagined separately from the useful article of which it is a part.  </w:t>
      </w:r>
    </w:p>
    <w:p w14:paraId="2D76277E" w14:textId="77777777" w:rsidR="008E5DC5" w:rsidRDefault="008E5DC5" w:rsidP="008E5DC5"/>
    <w:p w14:paraId="28D5CE6A" w14:textId="77777777" w:rsidR="008E5DC5" w:rsidRPr="008E5DC5" w:rsidRDefault="008E5DC5" w:rsidP="008E5DC5">
      <w:pPr>
        <w:jc w:val="center"/>
        <w:rPr>
          <w:b/>
          <w:bCs/>
        </w:rPr>
      </w:pPr>
      <w:r w:rsidRPr="008E5DC5">
        <w:rPr>
          <w:b/>
          <w:bCs/>
        </w:rPr>
        <w:t>Comment</w:t>
      </w:r>
    </w:p>
    <w:p w14:paraId="2D5C707B" w14:textId="77777777" w:rsidR="008E5DC5" w:rsidRDefault="008E5DC5" w:rsidP="008E5DC5"/>
    <w:p w14:paraId="4E53EC75" w14:textId="77777777" w:rsidR="008E5DC5" w:rsidRDefault="008E5DC5" w:rsidP="008E5DC5">
      <w:r w:rsidRPr="008E5DC5">
        <w:tab/>
        <w:t xml:space="preserve">The elements of this instruction are taken from Star Athletica, L.L.C. v. Varsity Brands, Inc., 137 S. Ct. 1002 (2017).  The example of the cat lamp is taken from Mazer v. Stein, 347 U.S. 201, 214 (1954).  </w:t>
      </w:r>
    </w:p>
    <w:p w14:paraId="04A3332D" w14:textId="77777777" w:rsidR="008E5DC5" w:rsidRDefault="008E5DC5" w:rsidP="008E5DC5"/>
    <w:p w14:paraId="03EF03B1" w14:textId="77777777" w:rsidR="00BD703F" w:rsidRDefault="008E5DC5" w:rsidP="008E5DC5">
      <w:r w:rsidRPr="008E5DC5">
        <w:tab/>
        <w:t>Once the jury has mentally separated the copyrightable from the uncopyrightable aspects of the useful article, the useful article that remains need not continue to be useful for its intended purpose.  See Star Athletica,137 S.</w:t>
      </w:r>
      <w:r w:rsidR="00BD703F">
        <w:t xml:space="preserve"> </w:t>
      </w:r>
      <w:r w:rsidRPr="008E5DC5">
        <w:t xml:space="preserve">Ct. at 1010 (stating that statute “does not require the imagined remainder to be a functioning useful article at all, much less an equally useful one.”). </w:t>
      </w:r>
    </w:p>
    <w:p w14:paraId="036D5593" w14:textId="77777777" w:rsidR="00BD703F" w:rsidRDefault="00BD703F" w:rsidP="008E5DC5"/>
    <w:p w14:paraId="1478ABB1" w14:textId="77777777" w:rsidR="00BD703F" w:rsidRDefault="00BD703F" w:rsidP="008E5DC5"/>
    <w:p w14:paraId="745F5D1F" w14:textId="77777777" w:rsidR="008E5DC5" w:rsidRPr="00BD703F" w:rsidRDefault="008E5DC5" w:rsidP="00BD703F">
      <w:pPr>
        <w:jc w:val="right"/>
        <w:rPr>
          <w:i/>
          <w:iCs/>
        </w:rPr>
      </w:pPr>
      <w:r w:rsidRPr="00BD703F">
        <w:rPr>
          <w:i/>
          <w:iCs/>
        </w:rPr>
        <w:t>Added Dec. 2017</w:t>
      </w:r>
    </w:p>
    <w:p w14:paraId="09845478" w14:textId="77777777" w:rsidR="00BD703F" w:rsidRPr="008E5DC5" w:rsidRDefault="00BD703F" w:rsidP="008E5DC5"/>
    <w:p w14:paraId="34A929C8" w14:textId="1B722016" w:rsidR="008E5DC5" w:rsidRPr="006A4CD7" w:rsidRDefault="006A4CD7" w:rsidP="003C5BDE">
      <w:pPr>
        <w:pStyle w:val="Heading2"/>
      </w:pPr>
      <w:r w:rsidRPr="008E5DC5">
        <w:br w:type="page"/>
      </w:r>
      <w:bookmarkStart w:id="326" w:name="_Toc117512603"/>
      <w:r w:rsidRPr="006A4CD7">
        <w:t xml:space="preserve">17.22 </w:t>
      </w:r>
      <w:r w:rsidR="00646BCE" w:rsidRPr="00646BCE">
        <w:t>Copyright—Affirmative Defense—Fair Use</w:t>
      </w:r>
      <w:r w:rsidRPr="006A4CD7">
        <w:cr/>
        <w:t>(17 U.S.C. § 107)</w:t>
      </w:r>
      <w:bookmarkEnd w:id="326"/>
    </w:p>
    <w:p w14:paraId="58B49B3F" w14:textId="77777777" w:rsidR="006A4CD7" w:rsidRPr="006A4CD7" w:rsidRDefault="006A4CD7" w:rsidP="0060759C">
      <w:pPr>
        <w:autoSpaceDE w:val="0"/>
        <w:autoSpaceDN w:val="0"/>
        <w:adjustRightInd w:val="0"/>
        <w:rPr>
          <w:rFonts w:cs="Times New Roman"/>
          <w:szCs w:val="24"/>
        </w:rPr>
      </w:pPr>
    </w:p>
    <w:p w14:paraId="20B4B117" w14:textId="77777777" w:rsidR="00DF3A22" w:rsidRPr="00E7725E" w:rsidRDefault="006A4CD7" w:rsidP="00DF3A22">
      <w:pPr>
        <w:pStyle w:val="BodyText"/>
        <w:spacing w:line="247" w:lineRule="auto"/>
        <w:ind w:left="100" w:right="129" w:firstLine="720"/>
      </w:pPr>
      <w:r w:rsidRPr="006A4CD7">
        <w:tab/>
      </w:r>
      <w:r w:rsidR="00DF3A22"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4EFA8590" w14:textId="77777777" w:rsidR="00DF3A22" w:rsidRPr="00E7725E" w:rsidRDefault="00DF3A22" w:rsidP="00DF3A22">
      <w:pPr>
        <w:pStyle w:val="BodyText"/>
        <w:spacing w:before="3"/>
      </w:pPr>
    </w:p>
    <w:p w14:paraId="7BE2C6B7" w14:textId="77777777" w:rsidR="00DF3A22" w:rsidRPr="00E7725E" w:rsidRDefault="00DF3A22" w:rsidP="00DF3A22">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5EE5FC7" w14:textId="77777777" w:rsidR="00DF3A22" w:rsidRPr="00E7725E" w:rsidRDefault="00DF3A22" w:rsidP="00DF3A22">
      <w:pPr>
        <w:pStyle w:val="BodyText"/>
        <w:spacing w:before="3"/>
      </w:pPr>
    </w:p>
    <w:p w14:paraId="64DD3486" w14:textId="77777777" w:rsidR="00DF3A22" w:rsidRPr="00E7725E" w:rsidRDefault="00DF3A22" w:rsidP="00DF3A22">
      <w:pPr>
        <w:pStyle w:val="BodyText"/>
        <w:spacing w:line="247" w:lineRule="auto"/>
        <w:ind w:left="100" w:right="129" w:firstLine="720"/>
      </w:pPr>
      <w:r w:rsidRPr="00E7725E">
        <w:t>In determining whether the use made of the work was fair, you should consider the following factors:</w:t>
      </w:r>
    </w:p>
    <w:p w14:paraId="1534F3B7" w14:textId="77777777" w:rsidR="00DF3A22" w:rsidRPr="00E7725E" w:rsidRDefault="00DF3A22" w:rsidP="00DF3A22">
      <w:pPr>
        <w:pStyle w:val="BodyText"/>
        <w:spacing w:before="5"/>
      </w:pPr>
    </w:p>
    <w:p w14:paraId="2B7670B3"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165"/>
        <w:contextualSpacing w:val="0"/>
        <w:rPr>
          <w:rFonts w:cs="Times New Roman"/>
          <w:szCs w:val="24"/>
        </w:rPr>
      </w:pPr>
      <w:r w:rsidRPr="00E7725E">
        <w:rPr>
          <w:rFonts w:cs="Times New Roman"/>
          <w:szCs w:val="24"/>
        </w:rPr>
        <w:t>the purpose and character of the use, including whether the use is of a</w:t>
      </w:r>
      <w:r w:rsidRPr="00E7725E">
        <w:rPr>
          <w:rFonts w:cs="Times New Roman"/>
          <w:spacing w:val="-28"/>
          <w:szCs w:val="24"/>
        </w:rPr>
        <w:t xml:space="preserve"> </w:t>
      </w:r>
      <w:r w:rsidRPr="00E7725E">
        <w:rPr>
          <w:rFonts w:cs="Times New Roman"/>
          <w:szCs w:val="24"/>
        </w:rPr>
        <w:t>commercial nature or is for nonprofit educational purposes;</w:t>
      </w:r>
    </w:p>
    <w:p w14:paraId="79CE45DC" w14:textId="77777777" w:rsidR="00DF3A22" w:rsidRPr="00E7725E" w:rsidRDefault="00DF3A22" w:rsidP="00DF3A22">
      <w:pPr>
        <w:pStyle w:val="BodyText"/>
        <w:spacing w:before="5"/>
      </w:pPr>
    </w:p>
    <w:p w14:paraId="795B0A05" w14:textId="77777777" w:rsidR="00DF3A22" w:rsidRPr="00E7725E" w:rsidRDefault="00DF3A22" w:rsidP="00DF3A22">
      <w:pPr>
        <w:pStyle w:val="ListParagraph"/>
        <w:widowControl w:val="0"/>
        <w:numPr>
          <w:ilvl w:val="0"/>
          <w:numId w:val="13"/>
        </w:numPr>
        <w:tabs>
          <w:tab w:val="left" w:pos="1539"/>
          <w:tab w:val="left" w:pos="1540"/>
        </w:tabs>
        <w:autoSpaceDE w:val="0"/>
        <w:autoSpaceDN w:val="0"/>
        <w:contextualSpacing w:val="0"/>
        <w:rPr>
          <w:rFonts w:cs="Times New Roman"/>
          <w:szCs w:val="24"/>
        </w:rPr>
      </w:pPr>
      <w:r w:rsidRPr="00E7725E">
        <w:rPr>
          <w:rFonts w:cs="Times New Roman"/>
          <w:szCs w:val="24"/>
        </w:rPr>
        <w:t>the nature of the copyrighted</w:t>
      </w:r>
      <w:r w:rsidRPr="00E7725E">
        <w:rPr>
          <w:rFonts w:cs="Times New Roman"/>
          <w:spacing w:val="-1"/>
          <w:szCs w:val="24"/>
        </w:rPr>
        <w:t xml:space="preserve"> </w:t>
      </w:r>
      <w:r w:rsidRPr="00E7725E">
        <w:rPr>
          <w:rFonts w:cs="Times New Roman"/>
          <w:szCs w:val="24"/>
        </w:rPr>
        <w:t>work;</w:t>
      </w:r>
    </w:p>
    <w:p w14:paraId="349C60D2" w14:textId="77777777" w:rsidR="00DF3A22" w:rsidRPr="00E7725E" w:rsidRDefault="00DF3A22" w:rsidP="00DF3A22">
      <w:pPr>
        <w:pStyle w:val="BodyText"/>
        <w:spacing w:before="3"/>
      </w:pPr>
    </w:p>
    <w:p w14:paraId="6E3B2DA1"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525"/>
        <w:contextualSpacing w:val="0"/>
        <w:rPr>
          <w:rFonts w:cs="Times New Roman"/>
          <w:szCs w:val="24"/>
        </w:rPr>
      </w:pPr>
      <w:r w:rsidRPr="00E7725E">
        <w:rPr>
          <w:rFonts w:cs="Times New Roman"/>
          <w:szCs w:val="24"/>
        </w:rPr>
        <w:t xml:space="preserve">the amount and substantiality of the portion used in relation to the </w:t>
      </w:r>
      <w:r w:rsidRPr="00E7725E">
        <w:rPr>
          <w:rFonts w:cs="Times New Roman"/>
          <w:spacing w:val="-4"/>
          <w:szCs w:val="24"/>
        </w:rPr>
        <w:t xml:space="preserve">copyrighted </w:t>
      </w:r>
      <w:r w:rsidRPr="00E7725E">
        <w:rPr>
          <w:rFonts w:cs="Times New Roman"/>
          <w:szCs w:val="24"/>
        </w:rPr>
        <w:t>work as a whole;</w:t>
      </w:r>
    </w:p>
    <w:p w14:paraId="6F52756B" w14:textId="77777777" w:rsidR="00DF3A22" w:rsidRPr="00E7725E" w:rsidRDefault="00DF3A22" w:rsidP="00DF3A22">
      <w:pPr>
        <w:pStyle w:val="BodyText"/>
        <w:spacing w:before="5"/>
      </w:pPr>
    </w:p>
    <w:p w14:paraId="496F747E"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650"/>
        <w:contextualSpacing w:val="0"/>
        <w:rPr>
          <w:rFonts w:cs="Times New Roman"/>
          <w:szCs w:val="24"/>
        </w:rPr>
      </w:pPr>
      <w:r w:rsidRPr="00E7725E">
        <w:rPr>
          <w:rFonts w:cs="Times New Roman"/>
          <w:szCs w:val="24"/>
        </w:rPr>
        <w:t xml:space="preserve">the effect of the use upon the potential market for or value of the </w:t>
      </w:r>
      <w:r w:rsidRPr="00E7725E">
        <w:rPr>
          <w:rFonts w:cs="Times New Roman"/>
          <w:spacing w:val="-5"/>
          <w:szCs w:val="24"/>
        </w:rPr>
        <w:t xml:space="preserve">copyrighted </w:t>
      </w:r>
      <w:r w:rsidRPr="00E7725E">
        <w:rPr>
          <w:rFonts w:cs="Times New Roman"/>
          <w:szCs w:val="24"/>
        </w:rPr>
        <w:t>work; and</w:t>
      </w:r>
    </w:p>
    <w:p w14:paraId="53D4F1E5" w14:textId="77777777" w:rsidR="00DF3A22" w:rsidRPr="00E7725E" w:rsidRDefault="00DF3A22" w:rsidP="00DF3A22">
      <w:pPr>
        <w:pStyle w:val="BodyText"/>
        <w:spacing w:before="4"/>
      </w:pPr>
    </w:p>
    <w:p w14:paraId="2B50BC27" w14:textId="77777777" w:rsidR="00DF3A22" w:rsidRPr="00E7725E" w:rsidRDefault="00DF3A22" w:rsidP="00DF3A22">
      <w:pPr>
        <w:tabs>
          <w:tab w:val="left" w:pos="1539"/>
        </w:tabs>
        <w:spacing w:before="59"/>
        <w:ind w:left="820"/>
        <w:rPr>
          <w:rFonts w:cs="Times New Roman"/>
          <w:szCs w:val="24"/>
        </w:rPr>
      </w:pPr>
      <w:r w:rsidRPr="00E7725E">
        <w:rPr>
          <w:rFonts w:cs="Times New Roman"/>
          <w:szCs w:val="24"/>
        </w:rPr>
        <w:t>[(5)]</w:t>
      </w:r>
      <w:r w:rsidRPr="00E7725E">
        <w:rPr>
          <w:rFonts w:cs="Times New Roman"/>
          <w:szCs w:val="24"/>
        </w:rPr>
        <w:tab/>
        <w:t>[</w:t>
      </w:r>
      <w:r w:rsidRPr="00E7725E">
        <w:rPr>
          <w:rFonts w:cs="Times New Roman"/>
          <w:i/>
          <w:szCs w:val="24"/>
          <w:u w:val="single"/>
        </w:rPr>
        <w:t>insert any other factor that bears on the issue of fair use</w:t>
      </w:r>
      <w:r w:rsidRPr="00E7725E">
        <w:rPr>
          <w:rFonts w:cs="Times New Roman"/>
          <w:szCs w:val="24"/>
        </w:rPr>
        <w:t>].</w:t>
      </w:r>
    </w:p>
    <w:p w14:paraId="534EF577" w14:textId="77777777" w:rsidR="00DF3A22" w:rsidRPr="00E7725E" w:rsidRDefault="00DF3A22" w:rsidP="00DF3A22">
      <w:pPr>
        <w:pStyle w:val="BodyText"/>
        <w:spacing w:before="3"/>
      </w:pPr>
    </w:p>
    <w:p w14:paraId="172BB325" w14:textId="77777777" w:rsidR="00DF3A22" w:rsidRPr="00E7725E" w:rsidRDefault="00DF3A22" w:rsidP="00DF3A22">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02844EEA" w14:textId="77777777" w:rsidR="00DF3A22" w:rsidRPr="00E7725E" w:rsidRDefault="00DF3A22" w:rsidP="00DF3A22">
      <w:pPr>
        <w:pStyle w:val="BodyText"/>
        <w:spacing w:before="10"/>
      </w:pPr>
    </w:p>
    <w:p w14:paraId="28D40A87" w14:textId="77777777" w:rsidR="00DF3A22" w:rsidRPr="004F2DA0" w:rsidRDefault="00DF3A22" w:rsidP="004F2DA0">
      <w:pPr>
        <w:jc w:val="center"/>
        <w:rPr>
          <w:b/>
          <w:bCs/>
        </w:rPr>
      </w:pPr>
      <w:r w:rsidRPr="004F2DA0">
        <w:rPr>
          <w:b/>
          <w:bCs/>
        </w:rPr>
        <w:t>Comment</w:t>
      </w:r>
    </w:p>
    <w:p w14:paraId="69A49444" w14:textId="77777777" w:rsidR="00DF3A22" w:rsidRPr="00E7725E" w:rsidRDefault="00DF3A22" w:rsidP="00DF3A22">
      <w:pPr>
        <w:pStyle w:val="BodyText"/>
        <w:spacing w:before="9"/>
        <w:rPr>
          <w:b/>
        </w:rPr>
      </w:pPr>
    </w:p>
    <w:p w14:paraId="402A5D21" w14:textId="77BA709F" w:rsidR="00DF3A22" w:rsidRPr="00E7725E" w:rsidRDefault="00DF3A22" w:rsidP="009262BE">
      <w:pPr>
        <w:pStyle w:val="BodyText"/>
        <w:spacing w:before="1" w:line="247" w:lineRule="auto"/>
        <w:ind w:left="100" w:right="129" w:firstLine="720"/>
      </w:pPr>
      <w:r w:rsidRPr="00E7725E">
        <w:t xml:space="preserve">Fair use is generally an affirmative defense. </w:t>
      </w:r>
      <w:r w:rsidRPr="00E7725E">
        <w:rPr>
          <w:i/>
        </w:rPr>
        <w:t xml:space="preserve">See </w:t>
      </w:r>
      <w:r w:rsidR="00D10B92" w:rsidRPr="00E7725E">
        <w:rPr>
          <w:i/>
        </w:rPr>
        <w:t>e.g.,</w:t>
      </w:r>
      <w:r w:rsidRPr="00E7725E">
        <w:rPr>
          <w:i/>
        </w:rPr>
        <w:t xml:space="preserve">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510 U.S. 569, 577 (1994)).</w:t>
      </w:r>
    </w:p>
    <w:p w14:paraId="34439CC5" w14:textId="0E30623A" w:rsidR="00DF3A22" w:rsidRDefault="00DF3A22" w:rsidP="00DF3A22">
      <w:pPr>
        <w:spacing w:before="30" w:line="247" w:lineRule="auto"/>
        <w:ind w:left="100" w:right="227" w:firstLine="720"/>
        <w:rPr>
          <w:rFonts w:cs="Times New Roman"/>
          <w:szCs w:val="24"/>
        </w:rPr>
      </w:pPr>
      <w:r w:rsidRPr="00E7725E">
        <w:rPr>
          <w:rFonts w:cs="Times New Roman"/>
          <w:szCs w:val="24"/>
        </w:rPr>
        <w:t xml:space="preserve">The first paragraph of this instruction describing the effect of a fair use finding is drawn from </w:t>
      </w:r>
      <w:r w:rsidRPr="00E7725E">
        <w:rPr>
          <w:rFonts w:cs="Times New Roman"/>
          <w:i/>
          <w:szCs w:val="24"/>
        </w:rPr>
        <w:t>Triad Systems Corp. v. Southeastern Express Co.</w:t>
      </w:r>
      <w:r w:rsidRPr="00E7725E">
        <w:rPr>
          <w:rFonts w:cs="Times New Roman"/>
          <w:szCs w:val="24"/>
        </w:rPr>
        <w:t xml:space="preserve">, 64 F.3d 1330, 1336 (9th Cir. 1995) (holding that fair use permits use of copyrighted material in reasonable manner without consent of copyright owner), </w:t>
      </w:r>
      <w:r w:rsidRPr="00E7725E">
        <w:rPr>
          <w:rFonts w:cs="Times New Roman"/>
          <w:i/>
          <w:szCs w:val="24"/>
        </w:rPr>
        <w:t xml:space="preserve">superseded by statute as stated in Apple Inc. v. </w:t>
      </w:r>
      <w:proofErr w:type="spellStart"/>
      <w:r w:rsidRPr="00E7725E">
        <w:rPr>
          <w:rFonts w:cs="Times New Roman"/>
          <w:i/>
          <w:szCs w:val="24"/>
        </w:rPr>
        <w:t>Psystar</w:t>
      </w:r>
      <w:proofErr w:type="spellEnd"/>
      <w:r w:rsidRPr="00E7725E">
        <w:rPr>
          <w:rFonts w:cs="Times New Roman"/>
          <w:i/>
          <w:szCs w:val="24"/>
        </w:rPr>
        <w:t xml:space="preserve"> Corp</w:t>
      </w:r>
      <w:r w:rsidRPr="00E7725E">
        <w:rPr>
          <w:rFonts w:cs="Times New Roman"/>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cs="Times New Roman"/>
          <w:i/>
          <w:szCs w:val="24"/>
        </w:rPr>
        <w:t>See Elvis Presley Enters., Inc. v. Passport Video</w:t>
      </w:r>
      <w:r w:rsidRPr="00E7725E">
        <w:rPr>
          <w:rFonts w:cs="Times New Roman"/>
          <w:szCs w:val="24"/>
        </w:rPr>
        <w:t xml:space="preserve">, 349 F.3d 622, 627 (9th Cir. 2003) (“[W]e may not treat the [fair use] factors in isolation from one another.”), </w:t>
      </w:r>
      <w:r w:rsidRPr="00E7725E">
        <w:rPr>
          <w:rFonts w:cs="Times New Roman"/>
          <w:i/>
          <w:szCs w:val="24"/>
        </w:rPr>
        <w:t>overruling on other grounds recognized by Seltzer v. Green Day, Inc</w:t>
      </w:r>
      <w:r w:rsidRPr="00E7725E">
        <w:rPr>
          <w:rFonts w:cs="Times New Roman"/>
          <w:szCs w:val="24"/>
        </w:rPr>
        <w:t xml:space="preserve">., 725 F.3d 1170, 1177 (9th Cir. 2013); </w:t>
      </w:r>
      <w:r w:rsidRPr="00E7725E">
        <w:rPr>
          <w:rFonts w:cs="Times New Roman"/>
          <w:i/>
          <w:szCs w:val="24"/>
        </w:rPr>
        <w:t>Dr. Seuss Enters., L.P. v. Penguin Books USA, Inc.</w:t>
      </w:r>
      <w:r w:rsidRPr="00E7725E">
        <w:rPr>
          <w:rFonts w:cs="Times New Roman"/>
          <w:szCs w:val="24"/>
        </w:rPr>
        <w:t xml:space="preserve">, 109 F.3d 1394, 1399 (9th Cir. 1997). In appropriate circumstances, the court may enumerate additional factors. </w:t>
      </w:r>
      <w:r w:rsidRPr="00E7725E">
        <w:rPr>
          <w:rFonts w:cs="Times New Roman"/>
          <w:i/>
          <w:szCs w:val="24"/>
        </w:rPr>
        <w:t>See Campbell</w:t>
      </w:r>
      <w:r w:rsidRPr="00E7725E">
        <w:rPr>
          <w:rFonts w:cs="Times New Roman"/>
          <w:szCs w:val="24"/>
        </w:rPr>
        <w:t>, 510 U.S. at 585 n.18 (considering defendant’s state of mind/good faith as factor).</w:t>
      </w:r>
    </w:p>
    <w:p w14:paraId="71351074" w14:textId="77777777" w:rsidR="009262BE" w:rsidRPr="00E7725E" w:rsidRDefault="009262BE" w:rsidP="00DF3A22">
      <w:pPr>
        <w:spacing w:before="30" w:line="247" w:lineRule="auto"/>
        <w:ind w:left="100" w:right="227" w:firstLine="720"/>
        <w:rPr>
          <w:rFonts w:cs="Times New Roman"/>
          <w:szCs w:val="24"/>
        </w:rPr>
      </w:pPr>
    </w:p>
    <w:p w14:paraId="20E20CFB"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For an analysis of the fair use factors, </w:t>
      </w:r>
      <w:r w:rsidRPr="00E7725E">
        <w:rPr>
          <w:rFonts w:cs="Times New Roman"/>
          <w:i/>
          <w:szCs w:val="24"/>
        </w:rPr>
        <w:t>see Campbell v. Acuff-Rose Music, Inc</w:t>
      </w:r>
      <w:r w:rsidRPr="00E7725E">
        <w:rPr>
          <w:rFonts w:cs="Times New Roman"/>
          <w:szCs w:val="24"/>
        </w:rPr>
        <w:t xml:space="preserve">., 510 U.S. 569, 578-94 (1994); </w:t>
      </w:r>
      <w:r w:rsidRPr="00E7725E">
        <w:rPr>
          <w:rFonts w:cs="Times New Roman"/>
          <w:i/>
          <w:szCs w:val="24"/>
        </w:rPr>
        <w:t>Harper &amp; Row, Publishers, Inc. v. Nation Enterprises</w:t>
      </w:r>
      <w:r w:rsidRPr="00E7725E">
        <w:rPr>
          <w:rFonts w:cs="Times New Roman"/>
          <w:szCs w:val="24"/>
        </w:rPr>
        <w:t xml:space="preserve">, 471 U.S. 539, </w:t>
      </w:r>
      <w:r w:rsidRPr="00E7725E">
        <w:rPr>
          <w:rFonts w:cs="Times New Roman"/>
          <w:spacing w:val="-3"/>
          <w:szCs w:val="24"/>
        </w:rPr>
        <w:t xml:space="preserve">560-69 </w:t>
      </w:r>
      <w:r w:rsidRPr="00E7725E">
        <w:rPr>
          <w:rFonts w:cs="Times New Roman"/>
          <w:szCs w:val="24"/>
        </w:rPr>
        <w:t xml:space="preserve">(1985); </w:t>
      </w:r>
      <w:proofErr w:type="spellStart"/>
      <w:r w:rsidRPr="00E7725E">
        <w:rPr>
          <w:rFonts w:cs="Times New Roman"/>
          <w:i/>
          <w:szCs w:val="24"/>
        </w:rPr>
        <w:t>Tresóna</w:t>
      </w:r>
      <w:proofErr w:type="spellEnd"/>
      <w:r w:rsidRPr="00E7725E">
        <w:rPr>
          <w:rFonts w:cs="Times New Roman"/>
          <w:i/>
          <w:szCs w:val="24"/>
        </w:rPr>
        <w:t xml:space="preserve"> Multimedia, LLC v. Burbank High School Music </w:t>
      </w:r>
      <w:proofErr w:type="spellStart"/>
      <w:r w:rsidRPr="00E7725E">
        <w:rPr>
          <w:rFonts w:cs="Times New Roman"/>
          <w:i/>
          <w:szCs w:val="24"/>
        </w:rPr>
        <w:t>Ass’n</w:t>
      </w:r>
      <w:proofErr w:type="spellEnd"/>
      <w:r w:rsidRPr="00E7725E">
        <w:rPr>
          <w:rFonts w:cs="Times New Roman"/>
          <w:szCs w:val="24"/>
        </w:rPr>
        <w:t xml:space="preserve">, 953 F.3d 638, 647-52 (9th Cir. 2020). The instruction provided here is a basic instruction that could be supplemented by the court to suggest how the presence or absence of any particular factor may tend to support or detract from a finding of fair use. Similarly, the court may find it appropriate to supplement this instruction to suggest to the jury how to weigh the factors.  </w:t>
      </w:r>
      <w:r w:rsidRPr="00E7725E">
        <w:rPr>
          <w:rFonts w:cs="Times New Roman"/>
          <w:i/>
          <w:szCs w:val="24"/>
        </w:rPr>
        <w:t>See Dr. Seuss Enters.</w:t>
      </w:r>
      <w:r w:rsidRPr="00E7725E">
        <w:rPr>
          <w:rFonts w:cs="Times New Roman"/>
          <w:szCs w:val="24"/>
        </w:rPr>
        <w:t>, 109 F.3d at 1399 (“Congress viewed these four criteria as guidelines for ‘balancing the equities,’ not as ‘definitive or determinative’ tests.” (citation omitted)).</w:t>
      </w:r>
    </w:p>
    <w:p w14:paraId="1B18C3BD" w14:textId="77777777" w:rsidR="00DF3A22" w:rsidRPr="00E7725E" w:rsidRDefault="00DF3A22" w:rsidP="00DF3A22">
      <w:pPr>
        <w:pStyle w:val="BodyText"/>
        <w:spacing w:before="10"/>
      </w:pPr>
    </w:p>
    <w:p w14:paraId="2019F93C" w14:textId="77777777" w:rsidR="00DF3A22" w:rsidRPr="00E7725E" w:rsidRDefault="00DF3A22" w:rsidP="00DF3A22">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1F7B48E4" w14:textId="77777777" w:rsidR="00DF3A22" w:rsidRPr="00E7725E" w:rsidRDefault="00DF3A22" w:rsidP="00DF3A22">
      <w:pPr>
        <w:pStyle w:val="BodyText"/>
        <w:spacing w:before="8"/>
      </w:pPr>
    </w:p>
    <w:p w14:paraId="57A8215A"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44" w:firstLine="0"/>
        <w:contextualSpacing w:val="0"/>
        <w:rPr>
          <w:rFonts w:cs="Times New Roman"/>
          <w:szCs w:val="24"/>
        </w:rPr>
      </w:pPr>
      <w:r w:rsidRPr="00E7725E">
        <w:rPr>
          <w:rFonts w:cs="Times New Roman"/>
          <w:b/>
          <w:szCs w:val="24"/>
        </w:rPr>
        <w:t>Purpose and Character of the Defendant’s Use</w:t>
      </w:r>
      <w:r w:rsidRPr="00E7725E">
        <w:rPr>
          <w:rFonts w:cs="Times New Roman"/>
          <w:szCs w:val="24"/>
        </w:rPr>
        <w:t xml:space="preserve">, including whether such use is of a commercial nature or is for nonprofit educational purposes: </w:t>
      </w:r>
      <w:r w:rsidRPr="00E7725E">
        <w:rPr>
          <w:rFonts w:cs="Times New Roman"/>
          <w:i/>
          <w:szCs w:val="24"/>
        </w:rPr>
        <w:t>Campbell</w:t>
      </w:r>
      <w:r w:rsidRPr="00E7725E">
        <w:rPr>
          <w:rFonts w:cs="Times New Roman"/>
          <w:szCs w:val="24"/>
        </w:rPr>
        <w:t xml:space="preserve">, 510 U.S. at 579-80, </w:t>
      </w:r>
      <w:r w:rsidRPr="00E7725E">
        <w:rPr>
          <w:rFonts w:cs="Times New Roman"/>
          <w:spacing w:val="-5"/>
          <w:szCs w:val="24"/>
        </w:rPr>
        <w:t xml:space="preserve">583, </w:t>
      </w:r>
      <w:r w:rsidRPr="00E7725E">
        <w:rPr>
          <w:rFonts w:cs="Times New Roman"/>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cs="Times New Roman"/>
          <w:i/>
          <w:szCs w:val="24"/>
        </w:rPr>
        <w:t>VHT,</w:t>
      </w:r>
      <w:r w:rsidRPr="00E7725E">
        <w:rPr>
          <w:rFonts w:cs="Times New Roman"/>
          <w:i/>
          <w:spacing w:val="-20"/>
          <w:szCs w:val="24"/>
        </w:rPr>
        <w:t xml:space="preserve"> </w:t>
      </w:r>
      <w:r w:rsidRPr="00E7725E">
        <w:rPr>
          <w:rFonts w:cs="Times New Roman"/>
          <w:i/>
          <w:spacing w:val="-3"/>
          <w:szCs w:val="24"/>
        </w:rPr>
        <w:t xml:space="preserve">Inc. </w:t>
      </w:r>
      <w:r w:rsidRPr="00E7725E">
        <w:rPr>
          <w:rFonts w:cs="Times New Roman"/>
          <w:i/>
          <w:szCs w:val="24"/>
        </w:rPr>
        <w:t>v. Zillow Grp., Inc</w:t>
      </w:r>
      <w:r w:rsidRPr="00E7725E">
        <w:rPr>
          <w:rFonts w:cs="Times New Roman"/>
          <w:szCs w:val="24"/>
        </w:rPr>
        <w:t xml:space="preserve">., 918 F.3d 723, 743 (9th Cir. 2019) (concluding website’s tagging of photos for searchable functionality was not transformative); </w:t>
      </w:r>
      <w:r w:rsidRPr="00E7725E">
        <w:rPr>
          <w:rFonts w:cs="Times New Roman"/>
          <w:i/>
          <w:szCs w:val="24"/>
        </w:rPr>
        <w:t>Seltzer</w:t>
      </w:r>
      <w:r w:rsidRPr="00E7725E">
        <w:rPr>
          <w:rFonts w:cs="Times New Roman"/>
          <w:szCs w:val="24"/>
        </w:rPr>
        <w:t>, 725 F.3d at 1176-77 (finding</w:t>
      </w:r>
      <w:r w:rsidRPr="00E7725E">
        <w:rPr>
          <w:rFonts w:cs="Times New Roman"/>
          <w:spacing w:val="-24"/>
          <w:szCs w:val="24"/>
        </w:rPr>
        <w:t xml:space="preserve"> </w:t>
      </w:r>
      <w:r w:rsidRPr="00E7725E">
        <w:rPr>
          <w:rFonts w:cs="Times New Roman"/>
          <w:spacing w:val="-3"/>
          <w:szCs w:val="24"/>
        </w:rPr>
        <w:t xml:space="preserve">band’s </w:t>
      </w:r>
      <w:r w:rsidRPr="00E7725E">
        <w:rPr>
          <w:rFonts w:cs="Times New Roman"/>
          <w:szCs w:val="24"/>
        </w:rPr>
        <w:t xml:space="preserve">use of artist’s original work in its four-minute concert video backdrop transformative because original work took on new and different meaning in video); </w:t>
      </w:r>
      <w:proofErr w:type="spellStart"/>
      <w:r w:rsidRPr="00E7725E">
        <w:rPr>
          <w:rFonts w:cs="Times New Roman"/>
          <w:i/>
          <w:szCs w:val="24"/>
        </w:rPr>
        <w:t>Tresóna</w:t>
      </w:r>
      <w:proofErr w:type="spellEnd"/>
      <w:r w:rsidRPr="00E7725E">
        <w:rPr>
          <w:rFonts w:cs="Times New Roman"/>
          <w:i/>
          <w:szCs w:val="24"/>
        </w:rPr>
        <w:t xml:space="preserve"> Multimedia, LLC v. Burbank High School Music </w:t>
      </w:r>
      <w:proofErr w:type="spellStart"/>
      <w:r w:rsidRPr="00E7725E">
        <w:rPr>
          <w:rFonts w:cs="Times New Roman"/>
          <w:i/>
          <w:szCs w:val="24"/>
        </w:rPr>
        <w:t>Ass’n</w:t>
      </w:r>
      <w:proofErr w:type="spellEnd"/>
      <w:r w:rsidRPr="00E7725E">
        <w:rPr>
          <w:rFonts w:cs="Times New Roman"/>
          <w:szCs w:val="24"/>
        </w:rPr>
        <w:t xml:space="preserve">, 953 F.3d at 648 (observing that use of song in show was for “nonprofit educational purposes and the resulting work was transformative”); </w:t>
      </w:r>
      <w:r w:rsidRPr="00E7725E">
        <w:rPr>
          <w:rFonts w:cs="Times New Roman"/>
          <w:i/>
          <w:szCs w:val="24"/>
        </w:rPr>
        <w:t xml:space="preserve">Disney Enterprises, Inc. v. </w:t>
      </w:r>
      <w:proofErr w:type="spellStart"/>
      <w:r w:rsidRPr="00E7725E">
        <w:rPr>
          <w:rFonts w:cs="Times New Roman"/>
          <w:i/>
          <w:szCs w:val="24"/>
        </w:rPr>
        <w:t>VidAngel</w:t>
      </w:r>
      <w:proofErr w:type="spellEnd"/>
      <w:r w:rsidRPr="00E7725E">
        <w:rPr>
          <w:rFonts w:cs="Times New Roman"/>
          <w:i/>
          <w:szCs w:val="24"/>
        </w:rPr>
        <w:t>, Inc.</w:t>
      </w:r>
      <w:r w:rsidRPr="00E7725E">
        <w:rPr>
          <w:rFonts w:cs="Times New Roman"/>
          <w:szCs w:val="24"/>
        </w:rPr>
        <w:t xml:space="preserve">, 869 F.3d 848 (9th Cir. 2017) (concluding that removing objectionable content from film for streaming to customers is not transformative); </w:t>
      </w:r>
      <w:r w:rsidRPr="00E7725E">
        <w:rPr>
          <w:rFonts w:cs="Times New Roman"/>
          <w:i/>
          <w:szCs w:val="24"/>
        </w:rPr>
        <w:t>SOFA Entm’t, Inc. v. Dodger Prods., Inc.</w:t>
      </w:r>
      <w:r w:rsidRPr="00E7725E">
        <w:rPr>
          <w:rFonts w:cs="Times New Roman"/>
          <w:szCs w:val="24"/>
        </w:rPr>
        <w:t xml:space="preserve">, 709 F.3d 1273, 1278 (9th Cir. 2013) (stating that use of seven- second television clip that introduces band as “biographical anchor” in musical about band supports finding of fair use); </w:t>
      </w:r>
      <w:r w:rsidRPr="00E7725E">
        <w:rPr>
          <w:rFonts w:cs="Times New Roman"/>
          <w:i/>
          <w:szCs w:val="24"/>
        </w:rPr>
        <w:t>Monge v. Maya Magazines, Inc.</w:t>
      </w:r>
      <w:r w:rsidRPr="00E7725E">
        <w:rPr>
          <w:rFonts w:cs="Times New Roman"/>
          <w:szCs w:val="24"/>
        </w:rPr>
        <w:t>, 688 F.3d 1164, 1176-77 (9th Cir. 2012) (concluding that publisher’s use of newsworthy wedding photographs of celebrities was not fair use because such use was, among other things, minimally transformative</w:t>
      </w:r>
      <w:r w:rsidRPr="00E7725E">
        <w:rPr>
          <w:rFonts w:cs="Times New Roman"/>
          <w:spacing w:val="-20"/>
          <w:szCs w:val="24"/>
        </w:rPr>
        <w:t xml:space="preserve"> </w:t>
      </w:r>
      <w:r w:rsidRPr="00E7725E">
        <w:rPr>
          <w:rFonts w:cs="Times New Roman"/>
          <w:szCs w:val="24"/>
        </w:rPr>
        <w:t xml:space="preserve">and indisputably commercial); </w:t>
      </w:r>
      <w:r w:rsidRPr="00E7725E">
        <w:rPr>
          <w:rFonts w:cs="Times New Roman"/>
          <w:i/>
          <w:szCs w:val="24"/>
        </w:rPr>
        <w:t>Elvis Presley Enters.</w:t>
      </w:r>
      <w:r w:rsidRPr="00E7725E">
        <w:rPr>
          <w:rFonts w:cs="Times New Roman"/>
          <w:szCs w:val="24"/>
        </w:rPr>
        <w:t xml:space="preserve">, 349 F.3d at 629 (“Courts have described new works as ‘transformative’ when works use copyrighted material for purposes distinct from the purpose of original material.”); </w:t>
      </w:r>
      <w:r w:rsidRPr="00E7725E">
        <w:rPr>
          <w:rFonts w:cs="Times New Roman"/>
          <w:i/>
          <w:spacing w:val="-4"/>
          <w:szCs w:val="24"/>
        </w:rPr>
        <w:t xml:space="preserve">A&amp;M </w:t>
      </w:r>
      <w:r w:rsidRPr="00E7725E">
        <w:rPr>
          <w:rFonts w:cs="Times New Roman"/>
          <w:i/>
          <w:szCs w:val="24"/>
        </w:rPr>
        <w:t>Records, Inc. v. Napster, Inc.</w:t>
      </w:r>
      <w:r w:rsidRPr="00E7725E">
        <w:rPr>
          <w:rFonts w:cs="Times New Roman"/>
          <w:szCs w:val="24"/>
        </w:rPr>
        <w:t xml:space="preserve">, 239 F.3d 1004, 1015 (9th Cir. 2001) (stating that commercial use does not require direct financial benefit and that “commercial use weighs against a finding of fair use but is not conclusive”); </w:t>
      </w:r>
      <w:r w:rsidRPr="00E7725E">
        <w:rPr>
          <w:rFonts w:cs="Times New Roman"/>
          <w:i/>
          <w:szCs w:val="24"/>
        </w:rPr>
        <w:t>Sony Computer Entm’t, Inc. v. Connectix Corp.</w:t>
      </w:r>
      <w:r w:rsidRPr="00E7725E">
        <w:rPr>
          <w:rFonts w:cs="Times New Roman"/>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cs="Times New Roman"/>
          <w:i/>
          <w:szCs w:val="24"/>
        </w:rPr>
        <w:t>L.A. News Serv. v. KCAL-TV Channel 9</w:t>
      </w:r>
      <w:r w:rsidRPr="00E7725E">
        <w:rPr>
          <w:rFonts w:cs="Times New Roman"/>
          <w:szCs w:val="24"/>
        </w:rPr>
        <w:t xml:space="preserve">, 108 F.3d 1119, 1121 (9th Cir. 1997) (examining whether unauthorized use of news report by defendant news station competed with infringed work); </w:t>
      </w:r>
      <w:r w:rsidRPr="00E7725E">
        <w:rPr>
          <w:rFonts w:cs="Times New Roman"/>
          <w:i/>
          <w:iCs/>
          <w:szCs w:val="24"/>
        </w:rPr>
        <w:t xml:space="preserve">Dr. Seuss </w:t>
      </w:r>
      <w:proofErr w:type="spellStart"/>
      <w:r w:rsidRPr="00E7725E">
        <w:rPr>
          <w:rFonts w:cs="Times New Roman"/>
          <w:i/>
          <w:iCs/>
          <w:szCs w:val="24"/>
        </w:rPr>
        <w:t>Entprs</w:t>
      </w:r>
      <w:proofErr w:type="spellEnd"/>
      <w:r w:rsidRPr="00E7725E">
        <w:rPr>
          <w:rFonts w:cs="Times New Roman"/>
          <w:i/>
          <w:iCs/>
          <w:szCs w:val="24"/>
        </w:rPr>
        <w:t xml:space="preserve">., L.P. v. </w:t>
      </w:r>
      <w:proofErr w:type="spellStart"/>
      <w:r w:rsidRPr="00E7725E">
        <w:rPr>
          <w:rFonts w:cs="Times New Roman"/>
          <w:i/>
          <w:iCs/>
          <w:szCs w:val="24"/>
        </w:rPr>
        <w:t>ComicMix</w:t>
      </w:r>
      <w:proofErr w:type="spellEnd"/>
      <w:r w:rsidRPr="00E7725E">
        <w:rPr>
          <w:rFonts w:cs="Times New Roman"/>
          <w:i/>
          <w:iCs/>
          <w:szCs w:val="24"/>
        </w:rPr>
        <w:t xml:space="preserve"> LLC</w:t>
      </w:r>
      <w:r w:rsidRPr="00E7725E">
        <w:rPr>
          <w:rFonts w:cs="Times New Roman"/>
          <w:szCs w:val="24"/>
        </w:rPr>
        <w:t xml:space="preserve">, 983 F.3d 443, 452–53 (9th Cir. 2020) (holding that infringing use was not parody and thus not transformative because it did not critique or ridicule the original). Generally, “the more transformative </w:t>
      </w:r>
      <w:r w:rsidRPr="00E7725E">
        <w:rPr>
          <w:rFonts w:cs="Times New Roman"/>
          <w:spacing w:val="-6"/>
          <w:szCs w:val="24"/>
        </w:rPr>
        <w:t xml:space="preserve">the </w:t>
      </w:r>
      <w:r w:rsidRPr="00E7725E">
        <w:rPr>
          <w:rFonts w:cs="Times New Roman"/>
          <w:szCs w:val="24"/>
        </w:rPr>
        <w:t xml:space="preserve">new work, the less will be the significance of other factors, like commercialism, that may weigh against a finding of fair use.” </w:t>
      </w:r>
      <w:r w:rsidRPr="00E7725E">
        <w:rPr>
          <w:rFonts w:cs="Times New Roman"/>
          <w:i/>
          <w:szCs w:val="24"/>
        </w:rPr>
        <w:t>Campbell</w:t>
      </w:r>
      <w:r w:rsidRPr="00E7725E">
        <w:rPr>
          <w:rFonts w:cs="Times New Roman"/>
          <w:szCs w:val="24"/>
        </w:rPr>
        <w:t>, 510 U.S. at 579. “[P]</w:t>
      </w:r>
      <w:proofErr w:type="spellStart"/>
      <w:r w:rsidRPr="00E7725E">
        <w:rPr>
          <w:rFonts w:cs="Times New Roman"/>
          <w:szCs w:val="24"/>
        </w:rPr>
        <w:t>arody</w:t>
      </w:r>
      <w:proofErr w:type="spellEnd"/>
      <w:r w:rsidRPr="00E7725E">
        <w:rPr>
          <w:rFonts w:cs="Times New Roman"/>
          <w:szCs w:val="24"/>
        </w:rPr>
        <w:t xml:space="preserve"> has an obvious claim to transformative value.”</w:t>
      </w:r>
      <w:r w:rsidRPr="00E7725E">
        <w:rPr>
          <w:rFonts w:cs="Times New Roman"/>
          <w:spacing w:val="53"/>
          <w:szCs w:val="24"/>
        </w:rPr>
        <w:t xml:space="preserve"> </w:t>
      </w:r>
      <w:r w:rsidRPr="00E7725E">
        <w:rPr>
          <w:rFonts w:cs="Times New Roman"/>
          <w:i/>
          <w:szCs w:val="24"/>
        </w:rPr>
        <w:t>Id</w:t>
      </w:r>
      <w:r w:rsidRPr="00E7725E">
        <w:rPr>
          <w:rFonts w:cs="Times New Roman"/>
          <w:szCs w:val="24"/>
        </w:rPr>
        <w:t>.</w:t>
      </w:r>
    </w:p>
    <w:p w14:paraId="68146152" w14:textId="77777777" w:rsidR="00DF3A22" w:rsidRPr="00E7725E" w:rsidRDefault="00DF3A22" w:rsidP="00DF3A22">
      <w:pPr>
        <w:pStyle w:val="BodyText"/>
        <w:spacing w:before="10"/>
      </w:pPr>
    </w:p>
    <w:p w14:paraId="70E668A5"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19" w:firstLine="0"/>
        <w:contextualSpacing w:val="0"/>
        <w:rPr>
          <w:rFonts w:cs="Times New Roman"/>
          <w:szCs w:val="24"/>
        </w:rPr>
      </w:pPr>
      <w:r w:rsidRPr="00E7725E">
        <w:rPr>
          <w:rFonts w:cs="Times New Roman"/>
          <w:b/>
          <w:szCs w:val="24"/>
        </w:rPr>
        <w:t xml:space="preserve">Nature of Copyrighted Work: </w:t>
      </w:r>
      <w:r w:rsidRPr="00E7725E">
        <w:rPr>
          <w:rFonts w:cs="Times New Roman"/>
          <w:szCs w:val="24"/>
        </w:rPr>
        <w:t xml:space="preserve">17 U.S.C. § 107 (“The fact that a work is unpublished shall not itself bar a finding of fair use.”); </w:t>
      </w:r>
      <w:r w:rsidRPr="00E7725E">
        <w:rPr>
          <w:rFonts w:cs="Times New Roman"/>
          <w:i/>
          <w:szCs w:val="24"/>
        </w:rPr>
        <w:t>Campbell</w:t>
      </w:r>
      <w:r w:rsidRPr="00E7725E">
        <w:rPr>
          <w:rFonts w:cs="Times New Roman"/>
          <w:szCs w:val="24"/>
        </w:rPr>
        <w:t xml:space="preserve">, 510 U.S. at 586 (considering whether work is factual or creative in nature and whether it was published); </w:t>
      </w:r>
      <w:r w:rsidRPr="00E7725E">
        <w:rPr>
          <w:rFonts w:cs="Times New Roman"/>
          <w:i/>
          <w:szCs w:val="24"/>
        </w:rPr>
        <w:t>Seltzer</w:t>
      </w:r>
      <w:r w:rsidRPr="00E7725E">
        <w:rPr>
          <w:rFonts w:cs="Times New Roman"/>
          <w:szCs w:val="24"/>
        </w:rPr>
        <w:t xml:space="preserve">, 725 F.3d at 1178 (noting that prior publication by original author tends to support finding of fair use); </w:t>
      </w:r>
      <w:r w:rsidRPr="00E7725E">
        <w:rPr>
          <w:rFonts w:cs="Times New Roman"/>
          <w:i/>
          <w:szCs w:val="24"/>
        </w:rPr>
        <w:t>Napster</w:t>
      </w:r>
      <w:r w:rsidRPr="00E7725E">
        <w:rPr>
          <w:rFonts w:cs="Times New Roman"/>
          <w:szCs w:val="24"/>
        </w:rPr>
        <w:t xml:space="preserve">, 239 F.3d at 1016 (stating that use of copyrighted creative work cuts against fair use finding); </w:t>
      </w:r>
      <w:proofErr w:type="spellStart"/>
      <w:r w:rsidRPr="00E7725E">
        <w:rPr>
          <w:rFonts w:cs="Times New Roman"/>
          <w:i/>
          <w:szCs w:val="24"/>
        </w:rPr>
        <w:t>Bleem</w:t>
      </w:r>
      <w:proofErr w:type="spellEnd"/>
      <w:r w:rsidRPr="00E7725E">
        <w:rPr>
          <w:rFonts w:cs="Times New Roman"/>
          <w:szCs w:val="24"/>
        </w:rPr>
        <w:t>, 214</w:t>
      </w:r>
      <w:r w:rsidRPr="00E7725E">
        <w:rPr>
          <w:rFonts w:cs="Times New Roman"/>
          <w:spacing w:val="-30"/>
          <w:szCs w:val="24"/>
        </w:rPr>
        <w:t xml:space="preserve"> </w:t>
      </w:r>
      <w:r w:rsidRPr="00E7725E">
        <w:rPr>
          <w:rFonts w:cs="Times New Roman"/>
          <w:spacing w:val="-5"/>
          <w:szCs w:val="24"/>
        </w:rPr>
        <w:t xml:space="preserve">F.3d </w:t>
      </w:r>
      <w:r w:rsidRPr="00E7725E">
        <w:rPr>
          <w:rFonts w:cs="Times New Roman"/>
          <w:szCs w:val="24"/>
        </w:rPr>
        <w:t xml:space="preserve">at 1028 (explaining that nature of copyrighted work is most relevant when “the original material and the copy are of a different nature”); </w:t>
      </w:r>
      <w:r w:rsidRPr="00E7725E">
        <w:rPr>
          <w:rFonts w:cs="Times New Roman"/>
          <w:i/>
          <w:szCs w:val="24"/>
        </w:rPr>
        <w:t>L.A. News Serv.</w:t>
      </w:r>
      <w:r w:rsidRPr="00E7725E">
        <w:rPr>
          <w:rFonts w:cs="Times New Roman"/>
          <w:szCs w:val="24"/>
        </w:rPr>
        <w:t xml:space="preserve">, 108 F.3d at 1122 (reasoning that fair use finding is strongly favored when infringed work is informational, factual and news); </w:t>
      </w:r>
      <w:r w:rsidRPr="00E7725E">
        <w:rPr>
          <w:rFonts w:cs="Times New Roman"/>
          <w:i/>
          <w:szCs w:val="24"/>
        </w:rPr>
        <w:t>Sega Enters. Ltd. v. Accolade, Inc</w:t>
      </w:r>
      <w:r w:rsidRPr="00E7725E">
        <w:rPr>
          <w:rFonts w:cs="Times New Roman"/>
          <w:szCs w:val="24"/>
        </w:rPr>
        <w:t xml:space="preserve">., 977 F.2d 1510, 1524 (9th Cir. 1992) (examining fictitious or functional nature of work and “idea/expression distinction” with regard to utilitarian articles); </w:t>
      </w:r>
      <w:r w:rsidRPr="00E7725E">
        <w:rPr>
          <w:rFonts w:cs="Times New Roman"/>
          <w:i/>
          <w:szCs w:val="24"/>
        </w:rPr>
        <w:t xml:space="preserve">Lewis </w:t>
      </w:r>
      <w:proofErr w:type="spellStart"/>
      <w:r w:rsidRPr="00E7725E">
        <w:rPr>
          <w:rFonts w:cs="Times New Roman"/>
          <w:i/>
          <w:szCs w:val="24"/>
        </w:rPr>
        <w:t>Galoob</w:t>
      </w:r>
      <w:proofErr w:type="spellEnd"/>
      <w:r w:rsidRPr="00E7725E">
        <w:rPr>
          <w:rFonts w:cs="Times New Roman"/>
          <w:i/>
          <w:szCs w:val="24"/>
        </w:rPr>
        <w:t xml:space="preserve"> Toys, Inc. v. Nintendo of Am., Inc.</w:t>
      </w:r>
      <w:r w:rsidRPr="00E7725E">
        <w:rPr>
          <w:rFonts w:cs="Times New Roman"/>
          <w:szCs w:val="24"/>
        </w:rPr>
        <w:t>, 964 F.2d 965, 970 (9th Cir. 1992) (recognizing that audiovisual displays created by device that can alter features of copyrighted video game are not derivative in nature because “technology often advances by improvement rather than replacement”).</w:t>
      </w:r>
    </w:p>
    <w:p w14:paraId="52496452" w14:textId="77777777" w:rsidR="00DF3A22" w:rsidRPr="00E7725E" w:rsidRDefault="00DF3A22" w:rsidP="00DF3A22">
      <w:pPr>
        <w:pStyle w:val="BodyText"/>
        <w:spacing w:before="2"/>
      </w:pPr>
    </w:p>
    <w:p w14:paraId="649A8AA8"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76" w:firstLine="0"/>
        <w:contextualSpacing w:val="0"/>
        <w:rPr>
          <w:rFonts w:cs="Times New Roman"/>
          <w:szCs w:val="24"/>
        </w:rPr>
      </w:pPr>
      <w:r w:rsidRPr="00E7725E">
        <w:rPr>
          <w:rFonts w:cs="Times New Roman"/>
          <w:b/>
          <w:szCs w:val="24"/>
        </w:rPr>
        <w:t xml:space="preserve">Amount and Substantiality of Portion of Infringed Work Used by Infringing Work in Relation to the Copyrighted Work as a Whole: </w:t>
      </w:r>
      <w:r w:rsidRPr="00E7725E">
        <w:rPr>
          <w:rFonts w:cs="Times New Roman"/>
          <w:i/>
          <w:szCs w:val="24"/>
        </w:rPr>
        <w:t>Campbell</w:t>
      </w:r>
      <w:r w:rsidRPr="00E7725E">
        <w:rPr>
          <w:rFonts w:cs="Times New Roman"/>
          <w:szCs w:val="24"/>
        </w:rPr>
        <w:t xml:space="preserve">, 510 U.S. at 586-88 (explaining importance of quantity of materials used, as well as their quality and importance); </w:t>
      </w:r>
      <w:r w:rsidRPr="00E7725E">
        <w:rPr>
          <w:rFonts w:cs="Times New Roman"/>
          <w:i/>
          <w:szCs w:val="24"/>
        </w:rPr>
        <w:t>Seltzer</w:t>
      </w:r>
      <w:r w:rsidRPr="00E7725E">
        <w:rPr>
          <w:rFonts w:cs="Times New Roman"/>
          <w:szCs w:val="24"/>
        </w:rPr>
        <w:t xml:space="preserve">, 725 F.3d at 1178-79 (addressing when original works are copied in full because they are “not meaningfully divisible”); </w:t>
      </w:r>
      <w:proofErr w:type="spellStart"/>
      <w:r w:rsidRPr="00E7725E">
        <w:rPr>
          <w:rFonts w:cs="Times New Roman"/>
          <w:i/>
          <w:szCs w:val="24"/>
        </w:rPr>
        <w:t>Bleem</w:t>
      </w:r>
      <w:proofErr w:type="spellEnd"/>
      <w:r w:rsidRPr="00E7725E">
        <w:rPr>
          <w:rFonts w:cs="Times New Roman"/>
          <w:szCs w:val="24"/>
        </w:rPr>
        <w:t xml:space="preserve">, 214 F.3d at 1028 (noting that fair use finding is not likely when there is high degree of copying and “essence” of copyrighted work and copy are similar); </w:t>
      </w:r>
      <w:r w:rsidRPr="00E7725E">
        <w:rPr>
          <w:rFonts w:cs="Times New Roman"/>
          <w:i/>
          <w:szCs w:val="24"/>
        </w:rPr>
        <w:t>Connectix Corp.</w:t>
      </w:r>
      <w:r w:rsidRPr="00E7725E">
        <w:rPr>
          <w:rFonts w:cs="Times New Roman"/>
          <w:szCs w:val="24"/>
        </w:rPr>
        <w:t xml:space="preserve">, 203 F.3d at 606-07 (considering whether use occurs in reverse engineering of copyrighted work to gain access to unprotected functional elements of software); </w:t>
      </w:r>
      <w:r w:rsidRPr="00E7725E">
        <w:rPr>
          <w:rFonts w:cs="Times New Roman"/>
          <w:i/>
          <w:szCs w:val="24"/>
        </w:rPr>
        <w:t>Dr. Seuss Enters.</w:t>
      </w:r>
      <w:r w:rsidRPr="00E7725E">
        <w:rPr>
          <w:rFonts w:cs="Times New Roman"/>
          <w:szCs w:val="24"/>
        </w:rPr>
        <w:t>, 109 F.3d at 1402 (expressing that focus of this factor is question of substantial</w:t>
      </w:r>
      <w:r w:rsidRPr="00E7725E">
        <w:rPr>
          <w:rFonts w:cs="Times New Roman"/>
          <w:spacing w:val="-22"/>
          <w:szCs w:val="24"/>
        </w:rPr>
        <w:t xml:space="preserve"> </w:t>
      </w:r>
      <w:r w:rsidRPr="00E7725E">
        <w:rPr>
          <w:rFonts w:cs="Times New Roman"/>
          <w:szCs w:val="24"/>
        </w:rPr>
        <w:t xml:space="preserve">similarity and whether use was “reasonable in relation to the purpose of the </w:t>
      </w:r>
      <w:r w:rsidRPr="00E7725E">
        <w:rPr>
          <w:rFonts w:cs="Times New Roman"/>
          <w:spacing w:val="-4"/>
          <w:szCs w:val="24"/>
        </w:rPr>
        <w:t xml:space="preserve">copying” </w:t>
      </w:r>
      <w:r w:rsidRPr="00E7725E">
        <w:rPr>
          <w:rFonts w:cs="Times New Roman"/>
          <w:szCs w:val="24"/>
        </w:rPr>
        <w:t xml:space="preserve">rather than whether use was fair); </w:t>
      </w:r>
      <w:proofErr w:type="spellStart"/>
      <w:r w:rsidRPr="00E7725E">
        <w:rPr>
          <w:rFonts w:cs="Times New Roman"/>
          <w:i/>
          <w:szCs w:val="24"/>
        </w:rPr>
        <w:t>Tresóna</w:t>
      </w:r>
      <w:proofErr w:type="spellEnd"/>
      <w:r w:rsidRPr="00E7725E">
        <w:rPr>
          <w:rFonts w:cs="Times New Roman"/>
          <w:szCs w:val="24"/>
        </w:rPr>
        <w:t>, 953 F.3d at 651 (noting that although “qualitatively significant” portion of original work was used, because of transformative nature of new material, this factor “did not weigh against fair</w:t>
      </w:r>
      <w:r w:rsidRPr="00E7725E">
        <w:rPr>
          <w:rFonts w:cs="Times New Roman"/>
          <w:spacing w:val="-1"/>
          <w:szCs w:val="24"/>
        </w:rPr>
        <w:t xml:space="preserve"> </w:t>
      </w:r>
      <w:r w:rsidRPr="00E7725E">
        <w:rPr>
          <w:rFonts w:cs="Times New Roman"/>
          <w:szCs w:val="24"/>
        </w:rPr>
        <w:t>use”).</w:t>
      </w:r>
    </w:p>
    <w:p w14:paraId="17C64C50" w14:textId="77777777" w:rsidR="00DF3A22" w:rsidRPr="00E7725E" w:rsidRDefault="00DF3A22" w:rsidP="00DF3A22">
      <w:pPr>
        <w:pStyle w:val="BodyText"/>
        <w:spacing w:before="9"/>
      </w:pPr>
    </w:p>
    <w:p w14:paraId="2D6A6784" w14:textId="77777777" w:rsidR="00DF3A22" w:rsidRPr="00E7725E" w:rsidRDefault="00DF3A22" w:rsidP="00DF3A22">
      <w:pPr>
        <w:pStyle w:val="ListParagraph"/>
        <w:widowControl w:val="0"/>
        <w:numPr>
          <w:ilvl w:val="0"/>
          <w:numId w:val="12"/>
        </w:numPr>
        <w:tabs>
          <w:tab w:val="left" w:pos="400"/>
        </w:tabs>
        <w:autoSpaceDE w:val="0"/>
        <w:autoSpaceDN w:val="0"/>
        <w:spacing w:before="30" w:line="247" w:lineRule="auto"/>
        <w:ind w:right="168" w:firstLine="0"/>
        <w:contextualSpacing w:val="0"/>
        <w:rPr>
          <w:rFonts w:cs="Times New Roman"/>
          <w:szCs w:val="24"/>
        </w:rPr>
      </w:pPr>
      <w:r w:rsidRPr="00E7725E">
        <w:rPr>
          <w:rFonts w:cs="Times New Roman"/>
          <w:b/>
          <w:szCs w:val="24"/>
        </w:rPr>
        <w:t xml:space="preserve">Effect of Use of Infringing Work on the Potential Market for or Value of the Copyrighted Work: </w:t>
      </w:r>
      <w:r w:rsidRPr="00E7725E">
        <w:rPr>
          <w:rFonts w:cs="Times New Roman"/>
          <w:i/>
          <w:szCs w:val="24"/>
        </w:rPr>
        <w:t>Campbell</w:t>
      </w:r>
      <w:r w:rsidRPr="00E7725E">
        <w:rPr>
          <w:rFonts w:cs="Times New Roman"/>
          <w:szCs w:val="24"/>
        </w:rPr>
        <w:t>, 510 U.S. at 590-91, n.21 (assessing harm use can cause</w:t>
      </w:r>
      <w:r w:rsidRPr="00E7725E">
        <w:rPr>
          <w:rFonts w:cs="Times New Roman"/>
          <w:spacing w:val="-6"/>
          <w:szCs w:val="24"/>
        </w:rPr>
        <w:t xml:space="preserve"> </w:t>
      </w:r>
      <w:r w:rsidRPr="00E7725E">
        <w:rPr>
          <w:rFonts w:cs="Times New Roman"/>
          <w:spacing w:val="-8"/>
          <w:szCs w:val="24"/>
        </w:rPr>
        <w:t xml:space="preserve">to </w:t>
      </w:r>
      <w:r w:rsidRPr="00E7725E">
        <w:rPr>
          <w:rFonts w:cs="Times New Roman"/>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cs="Times New Roman"/>
          <w:i/>
          <w:szCs w:val="24"/>
        </w:rPr>
        <w:t>Harper &amp; Row, Publishers</w:t>
      </w:r>
      <w:r w:rsidRPr="00E7725E">
        <w:rPr>
          <w:rFonts w:cs="Times New Roman"/>
          <w:szCs w:val="24"/>
        </w:rPr>
        <w:t xml:space="preserve">, 471 U.S. at 566 (noting that effect of defendant’s infringing work on market for or value of plaintiff’s work is most important of fair use factors); </w:t>
      </w:r>
      <w:r w:rsidRPr="00E7725E">
        <w:rPr>
          <w:rFonts w:cs="Times New Roman"/>
          <w:i/>
          <w:szCs w:val="24"/>
        </w:rPr>
        <w:t>SOFA Entm’t, Inc.</w:t>
      </w:r>
      <w:r w:rsidRPr="00E7725E">
        <w:rPr>
          <w:rFonts w:cs="Times New Roman"/>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cs="Times New Roman"/>
          <w:i/>
          <w:szCs w:val="24"/>
        </w:rPr>
        <w:t>Monge</w:t>
      </w:r>
      <w:r w:rsidRPr="00E7725E">
        <w:rPr>
          <w:rFonts w:cs="Times New Roman"/>
          <w:szCs w:val="24"/>
        </w:rPr>
        <w:t xml:space="preserve">, 688 F.3d at 1181 (emphasizing that potential market exists independent of copyright owner’s present intent not to publish copyrighted work); </w:t>
      </w:r>
      <w:proofErr w:type="spellStart"/>
      <w:r w:rsidRPr="00E7725E">
        <w:rPr>
          <w:rFonts w:cs="Times New Roman"/>
          <w:i/>
          <w:szCs w:val="24"/>
        </w:rPr>
        <w:t>Bleem</w:t>
      </w:r>
      <w:proofErr w:type="spellEnd"/>
      <w:r w:rsidRPr="00E7725E">
        <w:rPr>
          <w:rFonts w:cs="Times New Roman"/>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cs="Times New Roman"/>
          <w:i/>
          <w:szCs w:val="24"/>
        </w:rPr>
        <w:t>Dr. Seuss Enters.</w:t>
      </w:r>
      <w:r w:rsidRPr="00E7725E">
        <w:rPr>
          <w:rFonts w:cs="Times New Roman"/>
          <w:szCs w:val="24"/>
        </w:rPr>
        <w:t xml:space="preserve">, 109 F.3d at 1403 (balancing public benefit that will result from defendant’s use against personal gain copyright owner will receive if use is denied); </w:t>
      </w:r>
      <w:r w:rsidRPr="00E7725E">
        <w:rPr>
          <w:rFonts w:cs="Times New Roman"/>
          <w:i/>
          <w:szCs w:val="24"/>
        </w:rPr>
        <w:t>Triad Sys. Corp.</w:t>
      </w:r>
      <w:r w:rsidRPr="00E7725E">
        <w:rPr>
          <w:rFonts w:cs="Times New Roman"/>
          <w:szCs w:val="24"/>
        </w:rPr>
        <w:t xml:space="preserve">, 64 F.3d at 1336-37 (noting that when defendant’s work competes in same market it is less likely fair use); </w:t>
      </w:r>
      <w:proofErr w:type="spellStart"/>
      <w:r w:rsidRPr="00E7725E">
        <w:rPr>
          <w:rFonts w:cs="Times New Roman"/>
          <w:i/>
          <w:szCs w:val="24"/>
        </w:rPr>
        <w:t>Tresóna</w:t>
      </w:r>
      <w:proofErr w:type="spellEnd"/>
      <w:r w:rsidRPr="00E7725E">
        <w:rPr>
          <w:rFonts w:cs="Times New Roman"/>
          <w:szCs w:val="24"/>
        </w:rPr>
        <w:t xml:space="preserve">, 953 F.3d at 651 (commenting that due to transformative nature of newly created work, consumer interested in original work would not substitute the newly created work); </w:t>
      </w:r>
      <w:proofErr w:type="spellStart"/>
      <w:r w:rsidRPr="00E7725E">
        <w:rPr>
          <w:rFonts w:cs="Times New Roman"/>
          <w:i/>
          <w:iCs/>
          <w:szCs w:val="24"/>
        </w:rPr>
        <w:t>ComicMix</w:t>
      </w:r>
      <w:proofErr w:type="spellEnd"/>
      <w:r w:rsidRPr="00E7725E">
        <w:rPr>
          <w:rFonts w:cs="Times New Roman"/>
          <w:i/>
          <w:iCs/>
          <w:szCs w:val="24"/>
        </w:rPr>
        <w:t xml:space="preserve"> LLC</w:t>
      </w:r>
      <w:r w:rsidRPr="00E7725E">
        <w:rPr>
          <w:rFonts w:cs="Times New Roman"/>
          <w:szCs w:val="24"/>
        </w:rPr>
        <w:t>, 983 F.3d at 458–61 (explaining that market harm</w:t>
      </w:r>
      <w:r>
        <w:rPr>
          <w:rFonts w:cs="Times New Roman"/>
          <w:szCs w:val="24"/>
        </w:rPr>
        <w:t xml:space="preserve"> to plaintiff is not presumed but</w:t>
      </w:r>
      <w:r w:rsidRPr="00E7725E">
        <w:rPr>
          <w:rFonts w:cs="Times New Roman"/>
          <w:szCs w:val="24"/>
        </w:rPr>
        <w:t xml:space="preserve"> defendant bears burden of proof on this element).</w:t>
      </w:r>
    </w:p>
    <w:p w14:paraId="6611ED3F" w14:textId="77777777" w:rsidR="00DF3A22" w:rsidRPr="00E7725E" w:rsidRDefault="00DF3A22" w:rsidP="00DF3A22">
      <w:pPr>
        <w:pStyle w:val="BodyText"/>
        <w:spacing w:before="4"/>
      </w:pPr>
    </w:p>
    <w:p w14:paraId="58C76FDD" w14:textId="77777777" w:rsidR="00DF3A22" w:rsidRPr="00E7725E" w:rsidRDefault="00DF3A22" w:rsidP="00DF3A22">
      <w:pPr>
        <w:pStyle w:val="ListParagraph"/>
        <w:widowControl w:val="0"/>
        <w:numPr>
          <w:ilvl w:val="0"/>
          <w:numId w:val="12"/>
        </w:numPr>
        <w:tabs>
          <w:tab w:val="left" w:pos="400"/>
        </w:tabs>
        <w:autoSpaceDE w:val="0"/>
        <w:autoSpaceDN w:val="0"/>
        <w:spacing w:before="1" w:line="247" w:lineRule="auto"/>
        <w:ind w:right="129" w:firstLine="0"/>
        <w:contextualSpacing w:val="0"/>
        <w:rPr>
          <w:rFonts w:cs="Times New Roman"/>
          <w:szCs w:val="24"/>
        </w:rPr>
      </w:pPr>
      <w:r w:rsidRPr="00E7725E">
        <w:rPr>
          <w:rFonts w:cs="Times New Roman"/>
          <w:b/>
          <w:szCs w:val="24"/>
        </w:rPr>
        <w:t xml:space="preserve">Additional Factors: </w:t>
      </w:r>
      <w:r w:rsidRPr="00E7725E">
        <w:rPr>
          <w:rFonts w:cs="Times New Roman"/>
          <w:i/>
          <w:szCs w:val="24"/>
        </w:rPr>
        <w:t>Campbell</w:t>
      </w:r>
      <w:r w:rsidRPr="00E7725E">
        <w:rPr>
          <w:rFonts w:cs="Times New Roman"/>
          <w:szCs w:val="24"/>
        </w:rPr>
        <w:t xml:space="preserve">, 510 U.S. at 585 n.18 (considering defendant’s state of </w:t>
      </w:r>
      <w:r w:rsidRPr="00E7725E">
        <w:rPr>
          <w:rFonts w:cs="Times New Roman"/>
          <w:spacing w:val="-4"/>
          <w:szCs w:val="24"/>
        </w:rPr>
        <w:t xml:space="preserve">mind </w:t>
      </w:r>
      <w:r w:rsidRPr="00E7725E">
        <w:rPr>
          <w:rFonts w:cs="Times New Roman"/>
          <w:szCs w:val="24"/>
        </w:rPr>
        <w:t xml:space="preserve">and explaining that permission is not necessary if use is fair); </w:t>
      </w:r>
      <w:r w:rsidRPr="00E7725E">
        <w:rPr>
          <w:rFonts w:cs="Times New Roman"/>
          <w:i/>
          <w:szCs w:val="24"/>
        </w:rPr>
        <w:t>Harper &amp; Row, Publishers</w:t>
      </w:r>
      <w:r w:rsidRPr="00E7725E">
        <w:rPr>
          <w:rFonts w:cs="Times New Roman"/>
          <w:szCs w:val="24"/>
        </w:rPr>
        <w:t>,</w:t>
      </w:r>
      <w:r w:rsidRPr="00E7725E">
        <w:rPr>
          <w:rFonts w:cs="Times New Roman"/>
          <w:spacing w:val="-28"/>
          <w:szCs w:val="24"/>
        </w:rPr>
        <w:t xml:space="preserve"> </w:t>
      </w:r>
      <w:r w:rsidRPr="00E7725E">
        <w:rPr>
          <w:rFonts w:cs="Times New Roman"/>
          <w:szCs w:val="24"/>
        </w:rPr>
        <w:t xml:space="preserve">471 U.S. at 562 (stating fair use presupposes good faith and fair dealing); </w:t>
      </w:r>
      <w:r w:rsidRPr="00E7725E">
        <w:rPr>
          <w:rFonts w:cs="Times New Roman"/>
          <w:i/>
          <w:szCs w:val="24"/>
        </w:rPr>
        <w:t>Fisher v. Dees</w:t>
      </w:r>
      <w:r w:rsidRPr="00E7725E">
        <w:rPr>
          <w:rFonts w:cs="Times New Roman"/>
          <w:szCs w:val="24"/>
        </w:rPr>
        <w:t>, 794 F.2d 432, 437 (9th Cir. 1986) (“courts may weigh ‘the propriety of the defendant’s conduct’ in the equitable balance of a fair use determination” (citation omitted)).</w:t>
      </w:r>
    </w:p>
    <w:p w14:paraId="761B534A" w14:textId="77777777" w:rsidR="00DF3A22" w:rsidRPr="00E7725E" w:rsidRDefault="00DF3A22" w:rsidP="00DF3A22">
      <w:pPr>
        <w:pStyle w:val="BodyText"/>
        <w:spacing w:before="1"/>
      </w:pPr>
    </w:p>
    <w:p w14:paraId="11572E34" w14:textId="77777777" w:rsidR="00DF3A22" w:rsidRPr="00E7725E" w:rsidRDefault="00DF3A22" w:rsidP="00DF3A22">
      <w:pPr>
        <w:pStyle w:val="BodyText"/>
        <w:spacing w:line="247" w:lineRule="auto"/>
        <w:ind w:left="100" w:right="129" w:firstLine="720"/>
      </w:pPr>
      <w:r w:rsidRPr="00E7725E">
        <w:t xml:space="preserve">The Ninth Circuit has considered a number of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58943F28" w14:textId="77777777" w:rsidR="00DF3A22" w:rsidRPr="00E7725E" w:rsidRDefault="00DF3A22" w:rsidP="00DF3A22">
      <w:pPr>
        <w:pStyle w:val="BodyText"/>
        <w:spacing w:before="4"/>
      </w:pPr>
    </w:p>
    <w:p w14:paraId="4A47B932" w14:textId="77777777" w:rsidR="00DF3A22" w:rsidRPr="00E7725E" w:rsidRDefault="00DF3A22" w:rsidP="00DF3A22">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728EA0BD" w14:textId="77777777" w:rsidR="009262BE" w:rsidRDefault="009262BE" w:rsidP="00DF3A22">
      <w:pPr>
        <w:jc w:val="right"/>
        <w:rPr>
          <w:rFonts w:cs="Times New Roman"/>
          <w:i/>
          <w:iCs/>
          <w:szCs w:val="24"/>
        </w:rPr>
      </w:pPr>
    </w:p>
    <w:p w14:paraId="34F1EE14" w14:textId="77777777" w:rsidR="009262BE" w:rsidRDefault="009262BE" w:rsidP="00DF3A22">
      <w:pPr>
        <w:jc w:val="right"/>
        <w:rPr>
          <w:rFonts w:cs="Times New Roman"/>
          <w:i/>
          <w:iCs/>
          <w:szCs w:val="24"/>
        </w:rPr>
      </w:pPr>
    </w:p>
    <w:p w14:paraId="3C98A0EF" w14:textId="64B954AA" w:rsidR="00DF3A22" w:rsidRPr="00E7725E" w:rsidRDefault="00DF3A22" w:rsidP="00DF3A22">
      <w:pPr>
        <w:jc w:val="right"/>
        <w:rPr>
          <w:rFonts w:cs="Times New Roman"/>
          <w:i/>
          <w:iCs/>
          <w:szCs w:val="24"/>
        </w:rPr>
      </w:pPr>
      <w:r w:rsidRPr="00E7725E">
        <w:rPr>
          <w:rFonts w:cs="Times New Roman"/>
          <w:i/>
          <w:iCs/>
          <w:szCs w:val="24"/>
        </w:rPr>
        <w:t>Approved Mar. 2021</w:t>
      </w:r>
    </w:p>
    <w:p w14:paraId="42AFA6A1" w14:textId="4662CEA2" w:rsidR="008E5DC5" w:rsidRPr="006A4CD7" w:rsidRDefault="008E5DC5" w:rsidP="00DF3A22">
      <w:pPr>
        <w:autoSpaceDE w:val="0"/>
        <w:autoSpaceDN w:val="0"/>
        <w:adjustRightInd w:val="0"/>
      </w:pPr>
    </w:p>
    <w:p w14:paraId="6798385E" w14:textId="4FFE872D" w:rsidR="006A4CD7" w:rsidRPr="006A4CD7" w:rsidRDefault="006A4CD7" w:rsidP="008E5DC5">
      <w:pPr>
        <w:pStyle w:val="Heading2"/>
      </w:pPr>
      <w:r w:rsidRPr="006A4CD7">
        <w:br w:type="page"/>
      </w:r>
      <w:bookmarkStart w:id="327" w:name="_Toc117512604"/>
      <w:r w:rsidRPr="006A4CD7">
        <w:t xml:space="preserve">17.23 </w:t>
      </w:r>
      <w:r w:rsidR="00646BCE" w:rsidRPr="00646BCE">
        <w:t>Copyright—Affirmative Defense—Abandonment</w:t>
      </w:r>
      <w:bookmarkEnd w:id="327"/>
    </w:p>
    <w:p w14:paraId="55B74BBC" w14:textId="77777777" w:rsidR="006A4CD7" w:rsidRPr="006A4CD7" w:rsidRDefault="006A4CD7" w:rsidP="0060759C">
      <w:pPr>
        <w:autoSpaceDE w:val="0"/>
        <w:autoSpaceDN w:val="0"/>
        <w:adjustRightInd w:val="0"/>
        <w:rPr>
          <w:rFonts w:cs="Times New Roman"/>
          <w:szCs w:val="24"/>
        </w:rPr>
      </w:pPr>
    </w:p>
    <w:p w14:paraId="73E140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a copyright does not exist in the plaintiff’s work because the plaintiff abandoned the copyright.  The plaintiff cannot claim ownership of the copyright if it was abandoned.  In order to show abandonment, the defendant has the burden of proving each of the following by a preponderance of the evidence:</w:t>
      </w:r>
    </w:p>
    <w:p w14:paraId="23658A0E" w14:textId="77777777" w:rsidR="006A4CD7" w:rsidRPr="006A4CD7" w:rsidRDefault="006A4CD7" w:rsidP="0060759C">
      <w:pPr>
        <w:autoSpaceDE w:val="0"/>
        <w:autoSpaceDN w:val="0"/>
        <w:adjustRightInd w:val="0"/>
        <w:rPr>
          <w:rFonts w:cs="Times New Roman"/>
          <w:szCs w:val="24"/>
        </w:rPr>
      </w:pPr>
    </w:p>
    <w:p w14:paraId="096DF5C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intended to surrender [ownership] rights in the work; and</w:t>
      </w:r>
    </w:p>
    <w:p w14:paraId="5A79CF91" w14:textId="77777777" w:rsidR="006A4CD7" w:rsidRPr="006A4CD7" w:rsidRDefault="006A4CD7" w:rsidP="00BD703F">
      <w:pPr>
        <w:autoSpaceDE w:val="0"/>
        <w:autoSpaceDN w:val="0"/>
        <w:adjustRightInd w:val="0"/>
        <w:ind w:left="1440" w:hanging="720"/>
        <w:rPr>
          <w:rFonts w:cs="Times New Roman"/>
          <w:szCs w:val="24"/>
        </w:rPr>
      </w:pPr>
    </w:p>
    <w:p w14:paraId="0E1CE17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an act by the plaintiff evidencing that intent.</w:t>
      </w:r>
    </w:p>
    <w:p w14:paraId="050177E2" w14:textId="77777777" w:rsidR="006A4CD7" w:rsidRPr="006A4CD7" w:rsidRDefault="006A4CD7" w:rsidP="0060759C">
      <w:pPr>
        <w:autoSpaceDE w:val="0"/>
        <w:autoSpaceDN w:val="0"/>
        <w:adjustRightInd w:val="0"/>
        <w:rPr>
          <w:rFonts w:cs="Times New Roman"/>
          <w:szCs w:val="24"/>
        </w:rPr>
      </w:pPr>
    </w:p>
    <w:p w14:paraId="2460C5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2F8CA756" w14:textId="77777777" w:rsidR="006A4CD7" w:rsidRPr="006A4CD7" w:rsidRDefault="006A4CD7" w:rsidP="0060759C">
      <w:pPr>
        <w:autoSpaceDE w:val="0"/>
        <w:autoSpaceDN w:val="0"/>
        <w:adjustRightInd w:val="0"/>
        <w:rPr>
          <w:rFonts w:cs="Times New Roman"/>
          <w:szCs w:val="24"/>
        </w:rPr>
      </w:pPr>
    </w:p>
    <w:p w14:paraId="41FC6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[his] [her] [its] claim[s] in accordance with Instruction[s] [</w:t>
      </w:r>
      <w:r w:rsidRPr="006A4CD7">
        <w:rPr>
          <w:rFonts w:cs="Times New Roman"/>
          <w:i/>
          <w:iCs/>
          <w:szCs w:val="24"/>
          <w:u w:val="single"/>
        </w:rPr>
        <w:t>insert cross reference to the pertinent instructions on the plaintiff’s theory of infringement</w:t>
      </w:r>
      <w:r w:rsidRPr="006A4CD7">
        <w:rPr>
          <w:rFonts w:cs="Times New Roman"/>
          <w:szCs w:val="24"/>
          <w:u w:val="single"/>
        </w:rPr>
        <w:t>]</w:t>
      </w:r>
      <w:r w:rsidRPr="006A4CD7">
        <w:rPr>
          <w:rFonts w:cs="Times New Roman"/>
          <w:szCs w:val="24"/>
        </w:rPr>
        <w:t>, your verdict should be for the plaintiff, unless you find that the defendant has proved each of the elements of this affirmative defense, in which case your verdict should be for the defendant.</w:t>
      </w:r>
    </w:p>
    <w:p w14:paraId="0A7407D7" w14:textId="77777777" w:rsidR="006A4CD7" w:rsidRPr="006A4CD7" w:rsidRDefault="006A4CD7" w:rsidP="0060759C">
      <w:pPr>
        <w:autoSpaceDE w:val="0"/>
        <w:autoSpaceDN w:val="0"/>
        <w:adjustRightInd w:val="0"/>
        <w:rPr>
          <w:rFonts w:cs="Times New Roman"/>
          <w:szCs w:val="24"/>
        </w:rPr>
      </w:pPr>
    </w:p>
    <w:p w14:paraId="205D799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0DFEA1" w14:textId="77777777" w:rsidR="006A4CD7" w:rsidRPr="006A4CD7" w:rsidRDefault="006A4CD7" w:rsidP="0060759C">
      <w:pPr>
        <w:autoSpaceDE w:val="0"/>
        <w:autoSpaceDN w:val="0"/>
        <w:adjustRightInd w:val="0"/>
        <w:rPr>
          <w:rFonts w:cs="Times New Roman"/>
          <w:szCs w:val="24"/>
        </w:rPr>
      </w:pPr>
    </w:p>
    <w:p w14:paraId="5CEE34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an affirmative defense. </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A&amp;M Records, Inc. v. Napster, Inc.</w:t>
      </w:r>
      <w:r w:rsidRPr="006A4CD7">
        <w:rPr>
          <w:rFonts w:cs="Times New Roman"/>
          <w:szCs w:val="24"/>
        </w:rPr>
        <w:t>, 239 F.3d 1004, 1026 (9th Cir. 2001);</w:t>
      </w:r>
      <w:r w:rsidRPr="006A4CD7">
        <w:rPr>
          <w:rFonts w:cs="Times New Roman"/>
          <w:i/>
          <w:iCs/>
          <w:szCs w:val="24"/>
        </w:rPr>
        <w:t xml:space="preserve"> Abend v. MCA, Inc.</w:t>
      </w:r>
      <w:r w:rsidRPr="006A4CD7">
        <w:rPr>
          <w:rFonts w:cs="Times New Roman"/>
          <w:szCs w:val="24"/>
        </w:rPr>
        <w:t>, 863 F.2d 1465, 1482 n.21 (9th Cir. 1988).  The bracketed portion of the penultimate paragraph pertaining to publication without copyright notice should be used if the copyright infringement action is brought under the 1909 Copyright Act.</w:t>
      </w:r>
    </w:p>
    <w:p w14:paraId="39607C9F" w14:textId="77777777" w:rsidR="006A4CD7" w:rsidRPr="006A4CD7" w:rsidRDefault="006A4CD7" w:rsidP="0060759C">
      <w:pPr>
        <w:autoSpaceDE w:val="0"/>
        <w:autoSpaceDN w:val="0"/>
        <w:adjustRightInd w:val="0"/>
        <w:rPr>
          <w:rFonts w:cs="Times New Roman"/>
          <w:szCs w:val="24"/>
        </w:rPr>
      </w:pPr>
    </w:p>
    <w:p w14:paraId="4599B81A" w14:textId="77777777" w:rsidR="006A4CD7" w:rsidRDefault="006A4CD7" w:rsidP="0060759C">
      <w:pPr>
        <w:autoSpaceDE w:val="0"/>
        <w:autoSpaceDN w:val="0"/>
        <w:adjustRightInd w:val="0"/>
        <w:rPr>
          <w:rFonts w:cs="Times New Roman"/>
          <w:szCs w:val="24"/>
        </w:rPr>
      </w:pPr>
      <w:r w:rsidRPr="006A4CD7">
        <w:rPr>
          <w:rFonts w:cs="Times New Roman"/>
          <w:szCs w:val="24"/>
        </w:rPr>
        <w:tab/>
        <w:t>Abandonment of a right secured by the Copyright Act must be manifested by an overt act indicating an intention to abandon that right.</w:t>
      </w:r>
      <w:r w:rsidRPr="006A4CD7">
        <w:rPr>
          <w:rFonts w:cs="Times New Roman"/>
          <w:i/>
          <w:iCs/>
          <w:szCs w:val="24"/>
        </w:rPr>
        <w:t xml:space="preserve">  Micro Star v. </w:t>
      </w:r>
      <w:proofErr w:type="spellStart"/>
      <w:r w:rsidRPr="006A4CD7">
        <w:rPr>
          <w:rFonts w:cs="Times New Roman"/>
          <w:i/>
          <w:iCs/>
          <w:szCs w:val="24"/>
        </w:rPr>
        <w:t>Formgen</w:t>
      </w:r>
      <w:proofErr w:type="spellEnd"/>
      <w:r w:rsidRPr="006A4CD7">
        <w:rPr>
          <w:rFonts w:cs="Times New Roman"/>
          <w:i/>
          <w:iCs/>
          <w:szCs w:val="24"/>
        </w:rPr>
        <w:t>, Inc.</w:t>
      </w:r>
      <w:r w:rsidRPr="006A4CD7">
        <w:rPr>
          <w:rFonts w:cs="Times New Roman"/>
          <w:szCs w:val="24"/>
        </w:rPr>
        <w:t xml:space="preserve">, 154 F.3d 1107, 1114 (9th Cir. 1998).  A copyright owner may abandon some rights and retain others.  </w:t>
      </w:r>
      <w:r w:rsidRPr="006A4CD7">
        <w:rPr>
          <w:rFonts w:cs="Times New Roman"/>
          <w:i/>
          <w:iCs/>
          <w:szCs w:val="24"/>
        </w:rPr>
        <w:t>Id.</w:t>
      </w:r>
      <w:r w:rsidRPr="006A4CD7">
        <w:rPr>
          <w:rFonts w:cs="Times New Roman"/>
          <w:szCs w:val="24"/>
        </w:rPr>
        <w:t xml:space="preserve"> at 1114</w:t>
      </w:r>
      <w:r w:rsidRPr="006A4CD7">
        <w:rPr>
          <w:rFonts w:cs="Times New Roman"/>
          <w:i/>
          <w:iCs/>
          <w:szCs w:val="24"/>
        </w:rPr>
        <w:t xml:space="preserve"> </w:t>
      </w:r>
      <w:r w:rsidRPr="006A4CD7">
        <w:rPr>
          <w:rFonts w:cs="Times New Roman"/>
          <w:szCs w:val="24"/>
        </w:rPr>
        <w:t>(holding that license permitting creation of derivative works from software, but also providing that licensees not distribute derivative works commercially, did not abandon copyright holder’s rights to profit commercially from derivative works).</w:t>
      </w:r>
    </w:p>
    <w:p w14:paraId="35389D34" w14:textId="77777777" w:rsidR="008E5DC5" w:rsidRPr="006A4CD7" w:rsidRDefault="008E5DC5" w:rsidP="0060759C">
      <w:pPr>
        <w:autoSpaceDE w:val="0"/>
        <w:autoSpaceDN w:val="0"/>
        <w:adjustRightInd w:val="0"/>
        <w:rPr>
          <w:rFonts w:cs="Times New Roman"/>
          <w:szCs w:val="24"/>
        </w:rPr>
      </w:pPr>
    </w:p>
    <w:p w14:paraId="57F3B2F9" w14:textId="6F3D5887" w:rsidR="006A4CD7" w:rsidRPr="006A4CD7" w:rsidRDefault="006A4CD7" w:rsidP="008E5DC5">
      <w:pPr>
        <w:pStyle w:val="Heading2"/>
      </w:pPr>
      <w:r w:rsidRPr="006A4CD7">
        <w:br w:type="page"/>
      </w:r>
      <w:bookmarkStart w:id="328" w:name="_Toc117512605"/>
      <w:r w:rsidRPr="006A4CD7">
        <w:t xml:space="preserve">17.24 </w:t>
      </w:r>
      <w:r w:rsidR="00646BCE" w:rsidRPr="00646BCE">
        <w:t>Copyright—Affirmative Defense—Copyright Misuse</w:t>
      </w:r>
      <w:bookmarkEnd w:id="328"/>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660645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explicitly adopted copyright misuse as a defense to copyright infringement in </w:t>
      </w:r>
      <w:r w:rsidRPr="006A4CD7">
        <w:rPr>
          <w:rFonts w:cs="Times New Roman"/>
          <w:i/>
          <w:iCs/>
          <w:szCs w:val="24"/>
        </w:rPr>
        <w:t>Practice Management Information Corp. v. American Medical Association</w:t>
      </w:r>
      <w:r w:rsidRPr="006A4CD7">
        <w:rPr>
          <w:rFonts w:cs="Times New Roman"/>
          <w:szCs w:val="24"/>
        </w:rPr>
        <w:t xml:space="preserve">, 121 F.3d 516, 520 (9th Cir. 1997), </w:t>
      </w:r>
      <w:r w:rsidRPr="006A4CD7">
        <w:rPr>
          <w:rFonts w:cs="Times New Roman"/>
          <w:i/>
          <w:iCs/>
          <w:szCs w:val="24"/>
        </w:rPr>
        <w:t xml:space="preserve">amended by </w:t>
      </w:r>
      <w:r w:rsidRPr="006A4CD7">
        <w:rPr>
          <w:rFonts w:cs="Times New Roman"/>
          <w:szCs w:val="24"/>
        </w:rPr>
        <w:t xml:space="preserve">133 F.3d 1140 (9th Cir. 1998).  “The copyright misuse doctrine prevents holders of copyrights ‘from leveraging their limited monopoly to allow them control of areas outside the monopoly.’”  </w:t>
      </w:r>
      <w:r w:rsidRPr="006A4CD7">
        <w:rPr>
          <w:rFonts w:cs="Times New Roman"/>
          <w:i/>
          <w:iCs/>
          <w:szCs w:val="24"/>
        </w:rPr>
        <w:t>Oracle USA, Inc. v. Rimini St</w:t>
      </w:r>
      <w:r w:rsidRPr="006A4CD7">
        <w:rPr>
          <w:rFonts w:cs="Times New Roman"/>
          <w:szCs w:val="24"/>
        </w:rPr>
        <w:t xml:space="preserve">., 879 F.3d 948 (9th Cir. 2018) (quoting </w:t>
      </w:r>
      <w:r w:rsidRPr="006A4CD7">
        <w:rPr>
          <w:rFonts w:cs="Times New Roman"/>
          <w:i/>
          <w:iCs/>
          <w:szCs w:val="24"/>
        </w:rPr>
        <w:t xml:space="preserve">Apple Inc. v. </w:t>
      </w:r>
      <w:proofErr w:type="spellStart"/>
      <w:r w:rsidRPr="006A4CD7">
        <w:rPr>
          <w:rFonts w:cs="Times New Roman"/>
          <w:i/>
          <w:iCs/>
          <w:szCs w:val="24"/>
        </w:rPr>
        <w:t>Psystar</w:t>
      </w:r>
      <w:proofErr w:type="spellEnd"/>
      <w:r w:rsidRPr="006A4CD7">
        <w:rPr>
          <w:rFonts w:cs="Times New Roman"/>
          <w:i/>
          <w:iCs/>
          <w:szCs w:val="24"/>
        </w:rPr>
        <w:t xml:space="preserve"> Corp</w:t>
      </w:r>
      <w:r w:rsidRPr="006A4CD7">
        <w:rPr>
          <w:rFonts w:cs="Times New Roman"/>
          <w:szCs w:val="24"/>
        </w:rPr>
        <w:t xml:space="preserve">., 658 F.3d 1150, 1157 (9th Cir. 2011)), </w:t>
      </w:r>
      <w:proofErr w:type="spellStart"/>
      <w:r w:rsidRPr="006A4CD7">
        <w:rPr>
          <w:rFonts w:cs="Times New Roman"/>
          <w:i/>
          <w:iCs/>
          <w:szCs w:val="24"/>
        </w:rPr>
        <w:t>rev’d</w:t>
      </w:r>
      <w:proofErr w:type="spellEnd"/>
      <w:r w:rsidRPr="006A4CD7">
        <w:rPr>
          <w:rFonts w:cs="Times New Roman"/>
          <w:i/>
          <w:iCs/>
          <w:szCs w:val="24"/>
        </w:rPr>
        <w:t xml:space="preserve"> on other grounds</w:t>
      </w:r>
      <w:r w:rsidRPr="006A4CD7">
        <w:rPr>
          <w:rFonts w:cs="Times New Roman"/>
          <w:szCs w:val="24"/>
        </w:rPr>
        <w:t xml:space="preserve">, 139 S. Ct. 873 (2019).  Copyright misuse is an equitable defense to copyright infringement.  </w:t>
      </w:r>
      <w:proofErr w:type="spellStart"/>
      <w:r w:rsidRPr="006A4CD7">
        <w:rPr>
          <w:rFonts w:cs="Times New Roman"/>
          <w:i/>
          <w:iCs/>
          <w:szCs w:val="24"/>
        </w:rPr>
        <w:t>Vernor</w:t>
      </w:r>
      <w:proofErr w:type="spellEnd"/>
      <w:r w:rsidRPr="006A4CD7">
        <w:rPr>
          <w:rFonts w:cs="Times New Roman"/>
          <w:i/>
          <w:iCs/>
          <w:szCs w:val="24"/>
        </w:rPr>
        <w:t xml:space="preserve"> v. Autodesk, Inc</w:t>
      </w:r>
      <w:r w:rsidRPr="006A4CD7">
        <w:rPr>
          <w:rFonts w:cs="Times New Roman"/>
          <w:szCs w:val="24"/>
        </w:rPr>
        <w:t xml:space="preserve">., 621 F.3d 1102, 1115 (9th Cir. 2010).  It does not apply when there is no allegation of copyright infringement.  </w:t>
      </w:r>
      <w:r w:rsidRPr="006A4CD7">
        <w:rPr>
          <w:rFonts w:cs="Times New Roman"/>
          <w:i/>
          <w:iCs/>
          <w:szCs w:val="24"/>
        </w:rPr>
        <w:t>Altera Corp. v. Clear Logic, Inc</w:t>
      </w:r>
      <w:r w:rsidRPr="006A4CD7">
        <w:rPr>
          <w:rFonts w:cs="Times New Roman"/>
          <w:szCs w:val="24"/>
        </w:rPr>
        <w:t xml:space="preserve">., 424 F.3d 1079, 1090 (9th Cir. 2005).  Copyright misuse precludes enforcement of a copyright during the period of misuse, but it does not invalidate the copyright.  </w:t>
      </w:r>
      <w:r w:rsidRPr="006A4CD7">
        <w:rPr>
          <w:rFonts w:cs="Times New Roman"/>
          <w:i/>
          <w:iCs/>
          <w:szCs w:val="24"/>
        </w:rPr>
        <w:t>Practice Mgmt</w:t>
      </w:r>
      <w:r w:rsidRPr="006A4CD7">
        <w:rPr>
          <w:rFonts w:cs="Times New Roman"/>
          <w:szCs w:val="24"/>
        </w:rPr>
        <w:t>., 121 F.3d at 520 n.9.</w:t>
      </w:r>
    </w:p>
    <w:p w14:paraId="19996A94" w14:textId="77777777" w:rsidR="006A4CD7" w:rsidRPr="006A4CD7" w:rsidRDefault="006A4CD7" w:rsidP="0060759C">
      <w:pPr>
        <w:autoSpaceDE w:val="0"/>
        <w:autoSpaceDN w:val="0"/>
        <w:adjustRightInd w:val="0"/>
        <w:rPr>
          <w:rFonts w:cs="Times New Roman"/>
          <w:szCs w:val="24"/>
        </w:rPr>
      </w:pPr>
    </w:p>
    <w:p w14:paraId="2D9A7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misuse “forbids the use of the copyright to secure an exclusive right or limited monopoly not granted by the Copyright [Act].”  </w:t>
      </w:r>
      <w:r w:rsidRPr="006A4CD7">
        <w:rPr>
          <w:rFonts w:cs="Times New Roman"/>
          <w:i/>
          <w:iCs/>
          <w:szCs w:val="24"/>
        </w:rPr>
        <w:t>Id</w:t>
      </w:r>
      <w:r w:rsidRPr="006A4CD7">
        <w:rPr>
          <w:rFonts w:cs="Times New Roman"/>
          <w:szCs w:val="24"/>
        </w:rPr>
        <w:t xml:space="preserve">. at 520 (quoting </w:t>
      </w:r>
      <w:proofErr w:type="spellStart"/>
      <w:r w:rsidRPr="006A4CD7">
        <w:rPr>
          <w:rFonts w:cs="Times New Roman"/>
          <w:i/>
          <w:iCs/>
          <w:szCs w:val="24"/>
        </w:rPr>
        <w:t>Lasercomb</w:t>
      </w:r>
      <w:proofErr w:type="spellEnd"/>
      <w:r w:rsidRPr="006A4CD7">
        <w:rPr>
          <w:rFonts w:cs="Times New Roman"/>
          <w:i/>
          <w:iCs/>
          <w:szCs w:val="24"/>
        </w:rPr>
        <w:t xml:space="preserve"> Am., Inc. v. Reynolds</w:t>
      </w:r>
      <w:r w:rsidRPr="006A4CD7">
        <w:rPr>
          <w:rFonts w:cs="Times New Roman"/>
          <w:szCs w:val="24"/>
        </w:rPr>
        <w:t xml:space="preserve">, 911 F.2d 970, 977-79 (4th Cir.1990)).  The purpose of the defense is to prevent copyright holders “from leveraging their limited monopoly to allow them control of areas outside the monopoly.”  </w:t>
      </w:r>
      <w:r w:rsidRPr="006A4CD7">
        <w:rPr>
          <w:rFonts w:cs="Times New Roman"/>
          <w:i/>
          <w:iCs/>
          <w:szCs w:val="24"/>
        </w:rPr>
        <w:t xml:space="preserve">Apple Inc. v. </w:t>
      </w:r>
      <w:proofErr w:type="spellStart"/>
      <w:r w:rsidRPr="006A4CD7">
        <w:rPr>
          <w:rFonts w:cs="Times New Roman"/>
          <w:i/>
          <w:iCs/>
          <w:szCs w:val="24"/>
        </w:rPr>
        <w:t>Psystar</w:t>
      </w:r>
      <w:proofErr w:type="spellEnd"/>
      <w:r w:rsidRPr="006A4CD7">
        <w:rPr>
          <w:rFonts w:cs="Times New Roman"/>
          <w:i/>
          <w:iCs/>
          <w:szCs w:val="24"/>
        </w:rPr>
        <w:t xml:space="preserve"> Corp</w:t>
      </w:r>
      <w:r w:rsidRPr="006A4CD7">
        <w:rPr>
          <w:rFonts w:cs="Times New Roman"/>
          <w:szCs w:val="24"/>
        </w:rPr>
        <w:t xml:space="preserve">., 658 F.3d 1150, 1157 (9th Cir. 2011) (quoting </w:t>
      </w:r>
      <w:r w:rsidRPr="006A4CD7">
        <w:rPr>
          <w:rFonts w:cs="Times New Roman"/>
          <w:i/>
          <w:iCs/>
          <w:szCs w:val="24"/>
        </w:rPr>
        <w:t>A&amp;M Records v. Napster, Inc</w:t>
      </w:r>
      <w:r w:rsidRPr="006A4CD7">
        <w:rPr>
          <w:rFonts w:cs="Times New Roman"/>
          <w:szCs w:val="24"/>
        </w:rPr>
        <w:t xml:space="preserve">., 239 F.3d 1004, 1026 (9th Cir. 2001)); </w:t>
      </w:r>
      <w:r w:rsidRPr="006A4CD7">
        <w:rPr>
          <w:rFonts w:cs="Times New Roman"/>
          <w:i/>
          <w:iCs/>
          <w:szCs w:val="24"/>
        </w:rPr>
        <w:t>see also Practice Mgmt</w:t>
      </w:r>
      <w:r w:rsidRPr="006A4CD7">
        <w:rPr>
          <w:rFonts w:cs="Times New Roman"/>
          <w:szCs w:val="24"/>
        </w:rPr>
        <w:t>., 121 F.3d at 520-21 (finding misuse when copyright holder’s license agreement required licensee to use its copyrighted coding system to exclusion of other competing coding systems because it gave copyright holder a “substantial and unfair advantage over its competitors”).</w:t>
      </w:r>
    </w:p>
    <w:p w14:paraId="1A536B5E" w14:textId="77777777" w:rsidR="006A4CD7" w:rsidRPr="006A4CD7" w:rsidRDefault="006A4CD7" w:rsidP="0060759C">
      <w:pPr>
        <w:autoSpaceDE w:val="0"/>
        <w:autoSpaceDN w:val="0"/>
        <w:adjustRightInd w:val="0"/>
        <w:rPr>
          <w:rFonts w:cs="Times New Roman"/>
          <w:szCs w:val="24"/>
        </w:rPr>
      </w:pPr>
    </w:p>
    <w:p w14:paraId="0D4AA4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contours of this defense are still being defined because courts do not need to address the issue when there is an unsuccessful claim for copyright infringement.  </w:t>
      </w:r>
      <w:r w:rsidRPr="006A4CD7">
        <w:rPr>
          <w:rFonts w:cs="Times New Roman"/>
          <w:i/>
          <w:iCs/>
          <w:szCs w:val="24"/>
        </w:rPr>
        <w:t>See MDY Indus., LLC v. Blizzard Entm’t, Inc</w:t>
      </w:r>
      <w:r w:rsidRPr="006A4CD7">
        <w:rPr>
          <w:rFonts w:cs="Times New Roman"/>
          <w:szCs w:val="24"/>
        </w:rPr>
        <w:t xml:space="preserve">., 629 F.3d 928, 941 (9th Cir. 2010) (declining to address copyright misuse issue because there was no infringement); </w:t>
      </w:r>
      <w:proofErr w:type="spellStart"/>
      <w:r w:rsidRPr="006A4CD7">
        <w:rPr>
          <w:rFonts w:cs="Times New Roman"/>
          <w:i/>
          <w:iCs/>
          <w:szCs w:val="24"/>
        </w:rPr>
        <w:t>Vernor</w:t>
      </w:r>
      <w:proofErr w:type="spellEnd"/>
      <w:r w:rsidRPr="006A4CD7">
        <w:rPr>
          <w:rFonts w:cs="Times New Roman"/>
          <w:szCs w:val="24"/>
        </w:rPr>
        <w:t xml:space="preserve">, 621 F.3d at 1115 (noting that district court did not decide copyright misuse because it found no infringement); </w:t>
      </w:r>
      <w:r w:rsidRPr="006A4CD7">
        <w:rPr>
          <w:rFonts w:cs="Times New Roman"/>
          <w:i/>
          <w:iCs/>
          <w:szCs w:val="24"/>
        </w:rPr>
        <w:t xml:space="preserve">Sony </w:t>
      </w:r>
      <w:proofErr w:type="spellStart"/>
      <w:r w:rsidRPr="006A4CD7">
        <w:rPr>
          <w:rFonts w:cs="Times New Roman"/>
          <w:i/>
          <w:iCs/>
          <w:szCs w:val="24"/>
        </w:rPr>
        <w:t>Comput</w:t>
      </w:r>
      <w:proofErr w:type="spellEnd"/>
      <w:r w:rsidRPr="006A4CD7">
        <w:rPr>
          <w:rFonts w:cs="Times New Roman"/>
          <w:i/>
          <w:iCs/>
          <w:szCs w:val="24"/>
        </w:rPr>
        <w:t>. Entm’t, Inc. v. Connectix Corp</w:t>
      </w:r>
      <w:r w:rsidRPr="006A4CD7">
        <w:rPr>
          <w:rFonts w:cs="Times New Roman"/>
          <w:szCs w:val="24"/>
        </w:rPr>
        <w:t>., 203 F.3d 596, 608 (9th Cir. 2000) (declining to consider copyright misuse issue when likelihood of success on merits insufficiently established injunctive relief on copyright infringement claim).</w:t>
      </w:r>
    </w:p>
    <w:p w14:paraId="03A41A44" w14:textId="77777777" w:rsidR="006A4CD7" w:rsidRPr="006A4CD7" w:rsidRDefault="006A4CD7" w:rsidP="0060759C">
      <w:pPr>
        <w:autoSpaceDE w:val="0"/>
        <w:autoSpaceDN w:val="0"/>
        <w:adjustRightInd w:val="0"/>
        <w:rPr>
          <w:rFonts w:cs="Times New Roman"/>
          <w:szCs w:val="24"/>
        </w:rPr>
      </w:pPr>
    </w:p>
    <w:p w14:paraId="499063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Alcatel USA, Inc. v. DGI Technologies, Inc</w:t>
      </w:r>
      <w:r w:rsidRPr="006A4CD7">
        <w:rPr>
          <w:rFonts w:cs="Times New Roman"/>
          <w:szCs w:val="24"/>
        </w:rPr>
        <w:t xml:space="preserve">., 166 F.3d 772 (5th Cir.1999), the Fifth Circuit affirmed a jury decision that a copyright holder had engaged in copyright misuse by stating, “A reasonable juror could conclude, based on the licensing agreement, that ‘DSC has used its copyrights to indirectly gain commercial control over products DSC does not have copyrighted,’ namely, its microprocessor cards.”  </w:t>
      </w:r>
      <w:r w:rsidRPr="006A4CD7">
        <w:rPr>
          <w:rFonts w:cs="Times New Roman"/>
          <w:i/>
          <w:iCs/>
          <w:szCs w:val="24"/>
        </w:rPr>
        <w:t>Id</w:t>
      </w:r>
      <w:r w:rsidRPr="006A4CD7">
        <w:rPr>
          <w:rFonts w:cs="Times New Roman"/>
          <w:szCs w:val="24"/>
        </w:rPr>
        <w:t>. at 793.</w:t>
      </w:r>
    </w:p>
    <w:p w14:paraId="4357DC96" w14:textId="77777777" w:rsidR="006A4CD7" w:rsidRPr="006A4CD7" w:rsidRDefault="006A4CD7" w:rsidP="0060759C">
      <w:pPr>
        <w:autoSpaceDE w:val="0"/>
        <w:autoSpaceDN w:val="0"/>
        <w:adjustRightInd w:val="0"/>
        <w:rPr>
          <w:rFonts w:cs="Times New Roman"/>
          <w:szCs w:val="24"/>
        </w:rPr>
      </w:pPr>
    </w:p>
    <w:p w14:paraId="25295BB1" w14:textId="77777777" w:rsidR="00E85C22" w:rsidRDefault="006A4CD7" w:rsidP="0060759C">
      <w:pPr>
        <w:autoSpaceDE w:val="0"/>
        <w:autoSpaceDN w:val="0"/>
        <w:adjustRightInd w:val="0"/>
        <w:rPr>
          <w:rFonts w:cs="Times New Roman"/>
          <w:szCs w:val="24"/>
        </w:rPr>
      </w:pPr>
      <w:r w:rsidRPr="006A4CD7">
        <w:rPr>
          <w:rFonts w:cs="Times New Roman"/>
          <w:szCs w:val="24"/>
        </w:rPr>
        <w:tab/>
        <w:t xml:space="preserve">There is a useful discussion of this affirmative defense in a concurring opinion in </w:t>
      </w:r>
      <w:r w:rsidRPr="006A4CD7">
        <w:rPr>
          <w:rFonts w:cs="Times New Roman"/>
          <w:i/>
          <w:iCs/>
          <w:szCs w:val="24"/>
        </w:rPr>
        <w:t>Omega S.A. v. Costco Wholesale Group</w:t>
      </w:r>
      <w:r w:rsidRPr="006A4CD7">
        <w:rPr>
          <w:rFonts w:cs="Times New Roman"/>
          <w:szCs w:val="24"/>
        </w:rPr>
        <w:t xml:space="preserve">, 776 F.3d 692, 699-706 (9th Cir. 2015) (Wardlaw, J., concurring), that affirmed on other grounds a lower court decision that included a copyright misuse finding.  However, the Ninth Circuit has not yet decided whether the equitable defense of </w:t>
      </w:r>
    </w:p>
    <w:p w14:paraId="688FE90B" w14:textId="77777777" w:rsidR="00E85C22" w:rsidRDefault="00E85C22" w:rsidP="0060759C">
      <w:pPr>
        <w:autoSpaceDE w:val="0"/>
        <w:autoSpaceDN w:val="0"/>
        <w:adjustRightInd w:val="0"/>
        <w:rPr>
          <w:rFonts w:cs="Times New Roman"/>
          <w:szCs w:val="24"/>
        </w:rPr>
      </w:pPr>
    </w:p>
    <w:p w14:paraId="1CB648E0" w14:textId="3EAF5D02" w:rsidR="006A4CD7" w:rsidRPr="006A4CD7" w:rsidRDefault="006A4CD7" w:rsidP="0060759C">
      <w:pPr>
        <w:autoSpaceDE w:val="0"/>
        <w:autoSpaceDN w:val="0"/>
        <w:adjustRightInd w:val="0"/>
        <w:rPr>
          <w:rFonts w:cs="Times New Roman"/>
          <w:szCs w:val="24"/>
        </w:rPr>
      </w:pPr>
      <w:r w:rsidRPr="006A4CD7">
        <w:rPr>
          <w:rFonts w:cs="Times New Roman"/>
          <w:szCs w:val="24"/>
        </w:rPr>
        <w:t>copyright misuse should be submitted to the jury or is an issue for the court to decide.</w:t>
      </w:r>
    </w:p>
    <w:p w14:paraId="18167FCF" w14:textId="77777777" w:rsidR="006A4CD7" w:rsidRPr="006A4CD7" w:rsidRDefault="006A4CD7" w:rsidP="0060759C">
      <w:pPr>
        <w:autoSpaceDE w:val="0"/>
        <w:autoSpaceDN w:val="0"/>
        <w:adjustRightInd w:val="0"/>
        <w:rPr>
          <w:rFonts w:cs="Times New Roman"/>
          <w:szCs w:val="24"/>
        </w:rPr>
      </w:pPr>
    </w:p>
    <w:p w14:paraId="3231F826" w14:textId="77777777" w:rsidR="006A4CD7" w:rsidRPr="006A4CD7" w:rsidRDefault="006A4CD7" w:rsidP="0060759C">
      <w:pPr>
        <w:autoSpaceDE w:val="0"/>
        <w:autoSpaceDN w:val="0"/>
        <w:adjustRightInd w:val="0"/>
        <w:rPr>
          <w:rFonts w:cs="Times New Roman"/>
          <w:szCs w:val="24"/>
        </w:rPr>
      </w:pPr>
    </w:p>
    <w:p w14:paraId="42099C6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05C0EF29" w14:textId="53B23382" w:rsidR="006A4CD7" w:rsidRPr="006A4CD7" w:rsidRDefault="006A4CD7" w:rsidP="008E5DC5">
      <w:pPr>
        <w:pStyle w:val="Heading2"/>
      </w:pPr>
      <w:r w:rsidRPr="006A4CD7">
        <w:br w:type="page"/>
      </w:r>
      <w:bookmarkStart w:id="329" w:name="_Toc117512606"/>
      <w:r w:rsidRPr="006A4CD7">
        <w:t xml:space="preserve">17.25 </w:t>
      </w:r>
      <w:r w:rsidR="00646BCE" w:rsidRPr="00646BCE">
        <w:t>Copyright—Affirmative Defense—Implied License</w:t>
      </w:r>
      <w:bookmarkEnd w:id="329"/>
    </w:p>
    <w:p w14:paraId="55A3BB07" w14:textId="77777777" w:rsidR="006A4CD7" w:rsidRPr="006A4CD7" w:rsidRDefault="006A4CD7" w:rsidP="0060759C">
      <w:pPr>
        <w:autoSpaceDE w:val="0"/>
        <w:autoSpaceDN w:val="0"/>
        <w:adjustRightInd w:val="0"/>
        <w:rPr>
          <w:rFonts w:cs="Times New Roman"/>
          <w:szCs w:val="24"/>
        </w:rPr>
      </w:pPr>
    </w:p>
    <w:p w14:paraId="054AF229"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The defendant contends that [he] [she] [it] is not liable for copyright infringement because the plaintiff granted [him] [her] [it] an implied license in the plaintiff’s copyrighted work.  The plaintiff cannot claim copyright infringement against a defendant who [copies] [distributes] [uses] [modifies] [retains] the plaintiff’s copyrighted work if the plaintiff granted the defendant an implied license to [copy] [distribute] [use] [modify] [retain] the work.  </w:t>
      </w:r>
    </w:p>
    <w:p w14:paraId="2738B09D" w14:textId="77777777" w:rsidR="006A4CD7" w:rsidRPr="006A4CD7" w:rsidRDefault="006A4CD7" w:rsidP="0060759C">
      <w:pPr>
        <w:autoSpaceDE w:val="0"/>
        <w:autoSpaceDN w:val="0"/>
        <w:adjustRightInd w:val="0"/>
        <w:rPr>
          <w:rFonts w:cs="Times New Roman"/>
          <w:b/>
          <w:bCs/>
          <w:szCs w:val="24"/>
        </w:rPr>
      </w:pPr>
    </w:p>
    <w:p w14:paraId="44DC46D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show the existence of an implied license, the defendant has the burden of proving that:</w:t>
      </w:r>
    </w:p>
    <w:p w14:paraId="51964460" w14:textId="77777777" w:rsidR="006A4CD7" w:rsidRPr="006A4CD7" w:rsidRDefault="006A4CD7" w:rsidP="0060759C">
      <w:pPr>
        <w:autoSpaceDE w:val="0"/>
        <w:autoSpaceDN w:val="0"/>
        <w:adjustRightInd w:val="0"/>
        <w:rPr>
          <w:rFonts w:cs="Times New Roman"/>
          <w:szCs w:val="24"/>
        </w:rPr>
      </w:pPr>
    </w:p>
    <w:p w14:paraId="0CC9FF67"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the defendant requested that the plaintiff create a work;</w:t>
      </w:r>
    </w:p>
    <w:p w14:paraId="3C57D4CE" w14:textId="77777777" w:rsidR="008E5DC5" w:rsidRDefault="008E5DC5" w:rsidP="008E5DC5"/>
    <w:p w14:paraId="108BBA21"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8E5DC5">
        <w:rPr>
          <w:rFonts w:cs="Times New Roman"/>
          <w:szCs w:val="24"/>
        </w:rPr>
        <w:t>the plaintiff made that particular work and delivered it to the defendant; and</w:t>
      </w:r>
    </w:p>
    <w:p w14:paraId="5B704EEA" w14:textId="77777777" w:rsidR="008E5DC5" w:rsidRDefault="008E5DC5" w:rsidP="008E5DC5"/>
    <w:p w14:paraId="7E90596B" w14:textId="77777777" w:rsidR="006A4CD7" w:rsidRPr="006A4CD7"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plaintiff intended that the defendant [copy] [distribute] [use] [modify] [retain] the plaintiff’s work. </w:t>
      </w:r>
    </w:p>
    <w:p w14:paraId="02C36C17" w14:textId="77777777" w:rsidR="006A4CD7" w:rsidRPr="006A4CD7" w:rsidRDefault="006A4CD7" w:rsidP="0060759C">
      <w:pPr>
        <w:autoSpaceDE w:val="0"/>
        <w:autoSpaceDN w:val="0"/>
        <w:adjustRightInd w:val="0"/>
        <w:spacing w:line="2" w:lineRule="exact"/>
        <w:rPr>
          <w:rFonts w:cs="Times New Roman"/>
          <w:szCs w:val="24"/>
        </w:rPr>
      </w:pPr>
    </w:p>
    <w:p w14:paraId="1E16588B" w14:textId="77777777" w:rsidR="006A4CD7" w:rsidRPr="006A4CD7" w:rsidRDefault="006A4CD7" w:rsidP="0060759C">
      <w:pPr>
        <w:numPr>
          <w:ilvl w:val="12"/>
          <w:numId w:val="0"/>
        </w:numPr>
        <w:autoSpaceDE w:val="0"/>
        <w:autoSpaceDN w:val="0"/>
        <w:adjustRightInd w:val="0"/>
        <w:rPr>
          <w:rFonts w:cs="Times New Roman"/>
          <w:szCs w:val="24"/>
        </w:rPr>
      </w:pPr>
    </w:p>
    <w:p w14:paraId="5A4F8A17"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has proved by a preponderance of the evidence that the plaintiff granted [him] [her] [it] an implied license to [copy] [distribute] [use] [modify] [retain] the copyrighted work, your verdict should be for the defendant [on that portion of the plaintiff’s copyright infringement claim].</w:t>
      </w:r>
    </w:p>
    <w:p w14:paraId="38716AAC" w14:textId="77777777" w:rsidR="006A4CD7" w:rsidRPr="006A4CD7" w:rsidRDefault="006A4CD7" w:rsidP="0060759C">
      <w:pPr>
        <w:numPr>
          <w:ilvl w:val="12"/>
          <w:numId w:val="0"/>
        </w:numPr>
        <w:autoSpaceDE w:val="0"/>
        <w:autoSpaceDN w:val="0"/>
        <w:adjustRightInd w:val="0"/>
        <w:rPr>
          <w:rFonts w:cs="Times New Roman"/>
          <w:b/>
          <w:bCs/>
          <w:szCs w:val="24"/>
        </w:rPr>
      </w:pPr>
    </w:p>
    <w:p w14:paraId="72162BE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79F8B45" w14:textId="77777777" w:rsidR="006A4CD7" w:rsidRPr="006A4CD7" w:rsidRDefault="006A4CD7" w:rsidP="0060759C">
      <w:pPr>
        <w:numPr>
          <w:ilvl w:val="12"/>
          <w:numId w:val="0"/>
        </w:numPr>
        <w:autoSpaceDE w:val="0"/>
        <w:autoSpaceDN w:val="0"/>
        <w:adjustRightInd w:val="0"/>
        <w:rPr>
          <w:rFonts w:cs="Times New Roman"/>
          <w:szCs w:val="24"/>
        </w:rPr>
      </w:pPr>
    </w:p>
    <w:p w14:paraId="1EAEB93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above instruction is based on </w:t>
      </w:r>
      <w:r w:rsidRPr="006A4CD7">
        <w:rPr>
          <w:rFonts w:cs="Times New Roman"/>
          <w:i/>
          <w:iCs/>
          <w:szCs w:val="24"/>
        </w:rPr>
        <w:t>Effects Associates, Inc. v. Cohen</w:t>
      </w:r>
      <w:r w:rsidRPr="006A4CD7">
        <w:rPr>
          <w:rFonts w:cs="Times New Roman"/>
          <w:szCs w:val="24"/>
        </w:rPr>
        <w:t xml:space="preserve">, 908 F.2d 555, 558-59 (9th Cir. 1990) and </w:t>
      </w:r>
      <w:r w:rsidRPr="006A4CD7">
        <w:rPr>
          <w:rFonts w:cs="Times New Roman"/>
          <w:i/>
          <w:iCs/>
          <w:szCs w:val="24"/>
        </w:rPr>
        <w:t>Asset Marketing Systems, Inc. v. Gagnon</w:t>
      </w:r>
      <w:r w:rsidRPr="006A4CD7">
        <w:rPr>
          <w:rFonts w:cs="Times New Roman"/>
          <w:szCs w:val="24"/>
        </w:rPr>
        <w:t xml:space="preserve">, 542 F.3d 748, 754-57 (9th Cir. 2008) (setting forth this test in this form). </w:t>
      </w:r>
      <w:r w:rsidRPr="006A4CD7">
        <w:rPr>
          <w:rFonts w:cs="Times New Roman"/>
          <w:i/>
          <w:iCs/>
          <w:szCs w:val="24"/>
        </w:rPr>
        <w:t xml:space="preserve"> See also U.S. Auto Parts Network, Inc. v. Parts Geek, LLC</w:t>
      </w:r>
      <w:r w:rsidRPr="006A4CD7">
        <w:rPr>
          <w:rFonts w:cs="Times New Roman"/>
          <w:szCs w:val="24"/>
        </w:rPr>
        <w:t>, 692 F.3d 1009, 1019-20 (9th Cir. 2012) (applying</w:t>
      </w:r>
      <w:r w:rsidRPr="006A4CD7">
        <w:rPr>
          <w:rFonts w:cs="Times New Roman"/>
          <w:i/>
          <w:iCs/>
          <w:szCs w:val="24"/>
        </w:rPr>
        <w:t xml:space="preserve"> </w:t>
      </w:r>
      <w:r w:rsidRPr="006A4CD7">
        <w:rPr>
          <w:rFonts w:cs="Times New Roman"/>
          <w:szCs w:val="24"/>
        </w:rPr>
        <w:t>this test to reverse grant of summary judgment because reasonable jury could find implied license).</w:t>
      </w:r>
      <w:r w:rsidRPr="006A4CD7">
        <w:rPr>
          <w:rFonts w:cs="Times New Roman"/>
          <w:szCs w:val="24"/>
        </w:rPr>
        <w:tab/>
      </w:r>
    </w:p>
    <w:p w14:paraId="300398EB" w14:textId="77777777" w:rsidR="006A4CD7" w:rsidRPr="006A4CD7" w:rsidRDefault="006A4CD7" w:rsidP="0060759C">
      <w:pPr>
        <w:numPr>
          <w:ilvl w:val="12"/>
          <w:numId w:val="0"/>
        </w:numPr>
        <w:autoSpaceDE w:val="0"/>
        <w:autoSpaceDN w:val="0"/>
        <w:adjustRightInd w:val="0"/>
        <w:rPr>
          <w:rFonts w:cs="Times New Roman"/>
          <w:szCs w:val="24"/>
        </w:rPr>
      </w:pPr>
    </w:p>
    <w:p w14:paraId="150E3C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Although this model instruction accurately captures one recurring set of implied license facts, implied licenses arise in a wide variety of circumstances, including many—such as express contracts that fail because of the statute of frauds or partnership arrangements—for which the elements of an implied license will be different.</w:t>
      </w:r>
    </w:p>
    <w:p w14:paraId="5E32C446" w14:textId="77777777" w:rsidR="006A4CD7" w:rsidRPr="006A4CD7" w:rsidRDefault="006A4CD7" w:rsidP="0060759C">
      <w:pPr>
        <w:numPr>
          <w:ilvl w:val="12"/>
          <w:numId w:val="0"/>
        </w:numPr>
        <w:autoSpaceDE w:val="0"/>
        <w:autoSpaceDN w:val="0"/>
        <w:adjustRightInd w:val="0"/>
        <w:rPr>
          <w:rFonts w:cs="Times New Roman"/>
          <w:szCs w:val="24"/>
        </w:rPr>
      </w:pPr>
    </w:p>
    <w:p w14:paraId="5CA094D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Implied license is an affirmative defense to copyright infringement.</w:t>
      </w:r>
      <w:r w:rsidRPr="006A4CD7">
        <w:rPr>
          <w:rFonts w:cs="Times New Roman"/>
          <w:b/>
          <w:bCs/>
          <w:szCs w:val="24"/>
        </w:rPr>
        <w:t xml:space="preserve">  </w:t>
      </w:r>
      <w:r w:rsidRPr="006A4CD7">
        <w:rPr>
          <w:rFonts w:cs="Times New Roman"/>
          <w:i/>
          <w:iCs/>
          <w:szCs w:val="24"/>
        </w:rPr>
        <w:t>Asset Mktg.</w:t>
      </w:r>
      <w:r w:rsidRPr="006A4CD7">
        <w:rPr>
          <w:rFonts w:cs="Times New Roman"/>
          <w:szCs w:val="24"/>
        </w:rPr>
        <w:t xml:space="preserve">, 542 F.3d at 754.  When a plaintiff contributes copyrightable work to the defendant in exchange for some benefit (such as a share in partnership profits, a fee, or a salary), a license for the defendant to use plaintiff’s work may be implied.  </w:t>
      </w:r>
      <w:r w:rsidRPr="006A4CD7">
        <w:rPr>
          <w:rFonts w:cs="Times New Roman"/>
          <w:i/>
          <w:iCs/>
          <w:szCs w:val="24"/>
        </w:rPr>
        <w:t>See U.S. Auto Parts</w:t>
      </w:r>
      <w:r w:rsidRPr="006A4CD7">
        <w:rPr>
          <w:rFonts w:cs="Times New Roman"/>
          <w:szCs w:val="24"/>
        </w:rPr>
        <w:t>, 692 F.3d at 1019-20 (discussing existence of implied license in context of employment relationship);</w:t>
      </w:r>
      <w:r w:rsidRPr="006A4CD7">
        <w:rPr>
          <w:rFonts w:cs="Times New Roman"/>
          <w:i/>
          <w:iCs/>
          <w:szCs w:val="24"/>
        </w:rPr>
        <w:t xml:space="preserve"> Asset Mktg.</w:t>
      </w:r>
      <w:r w:rsidRPr="006A4CD7">
        <w:rPr>
          <w:rFonts w:cs="Times New Roman"/>
          <w:szCs w:val="24"/>
        </w:rPr>
        <w:t>, 542 F.3d at 750, 754-55</w:t>
      </w:r>
      <w:r w:rsidRPr="006A4CD7">
        <w:rPr>
          <w:rFonts w:cs="Times New Roman"/>
          <w:i/>
          <w:iCs/>
          <w:szCs w:val="24"/>
        </w:rPr>
        <w:t xml:space="preserve"> </w:t>
      </w:r>
      <w:r w:rsidRPr="006A4CD7">
        <w:rPr>
          <w:rFonts w:cs="Times New Roman"/>
          <w:szCs w:val="24"/>
        </w:rPr>
        <w:t xml:space="preserve">(involving independent contractor relationship); </w:t>
      </w:r>
      <w:proofErr w:type="spellStart"/>
      <w:r w:rsidRPr="006A4CD7">
        <w:rPr>
          <w:rFonts w:cs="Times New Roman"/>
          <w:i/>
          <w:iCs/>
          <w:szCs w:val="24"/>
        </w:rPr>
        <w:t>Oddo</w:t>
      </w:r>
      <w:proofErr w:type="spellEnd"/>
      <w:r w:rsidRPr="006A4CD7">
        <w:rPr>
          <w:rFonts w:cs="Times New Roman"/>
          <w:i/>
          <w:iCs/>
          <w:szCs w:val="24"/>
        </w:rPr>
        <w:t xml:space="preserve"> v. </w:t>
      </w:r>
      <w:proofErr w:type="spellStart"/>
      <w:r w:rsidRPr="006A4CD7">
        <w:rPr>
          <w:rFonts w:cs="Times New Roman"/>
          <w:i/>
          <w:iCs/>
          <w:szCs w:val="24"/>
        </w:rPr>
        <w:t>Ries</w:t>
      </w:r>
      <w:proofErr w:type="spellEnd"/>
      <w:r w:rsidRPr="006A4CD7">
        <w:rPr>
          <w:rFonts w:cs="Times New Roman"/>
          <w:szCs w:val="24"/>
        </w:rPr>
        <w:t>, 743 F.2d 630, 634 (9th Cir. 1984)</w:t>
      </w:r>
      <w:r w:rsidRPr="006A4CD7">
        <w:rPr>
          <w:rFonts w:cs="Times New Roman"/>
          <w:i/>
          <w:iCs/>
          <w:szCs w:val="24"/>
        </w:rPr>
        <w:t xml:space="preserve"> </w:t>
      </w:r>
      <w:r w:rsidRPr="006A4CD7">
        <w:rPr>
          <w:rFonts w:cs="Times New Roman"/>
          <w:szCs w:val="24"/>
        </w:rPr>
        <w:t xml:space="preserve">(involving partnership relationship).  A license is often implied when “without such a license, [the plaintiff’s compensated] contribution…would have been of minimal value.”  </w:t>
      </w:r>
      <w:r w:rsidRPr="006A4CD7">
        <w:rPr>
          <w:rFonts w:cs="Times New Roman"/>
          <w:i/>
          <w:iCs/>
          <w:szCs w:val="24"/>
        </w:rPr>
        <w:t>Id</w:t>
      </w:r>
      <w:r w:rsidRPr="006A4CD7">
        <w:rPr>
          <w:rFonts w:cs="Times New Roman"/>
          <w:szCs w:val="24"/>
        </w:rPr>
        <w:t xml:space="preserve">.  </w:t>
      </w:r>
    </w:p>
    <w:p w14:paraId="177B9730" w14:textId="77777777" w:rsidR="006A4CD7" w:rsidRPr="006A4CD7" w:rsidRDefault="006A4CD7" w:rsidP="0060759C">
      <w:pPr>
        <w:numPr>
          <w:ilvl w:val="12"/>
          <w:numId w:val="0"/>
        </w:numPr>
        <w:autoSpaceDE w:val="0"/>
        <w:autoSpaceDN w:val="0"/>
        <w:adjustRightInd w:val="0"/>
        <w:rPr>
          <w:rFonts w:cs="Times New Roman"/>
          <w:szCs w:val="24"/>
        </w:rPr>
      </w:pPr>
    </w:p>
    <w:p w14:paraId="7B63C90D"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 implied license may be implied by conduct.  </w:t>
      </w:r>
      <w:r w:rsidRPr="006A4CD7">
        <w:rPr>
          <w:rFonts w:cs="Times New Roman"/>
          <w:i/>
          <w:iCs/>
          <w:szCs w:val="24"/>
        </w:rPr>
        <w:t xml:space="preserve">See </w:t>
      </w:r>
      <w:proofErr w:type="spellStart"/>
      <w:r w:rsidRPr="006A4CD7">
        <w:rPr>
          <w:rFonts w:cs="Times New Roman"/>
          <w:i/>
          <w:iCs/>
          <w:szCs w:val="24"/>
        </w:rPr>
        <w:t>Foad</w:t>
      </w:r>
      <w:proofErr w:type="spellEnd"/>
      <w:r w:rsidRPr="006A4CD7">
        <w:rPr>
          <w:rFonts w:cs="Times New Roman"/>
          <w:i/>
          <w:iCs/>
          <w:szCs w:val="24"/>
        </w:rPr>
        <w:t xml:space="preserve"> Consulting Grp., Inc. v. </w:t>
      </w:r>
      <w:proofErr w:type="spellStart"/>
      <w:r w:rsidRPr="006A4CD7">
        <w:rPr>
          <w:rFonts w:cs="Times New Roman"/>
          <w:i/>
          <w:iCs/>
          <w:szCs w:val="24"/>
        </w:rPr>
        <w:t>Azzalino</w:t>
      </w:r>
      <w:proofErr w:type="spellEnd"/>
      <w:r w:rsidRPr="006A4CD7">
        <w:rPr>
          <w:rFonts w:cs="Times New Roman"/>
          <w:szCs w:val="24"/>
        </w:rPr>
        <w:t xml:space="preserve">, 270 F.3d 821, 825 (9th Cir. 2001).  It may be unlimited in scope or restricted to certain specific rights.  </w:t>
      </w:r>
      <w:r w:rsidRPr="006A4CD7">
        <w:rPr>
          <w:rFonts w:cs="Times New Roman"/>
          <w:i/>
          <w:iCs/>
          <w:szCs w:val="24"/>
        </w:rPr>
        <w:t>Compare Asset Mktg.</w:t>
      </w:r>
      <w:r w:rsidRPr="006A4CD7">
        <w:rPr>
          <w:rFonts w:cs="Times New Roman"/>
          <w:szCs w:val="24"/>
        </w:rPr>
        <w:t xml:space="preserve">, 542 F.3d at 757 (finding that plaintiff granted defendant “unlimited” implied license “to retain, use, and modify” work), </w:t>
      </w:r>
      <w:r w:rsidRPr="006A4CD7">
        <w:rPr>
          <w:rFonts w:cs="Times New Roman"/>
          <w:i/>
          <w:iCs/>
          <w:szCs w:val="24"/>
        </w:rPr>
        <w:t xml:space="preserve">with </w:t>
      </w:r>
      <w:proofErr w:type="spellStart"/>
      <w:r w:rsidRPr="006A4CD7">
        <w:rPr>
          <w:rFonts w:cs="Times New Roman"/>
          <w:i/>
          <w:iCs/>
          <w:szCs w:val="24"/>
        </w:rPr>
        <w:t>Oddo</w:t>
      </w:r>
      <w:proofErr w:type="spellEnd"/>
      <w:r w:rsidRPr="006A4CD7">
        <w:rPr>
          <w:rFonts w:cs="Times New Roman"/>
          <w:szCs w:val="24"/>
        </w:rPr>
        <w:t>, 743 F.2d</w:t>
      </w:r>
      <w:r w:rsidRPr="006A4CD7">
        <w:rPr>
          <w:rFonts w:cs="Times New Roman"/>
          <w:i/>
          <w:iCs/>
          <w:szCs w:val="24"/>
        </w:rPr>
        <w:t xml:space="preserve"> </w:t>
      </w:r>
      <w:r w:rsidRPr="006A4CD7">
        <w:rPr>
          <w:rFonts w:cs="Times New Roman"/>
          <w:szCs w:val="24"/>
        </w:rPr>
        <w:t xml:space="preserve">at 634 (plaintiff granted defendant implied license to use work in manuscript and not “in any work other than the manuscript itself”).  The defendant bears the burden of proof as to the scope and existence of an implied license.  </w:t>
      </w:r>
      <w:r w:rsidRPr="006A4CD7">
        <w:rPr>
          <w:rFonts w:cs="Times New Roman"/>
          <w:i/>
          <w:iCs/>
          <w:szCs w:val="24"/>
        </w:rPr>
        <w:t>Id.</w:t>
      </w:r>
      <w:r w:rsidRPr="006A4CD7">
        <w:rPr>
          <w:rFonts w:cs="Times New Roman"/>
          <w:szCs w:val="24"/>
        </w:rPr>
        <w:t xml:space="preserve"> at 634 &amp; n.6.  Limitations on the scope of an implied license may be strictly construed.  </w:t>
      </w:r>
      <w:r w:rsidRPr="006A4CD7">
        <w:rPr>
          <w:rFonts w:cs="Times New Roman"/>
          <w:i/>
          <w:iCs/>
          <w:szCs w:val="24"/>
        </w:rPr>
        <w:t xml:space="preserve">See id. </w:t>
      </w:r>
      <w:r w:rsidRPr="006A4CD7">
        <w:rPr>
          <w:rFonts w:cs="Times New Roman"/>
          <w:szCs w:val="24"/>
        </w:rPr>
        <w:t>at 634</w:t>
      </w:r>
      <w:r w:rsidRPr="006A4CD7">
        <w:rPr>
          <w:rFonts w:cs="Times New Roman"/>
          <w:i/>
          <w:iCs/>
          <w:szCs w:val="24"/>
        </w:rPr>
        <w:t xml:space="preserve"> </w:t>
      </w:r>
      <w:r w:rsidRPr="006A4CD7">
        <w:rPr>
          <w:rFonts w:cs="Times New Roman"/>
          <w:szCs w:val="24"/>
        </w:rPr>
        <w:t xml:space="preserve">(finding that implied license to use copyrighted work in a manuscript does not imply “the right to use the [copyrighted work] in any work other than the manuscript itself”); </w:t>
      </w:r>
      <w:r w:rsidRPr="006A4CD7">
        <w:rPr>
          <w:rFonts w:cs="Times New Roman"/>
          <w:i/>
          <w:iCs/>
          <w:szCs w:val="24"/>
        </w:rPr>
        <w:t>cf. Asset Mktg</w:t>
      </w:r>
      <w:r w:rsidRPr="006A4CD7">
        <w:rPr>
          <w:rFonts w:cs="Times New Roman"/>
          <w:szCs w:val="24"/>
        </w:rPr>
        <w:t xml:space="preserve">, 542 F.3d at 757 (finding plaintiff granted defendant “unlimited” implied license “to retain, use, and modify” work when plaintiff previously evinced no intent to limit the scope of defendant’s use).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05F538BF" w:rsidR="006A4CD7" w:rsidRPr="006A4CD7" w:rsidRDefault="006A4CD7" w:rsidP="00E90379">
      <w:pPr>
        <w:pStyle w:val="Heading2"/>
      </w:pPr>
      <w:r w:rsidRPr="006A4CD7">
        <w:br w:type="page"/>
      </w:r>
      <w:bookmarkStart w:id="330" w:name="_Toc117512607"/>
      <w:r w:rsidRPr="006A4CD7">
        <w:t xml:space="preserve">17.25A </w:t>
      </w:r>
      <w:r w:rsidR="00646BCE" w:rsidRPr="00646BCE">
        <w:t>Copyright—Affirmative Defense—Express License</w:t>
      </w:r>
      <w:bookmarkEnd w:id="330"/>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09E1C5C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because the plaintiff granted [him] [her] [it] an express license in the plaintiff’s copyrighted work.  The plaintiff cannot claim copyright infringement against a defendant who [copies] [distributes] [uses] the plaintiff’s copyrighted work if the plaintiff granted the defendant an express license to [copy] [distribute] [use] the work.</w:t>
      </w:r>
    </w:p>
    <w:p w14:paraId="356C5B39" w14:textId="77777777" w:rsidR="006A4CD7" w:rsidRPr="006A4CD7" w:rsidRDefault="006A4CD7" w:rsidP="0060759C">
      <w:pPr>
        <w:numPr>
          <w:ilvl w:val="12"/>
          <w:numId w:val="0"/>
        </w:numPr>
        <w:autoSpaceDE w:val="0"/>
        <w:autoSpaceDN w:val="0"/>
        <w:adjustRightInd w:val="0"/>
        <w:rPr>
          <w:rFonts w:cs="Times New Roman"/>
          <w:szCs w:val="24"/>
        </w:rPr>
      </w:pPr>
    </w:p>
    <w:p w14:paraId="18F478F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order to show the existence of an express license, the defendant has the burden of proving that the defendant received an express license to [copy] [distribute] [use] the plaintiff’s copyrighted work.</w:t>
      </w:r>
    </w:p>
    <w:p w14:paraId="75D08A37" w14:textId="77777777" w:rsidR="006A4CD7" w:rsidRPr="006A4CD7" w:rsidRDefault="006A4CD7" w:rsidP="0060759C">
      <w:pPr>
        <w:numPr>
          <w:ilvl w:val="12"/>
          <w:numId w:val="0"/>
        </w:numPr>
        <w:autoSpaceDE w:val="0"/>
        <w:autoSpaceDN w:val="0"/>
        <w:adjustRightInd w:val="0"/>
        <w:rPr>
          <w:rFonts w:cs="Times New Roman"/>
          <w:szCs w:val="24"/>
        </w:rPr>
      </w:pPr>
    </w:p>
    <w:p w14:paraId="5C5369E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defendant proves this, the burden shifts to the plaintiff to show that the defendant’s </w:t>
      </w:r>
    </w:p>
    <w:p w14:paraId="07136C0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[copying] [distribution] [use] of the plaintiff’s copyrighted work exceeded the scope of the license.</w:t>
      </w:r>
    </w:p>
    <w:p w14:paraId="0F236A70" w14:textId="77777777" w:rsidR="006A4CD7" w:rsidRPr="006A4CD7" w:rsidRDefault="006A4CD7" w:rsidP="0060759C">
      <w:pPr>
        <w:numPr>
          <w:ilvl w:val="12"/>
          <w:numId w:val="0"/>
        </w:numPr>
        <w:autoSpaceDE w:val="0"/>
        <w:autoSpaceDN w:val="0"/>
        <w:adjustRightInd w:val="0"/>
        <w:rPr>
          <w:rFonts w:cs="Times New Roman"/>
          <w:szCs w:val="24"/>
        </w:rPr>
      </w:pPr>
    </w:p>
    <w:p w14:paraId="5CB6F8C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 have separately instructed you on the scope of the license agreement between the parties.]</w:t>
      </w:r>
    </w:p>
    <w:p w14:paraId="72726C3D" w14:textId="77777777" w:rsidR="006A4CD7" w:rsidRPr="006A4CD7" w:rsidRDefault="006A4CD7" w:rsidP="0060759C">
      <w:pPr>
        <w:numPr>
          <w:ilvl w:val="12"/>
          <w:numId w:val="0"/>
        </w:numPr>
        <w:autoSpaceDE w:val="0"/>
        <w:autoSpaceDN w:val="0"/>
        <w:adjustRightInd w:val="0"/>
        <w:rPr>
          <w:rFonts w:cs="Times New Roman"/>
          <w:szCs w:val="24"/>
        </w:rPr>
      </w:pPr>
    </w:p>
    <w:p w14:paraId="2AAF55B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that the plaintiff granted [him] [her] [it] 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237873E6" w14:textId="77777777" w:rsidR="006A4CD7" w:rsidRPr="006A4CD7" w:rsidRDefault="006A4CD7" w:rsidP="0060759C">
      <w:pPr>
        <w:numPr>
          <w:ilvl w:val="12"/>
          <w:numId w:val="0"/>
        </w:numPr>
        <w:autoSpaceDE w:val="0"/>
        <w:autoSpaceDN w:val="0"/>
        <w:adjustRightInd w:val="0"/>
        <w:rPr>
          <w:rFonts w:cs="Times New Roman"/>
          <w:szCs w:val="24"/>
        </w:rPr>
      </w:pPr>
    </w:p>
    <w:p w14:paraId="5F03024A"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17BB284" w14:textId="77777777" w:rsidR="006A4CD7" w:rsidRPr="006A4CD7" w:rsidRDefault="006A4CD7" w:rsidP="00E90379"/>
    <w:p w14:paraId="517C3F6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w:t>
      </w:r>
      <w:proofErr w:type="spellStart"/>
      <w:r w:rsidRPr="006A4CD7">
        <w:rPr>
          <w:rFonts w:cs="Times New Roman"/>
          <w:szCs w:val="24"/>
        </w:rPr>
        <w:t>nyone</w:t>
      </w:r>
      <w:proofErr w:type="spellEnd"/>
      <w:r w:rsidRPr="006A4CD7">
        <w:rPr>
          <w:rFonts w:cs="Times New Roman"/>
          <w:szCs w:val="24"/>
        </w:rPr>
        <w:t xml:space="preserve"> who is authorized by the copyright owner to use the copyrighted work in a way specified in the statute . . . is not an infringer of the copyright with respect to such use.’’ </w:t>
      </w:r>
      <w:r w:rsidRPr="006A4CD7">
        <w:rPr>
          <w:rFonts w:cs="Times New Roman"/>
          <w:i/>
          <w:iCs/>
          <w:szCs w:val="24"/>
        </w:rPr>
        <w:t>Sony Corp. of Am. v. Universal City Studios, Inc</w:t>
      </w:r>
      <w:r w:rsidRPr="006A4CD7">
        <w:rPr>
          <w:rFonts w:cs="Times New Roman"/>
          <w:szCs w:val="24"/>
        </w:rPr>
        <w:t xml:space="preserve">., 464 U.S. 417, 433 (1984) (quoting 17 U.S.C. § 501(a)).  “Thus, ‘[t]he existence of a license creates an affirmative defense to a claim of copyright infringement.’”  </w:t>
      </w:r>
      <w:r w:rsidRPr="006A4CD7">
        <w:rPr>
          <w:rFonts w:cs="Times New Roman"/>
          <w:i/>
          <w:iCs/>
          <w:szCs w:val="24"/>
        </w:rPr>
        <w:t>Oracle USA, Inc. v. Rimini St., Inc</w:t>
      </w:r>
      <w:r w:rsidRPr="006A4CD7">
        <w:rPr>
          <w:rFonts w:cs="Times New Roman"/>
          <w:szCs w:val="24"/>
        </w:rPr>
        <w:t xml:space="preserve">., 879 F.3d 948, 954 (9th Cir. 2018) (quoting </w:t>
      </w:r>
      <w:r w:rsidRPr="006A4CD7">
        <w:rPr>
          <w:rFonts w:cs="Times New Roman"/>
          <w:i/>
          <w:iCs/>
          <w:szCs w:val="24"/>
        </w:rPr>
        <w:t>Worldwide Church of God v. Phila. Church of God, Inc</w:t>
      </w:r>
      <w:r w:rsidRPr="006A4CD7">
        <w:rPr>
          <w:rFonts w:cs="Times New Roman"/>
          <w:szCs w:val="24"/>
        </w:rPr>
        <w:t xml:space="preserve">., 227 F.3d 1110, 1114 (9th Cir. 2000)), </w:t>
      </w:r>
      <w:proofErr w:type="spellStart"/>
      <w:r w:rsidRPr="006A4CD7">
        <w:rPr>
          <w:rFonts w:cs="Times New Roman"/>
          <w:i/>
          <w:iCs/>
          <w:szCs w:val="24"/>
        </w:rPr>
        <w:t>rev’d</w:t>
      </w:r>
      <w:proofErr w:type="spellEnd"/>
      <w:r w:rsidRPr="006A4CD7">
        <w:rPr>
          <w:rFonts w:cs="Times New Roman"/>
          <w:i/>
          <w:iCs/>
          <w:szCs w:val="24"/>
        </w:rPr>
        <w:t xml:space="preserve"> on other grounds</w:t>
      </w:r>
      <w:r w:rsidRPr="006A4CD7">
        <w:rPr>
          <w:rFonts w:cs="Times New Roman"/>
          <w:szCs w:val="24"/>
        </w:rPr>
        <w:t xml:space="preserve">, 139 S. Ct. 873 (2019).  A claim for copyright infringement fails “if the challenged use of the work falls within the scope of a valid license.” </w:t>
      </w:r>
      <w:r w:rsidRPr="006A4CD7">
        <w:rPr>
          <w:rFonts w:cs="Times New Roman"/>
          <w:i/>
          <w:iCs/>
          <w:szCs w:val="24"/>
        </w:rPr>
        <w:t>Great Minds v. Office Depot</w:t>
      </w:r>
      <w:r w:rsidRPr="006A4CD7">
        <w:rPr>
          <w:rFonts w:cs="Times New Roman"/>
          <w:szCs w:val="24"/>
        </w:rPr>
        <w:t xml:space="preserve">, 945 F.3d 1106, 1110 (9th Cir. 2019) (citations omitted).  Further, “‘[w]hen a licensee exceeds the scope of the license granted by the copyright holder, the licensee is liable for infringement.’”  </w:t>
      </w:r>
      <w:r w:rsidRPr="006A4CD7">
        <w:rPr>
          <w:rFonts w:cs="Times New Roman"/>
          <w:i/>
          <w:iCs/>
          <w:szCs w:val="24"/>
        </w:rPr>
        <w:t>Oracle USA, Inc</w:t>
      </w:r>
      <w:r w:rsidRPr="006A4CD7">
        <w:rPr>
          <w:rFonts w:cs="Times New Roman"/>
          <w:szCs w:val="24"/>
        </w:rPr>
        <w:t xml:space="preserve">., 879 F.3d at 954 (quoting </w:t>
      </w:r>
      <w:r w:rsidRPr="006A4CD7">
        <w:rPr>
          <w:rFonts w:cs="Times New Roman"/>
          <w:i/>
          <w:iCs/>
          <w:szCs w:val="24"/>
        </w:rPr>
        <w:t>LGS Architects, Inc. v. Concordia Homes of Nev</w:t>
      </w:r>
      <w:r w:rsidRPr="006A4CD7">
        <w:rPr>
          <w:rFonts w:cs="Times New Roman"/>
          <w:szCs w:val="24"/>
        </w:rPr>
        <w:t>., 434 F.3d 1150, 1156 (9th Cir. 2006)).</w:t>
      </w:r>
    </w:p>
    <w:p w14:paraId="269A31C2" w14:textId="77777777" w:rsidR="006A4CD7" w:rsidRPr="006A4CD7" w:rsidRDefault="006A4CD7" w:rsidP="0060759C">
      <w:pPr>
        <w:numPr>
          <w:ilvl w:val="12"/>
          <w:numId w:val="0"/>
        </w:numPr>
        <w:autoSpaceDE w:val="0"/>
        <w:autoSpaceDN w:val="0"/>
        <w:adjustRightInd w:val="0"/>
        <w:rPr>
          <w:rFonts w:cs="Times New Roman"/>
          <w:szCs w:val="24"/>
        </w:rPr>
      </w:pPr>
    </w:p>
    <w:p w14:paraId="0473AE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trial court should modify this instruction as necessary to reflect the nature of the </w:t>
      </w:r>
    </w:p>
    <w:p w14:paraId="64F29D1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defendant’s alleged copyright infringement.  In a case in which the defendant claims to have acted under an express license, it is likely that the trial court will need to construe the terms of</w:t>
      </w:r>
    </w:p>
    <w:p w14:paraId="4A820C8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the license for the jury.  </w:t>
      </w:r>
      <w:r w:rsidRPr="006A4CD7">
        <w:rPr>
          <w:rFonts w:cs="Times New Roman"/>
          <w:i/>
          <w:iCs/>
          <w:szCs w:val="24"/>
        </w:rPr>
        <w:t>See, e.g.</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955, 958.  Federal courts “rely on state law to provide the canons of contractual construction, but only to the extent such rules do not interfere with federal copyright law or policy.” </w:t>
      </w:r>
      <w:r w:rsidRPr="006A4CD7">
        <w:rPr>
          <w:rFonts w:cs="Times New Roman"/>
          <w:i/>
          <w:iCs/>
          <w:szCs w:val="24"/>
        </w:rPr>
        <w:t>Great Minds v. Office Depot</w:t>
      </w:r>
      <w:r w:rsidRPr="006A4CD7">
        <w:rPr>
          <w:rFonts w:cs="Times New Roman"/>
          <w:szCs w:val="24"/>
        </w:rPr>
        <w:t>, 945 F.3d at 1110 (quoting</w:t>
      </w:r>
      <w:r w:rsidRPr="006A4CD7">
        <w:rPr>
          <w:rFonts w:cs="Times New Roman"/>
          <w:i/>
          <w:iCs/>
          <w:szCs w:val="24"/>
        </w:rPr>
        <w:t xml:space="preserve"> Cohen v. Paramount Pictures Corp</w:t>
      </w:r>
      <w:r w:rsidRPr="006A4CD7">
        <w:rPr>
          <w:rFonts w:cs="Times New Roman"/>
          <w:szCs w:val="24"/>
        </w:rPr>
        <w:t>., 845 F.2d 851, 854 (9th Cir. 1988)).</w:t>
      </w:r>
    </w:p>
    <w:p w14:paraId="7A28145F" w14:textId="77777777" w:rsidR="006A4CD7" w:rsidRPr="006A4CD7" w:rsidRDefault="006A4CD7" w:rsidP="0060759C">
      <w:pPr>
        <w:numPr>
          <w:ilvl w:val="12"/>
          <w:numId w:val="0"/>
        </w:numPr>
        <w:autoSpaceDE w:val="0"/>
        <w:autoSpaceDN w:val="0"/>
        <w:adjustRightInd w:val="0"/>
        <w:rPr>
          <w:rFonts w:cs="Times New Roman"/>
          <w:szCs w:val="24"/>
        </w:rPr>
      </w:pPr>
    </w:p>
    <w:p w14:paraId="6EA28595" w14:textId="77777777" w:rsidR="006A4CD7" w:rsidRPr="006A4CD7" w:rsidRDefault="006A4CD7" w:rsidP="0060759C">
      <w:pPr>
        <w:numPr>
          <w:ilvl w:val="12"/>
          <w:numId w:val="0"/>
        </w:numPr>
        <w:autoSpaceDE w:val="0"/>
        <w:autoSpaceDN w:val="0"/>
        <w:adjustRightInd w:val="0"/>
        <w:rPr>
          <w:rFonts w:cs="Times New Roman"/>
          <w:szCs w:val="24"/>
        </w:rPr>
      </w:pPr>
    </w:p>
    <w:p w14:paraId="6BEB95BE"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May 2020</w:t>
      </w: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066276B6" w14:textId="615FD23F" w:rsidR="00317DA8" w:rsidRDefault="006A4CD7" w:rsidP="00982B7E">
      <w:pPr>
        <w:pStyle w:val="Heading2"/>
      </w:pPr>
      <w:r w:rsidRPr="006A4CD7">
        <w:br w:type="page"/>
      </w:r>
      <w:bookmarkStart w:id="331" w:name="_Toc117512608"/>
      <w:r w:rsidRPr="006A4CD7">
        <w:t xml:space="preserve">17.26 </w:t>
      </w:r>
      <w:r w:rsidR="00646BCE" w:rsidRPr="00646BCE">
        <w:t>Copyright—Affirmative Defense—First Sale</w:t>
      </w:r>
      <w:bookmarkEnd w:id="331"/>
      <w:r w:rsidR="00646BCE" w:rsidRPr="00646BCE">
        <w:t xml:space="preserve"> </w:t>
      </w:r>
    </w:p>
    <w:p w14:paraId="7520F44C" w14:textId="7637734E" w:rsidR="00E90379" w:rsidRPr="006A4CD7" w:rsidRDefault="006A4CD7" w:rsidP="00982B7E">
      <w:pPr>
        <w:pStyle w:val="Heading2"/>
      </w:pPr>
      <w:bookmarkStart w:id="332" w:name="_Toc117512609"/>
      <w:r w:rsidRPr="006A4CD7">
        <w:t>(17 U.S.C. § 109(a))</w:t>
      </w:r>
      <w:bookmarkEnd w:id="332"/>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673F399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that particular copy. [The defendant may invoke this [“first sale”] defense only if [he] [she] [it] is an owner of a particular copy of the plaintiff’s copyrighted work, and not a licensee.]</w:t>
      </w:r>
    </w:p>
    <w:p w14:paraId="7F90FB77" w14:textId="77777777" w:rsidR="006A4CD7" w:rsidRPr="006A4CD7" w:rsidRDefault="006A4CD7" w:rsidP="0060759C">
      <w:pPr>
        <w:numPr>
          <w:ilvl w:val="12"/>
          <w:numId w:val="0"/>
        </w:numPr>
        <w:autoSpaceDE w:val="0"/>
        <w:autoSpaceDN w:val="0"/>
        <w:adjustRightInd w:val="0"/>
        <w:rPr>
          <w:rFonts w:cs="Times New Roman"/>
          <w:szCs w:val="24"/>
        </w:rPr>
      </w:pPr>
    </w:p>
    <w:p w14:paraId="780C0B79"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was an owner of the particular copy of the plaintiff’s copyrighted work and that the plaintiff sold or otherwise transferred ownership of that particular copy, your verdict should be for the defendant on plaintiff’s copyright infringement claim.</w:t>
      </w:r>
    </w:p>
    <w:p w14:paraId="01211BEB" w14:textId="77777777" w:rsidR="006A4CD7" w:rsidRPr="006A4CD7" w:rsidRDefault="006A4CD7" w:rsidP="0060759C">
      <w:pPr>
        <w:numPr>
          <w:ilvl w:val="12"/>
          <w:numId w:val="0"/>
        </w:numPr>
        <w:autoSpaceDE w:val="0"/>
        <w:autoSpaceDN w:val="0"/>
        <w:adjustRightInd w:val="0"/>
        <w:rPr>
          <w:rFonts w:cs="Times New Roman"/>
          <w:b/>
          <w:bCs/>
          <w:szCs w:val="24"/>
        </w:rPr>
      </w:pPr>
    </w:p>
    <w:p w14:paraId="6E38BCB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1ABC698" w14:textId="77777777" w:rsidR="006A4CD7" w:rsidRPr="006A4CD7" w:rsidRDefault="006A4CD7" w:rsidP="0060759C">
      <w:pPr>
        <w:numPr>
          <w:ilvl w:val="12"/>
          <w:numId w:val="0"/>
        </w:numPr>
        <w:autoSpaceDE w:val="0"/>
        <w:autoSpaceDN w:val="0"/>
        <w:adjustRightInd w:val="0"/>
        <w:rPr>
          <w:rFonts w:cs="Times New Roman"/>
          <w:b/>
          <w:bCs/>
          <w:szCs w:val="24"/>
        </w:rPr>
      </w:pPr>
    </w:p>
    <w:p w14:paraId="05EE70A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first sale doctrine is an affirmative defense to copyright infringement.  </w:t>
      </w:r>
      <w:proofErr w:type="spellStart"/>
      <w:r w:rsidRPr="006A4CD7">
        <w:rPr>
          <w:rFonts w:cs="Times New Roman"/>
          <w:i/>
          <w:iCs/>
          <w:szCs w:val="24"/>
        </w:rPr>
        <w:t>Bobbs</w:t>
      </w:r>
      <w:proofErr w:type="spellEnd"/>
      <w:r w:rsidRPr="006A4CD7">
        <w:rPr>
          <w:rFonts w:cs="Times New Roman"/>
          <w:i/>
          <w:iCs/>
          <w:szCs w:val="24"/>
        </w:rPr>
        <w:t>-Merrill Co. v. Straus</w:t>
      </w:r>
      <w:r w:rsidRPr="006A4CD7">
        <w:rPr>
          <w:rFonts w:cs="Times New Roman"/>
          <w:szCs w:val="24"/>
        </w:rPr>
        <w:t>, 210 U.S. 339, 350-51 (1908) (articulating first sale doctrine);</w:t>
      </w:r>
      <w:r w:rsidRPr="006A4CD7">
        <w:rPr>
          <w:rFonts w:cs="Times New Roman"/>
          <w:i/>
          <w:iCs/>
          <w:szCs w:val="24"/>
        </w:rPr>
        <w:t xml:space="preserve"> </w:t>
      </w:r>
      <w:proofErr w:type="spellStart"/>
      <w:r w:rsidRPr="006A4CD7">
        <w:rPr>
          <w:rFonts w:cs="Times New Roman"/>
          <w:i/>
          <w:iCs/>
          <w:szCs w:val="24"/>
        </w:rPr>
        <w:t>Vernor</w:t>
      </w:r>
      <w:proofErr w:type="spellEnd"/>
      <w:r w:rsidRPr="006A4CD7">
        <w:rPr>
          <w:rFonts w:cs="Times New Roman"/>
          <w:i/>
          <w:iCs/>
          <w:szCs w:val="24"/>
        </w:rPr>
        <w:t xml:space="preserve"> v. Autodesk, Inc.</w:t>
      </w:r>
      <w:r w:rsidRPr="006A4CD7">
        <w:rPr>
          <w:rFonts w:cs="Times New Roman"/>
          <w:szCs w:val="24"/>
        </w:rPr>
        <w:t xml:space="preserve">, 621 F.3d 1102, 1107 (9th Cir. 2010). </w:t>
      </w:r>
      <w:r w:rsidRPr="006A4CD7">
        <w:rPr>
          <w:rFonts w:cs="Times New Roman"/>
          <w:b/>
          <w:bCs/>
          <w:szCs w:val="24"/>
        </w:rPr>
        <w:t xml:space="preserve"> </w:t>
      </w:r>
      <w:r w:rsidRPr="006A4CD7">
        <w:rPr>
          <w:rFonts w:cs="Times New Roman"/>
          <w:szCs w:val="24"/>
        </w:rPr>
        <w:t xml:space="preserve">The doctrine “allows owners of copies of copyrighted works to resell those copies,” including copies lawfully made abroad, by limiting the copyright holder’s exclusive distribution right to the first sale.  </w:t>
      </w:r>
      <w:r w:rsidRPr="006A4CD7">
        <w:rPr>
          <w:rFonts w:cs="Times New Roman"/>
          <w:i/>
          <w:iCs/>
          <w:szCs w:val="24"/>
        </w:rPr>
        <w:t>Id.</w:t>
      </w:r>
      <w:r w:rsidRPr="006A4CD7">
        <w:rPr>
          <w:rFonts w:cs="Times New Roman"/>
          <w:szCs w:val="24"/>
        </w:rPr>
        <w:t xml:space="preserve"> at 1106-07; </w:t>
      </w:r>
      <w:r w:rsidRPr="006A4CD7">
        <w:rPr>
          <w:rFonts w:cs="Times New Roman"/>
          <w:i/>
          <w:iCs/>
          <w:szCs w:val="24"/>
        </w:rPr>
        <w:t xml:space="preserve">see also </w:t>
      </w:r>
      <w:proofErr w:type="spellStart"/>
      <w:r w:rsidRPr="006A4CD7">
        <w:rPr>
          <w:rFonts w:cs="Times New Roman"/>
          <w:i/>
          <w:iCs/>
          <w:szCs w:val="24"/>
        </w:rPr>
        <w:t>Kirtsaeng</w:t>
      </w:r>
      <w:proofErr w:type="spellEnd"/>
      <w:r w:rsidRPr="006A4CD7">
        <w:rPr>
          <w:rFonts w:cs="Times New Roman"/>
          <w:i/>
          <w:iCs/>
          <w:szCs w:val="24"/>
        </w:rPr>
        <w:t xml:space="preserve"> v. John Wiley &amp; Sons</w:t>
      </w:r>
      <w:r w:rsidRPr="006A4CD7">
        <w:rPr>
          <w:rFonts w:cs="Times New Roman"/>
          <w:szCs w:val="24"/>
        </w:rPr>
        <w:t xml:space="preserve">, 133 S. Ct. 1351, 1358 (2013); </w:t>
      </w:r>
      <w:r w:rsidRPr="006A4CD7">
        <w:rPr>
          <w:rFonts w:cs="Times New Roman"/>
          <w:i/>
          <w:iCs/>
          <w:szCs w:val="24"/>
        </w:rPr>
        <w:t>Omega S.A. v. Costco Wholesale Corp.</w:t>
      </w:r>
      <w:r w:rsidRPr="006A4CD7">
        <w:rPr>
          <w:rFonts w:cs="Times New Roman"/>
          <w:szCs w:val="24"/>
        </w:rPr>
        <w:t xml:space="preserve">, 776 F.3d 692 (9th Cir. 2015) (holding that watch manufacturer had no infringement cause of action because its rights to control importation and distribution of its copyrighted work expired after authorized first sale); </w:t>
      </w:r>
      <w:r w:rsidRPr="006A4CD7">
        <w:rPr>
          <w:rFonts w:cs="Times New Roman"/>
          <w:i/>
          <w:iCs/>
          <w:szCs w:val="24"/>
        </w:rPr>
        <w:t>UMG Recordings, Inc. v. Augusto</w:t>
      </w:r>
      <w:r w:rsidRPr="006A4CD7">
        <w:rPr>
          <w:rFonts w:cs="Times New Roman"/>
          <w:szCs w:val="24"/>
        </w:rPr>
        <w:t xml:space="preserve">, 628 F.3d 1175, 1179 (9th Cir. 2011) (“Notwithstanding its distinctive name, the [first sale] doctrine applies not only when a copy is first sold, but when a copy is given away or title is otherwise transferred without the accouterments of a sale.”). </w:t>
      </w:r>
    </w:p>
    <w:p w14:paraId="2763F8A1" w14:textId="77777777" w:rsidR="006A4CD7" w:rsidRPr="006A4CD7" w:rsidRDefault="006A4CD7" w:rsidP="0060759C">
      <w:pPr>
        <w:numPr>
          <w:ilvl w:val="12"/>
          <w:numId w:val="0"/>
        </w:numPr>
        <w:autoSpaceDE w:val="0"/>
        <w:autoSpaceDN w:val="0"/>
        <w:adjustRightInd w:val="0"/>
        <w:rPr>
          <w:rFonts w:cs="Times New Roman"/>
          <w:szCs w:val="24"/>
        </w:rPr>
      </w:pPr>
    </w:p>
    <w:p w14:paraId="4146030B" w14:textId="77777777" w:rsid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The first sale defense is unavailable to those who have only a license to use the copyrighted work.  </w:t>
      </w:r>
      <w:proofErr w:type="spellStart"/>
      <w:r w:rsidRPr="006A4CD7">
        <w:rPr>
          <w:rFonts w:cs="Times New Roman"/>
          <w:i/>
          <w:iCs/>
          <w:szCs w:val="24"/>
        </w:rPr>
        <w:t>Vernor</w:t>
      </w:r>
      <w:proofErr w:type="spellEnd"/>
      <w:r w:rsidRPr="006A4CD7">
        <w:rPr>
          <w:rFonts w:cs="Times New Roman"/>
          <w:szCs w:val="24"/>
        </w:rPr>
        <w:t>, 621 F.3d at 1107.</w:t>
      </w:r>
      <w:r w:rsidRPr="006A4CD7">
        <w:rPr>
          <w:rFonts w:cs="Times New Roman"/>
          <w:b/>
          <w:bCs/>
          <w:szCs w:val="24"/>
        </w:rPr>
        <w:t xml:space="preserve">  </w:t>
      </w:r>
      <w:r w:rsidRPr="006A4CD7">
        <w:rPr>
          <w:rFonts w:cs="Times New Roman"/>
          <w:szCs w:val="24"/>
        </w:rPr>
        <w:t xml:space="preserve">For an analysis of the owner versus licensee distinction, </w:t>
      </w:r>
      <w:r w:rsidRPr="006A4CD7">
        <w:rPr>
          <w:rFonts w:cs="Times New Roman"/>
          <w:i/>
          <w:iCs/>
          <w:szCs w:val="24"/>
        </w:rPr>
        <w:t>see Adobe Systems Inc. v. Christenson</w:t>
      </w:r>
      <w:r w:rsidRPr="006A4CD7">
        <w:rPr>
          <w:rFonts w:cs="Times New Roman"/>
          <w:szCs w:val="24"/>
        </w:rPr>
        <w:t xml:space="preserve">, 809 F.3d 1071, 1078 (9th Cir. 2015) (analyzing distinction with respect to computer software); </w:t>
      </w:r>
      <w:r w:rsidRPr="006A4CD7">
        <w:rPr>
          <w:rFonts w:cs="Times New Roman"/>
          <w:i/>
          <w:iCs/>
          <w:szCs w:val="24"/>
        </w:rPr>
        <w:t>UMG Recordings</w:t>
      </w:r>
      <w:r w:rsidRPr="006A4CD7">
        <w:rPr>
          <w:rFonts w:cs="Times New Roman"/>
          <w:szCs w:val="24"/>
        </w:rPr>
        <w:t xml:space="preserve">, 628 F.3d at 1180-83 (analyzing distinction with respect to recipients of promotional musical recordings); </w:t>
      </w:r>
      <w:r w:rsidRPr="006A4CD7">
        <w:rPr>
          <w:rFonts w:cs="Times New Roman"/>
          <w:i/>
          <w:iCs/>
          <w:szCs w:val="24"/>
        </w:rPr>
        <w:t xml:space="preserve">Apple Inc. v. </w:t>
      </w:r>
      <w:proofErr w:type="spellStart"/>
      <w:r w:rsidRPr="006A4CD7">
        <w:rPr>
          <w:rFonts w:cs="Times New Roman"/>
          <w:i/>
          <w:iCs/>
          <w:szCs w:val="24"/>
        </w:rPr>
        <w:t>Psystar</w:t>
      </w:r>
      <w:proofErr w:type="spellEnd"/>
      <w:r w:rsidRPr="006A4CD7">
        <w:rPr>
          <w:rFonts w:cs="Times New Roman"/>
          <w:i/>
          <w:iCs/>
          <w:szCs w:val="24"/>
        </w:rPr>
        <w:t xml:space="preserve"> Corp.</w:t>
      </w:r>
      <w:r w:rsidRPr="006A4CD7">
        <w:rPr>
          <w:rFonts w:cs="Times New Roman"/>
          <w:szCs w:val="24"/>
        </w:rPr>
        <w:t xml:space="preserve">, 658 F.3d 1150, 1155 (9th Cir. 2011) (involving computer software); </w:t>
      </w:r>
      <w:proofErr w:type="spellStart"/>
      <w:r w:rsidRPr="006A4CD7">
        <w:rPr>
          <w:rFonts w:cs="Times New Roman"/>
          <w:i/>
          <w:iCs/>
          <w:szCs w:val="24"/>
        </w:rPr>
        <w:t>Vernor</w:t>
      </w:r>
      <w:proofErr w:type="spellEnd"/>
      <w:r w:rsidRPr="006A4CD7">
        <w:rPr>
          <w:rFonts w:cs="Times New Roman"/>
          <w:szCs w:val="24"/>
        </w:rPr>
        <w:t xml:space="preserve">, 621 F.3d at 1111 (involving computer software); and </w:t>
      </w:r>
      <w:r w:rsidRPr="006A4CD7">
        <w:rPr>
          <w:rFonts w:cs="Times New Roman"/>
          <w:i/>
          <w:iCs/>
          <w:szCs w:val="24"/>
        </w:rPr>
        <w:t>United States v. Wise</w:t>
      </w:r>
      <w:r w:rsidRPr="006A4CD7">
        <w:rPr>
          <w:rFonts w:cs="Times New Roman"/>
          <w:szCs w:val="24"/>
        </w:rPr>
        <w:t>, 550 F.2d 1180, 1183 (9th Cir. 1977) (involving motion picture).</w:t>
      </w:r>
      <w:r w:rsidRPr="006A4CD7">
        <w:rPr>
          <w:rFonts w:cs="Times New Roman"/>
          <w:b/>
          <w:bCs/>
          <w:szCs w:val="24"/>
        </w:rPr>
        <w:t xml:space="preserve"> </w:t>
      </w:r>
      <w:r w:rsidRPr="006A4CD7">
        <w:rPr>
          <w:rFonts w:cs="Times New Roman"/>
          <w:szCs w:val="24"/>
        </w:rPr>
        <w:t xml:space="preserve"> The Ninth Circuit has yet to decide which party bears the burden of proving the first sale or lack of sale in a civil case. </w:t>
      </w:r>
      <w:proofErr w:type="spellStart"/>
      <w:r w:rsidRPr="006A4CD7">
        <w:rPr>
          <w:rFonts w:cs="Times New Roman"/>
          <w:i/>
          <w:iCs/>
          <w:szCs w:val="24"/>
        </w:rPr>
        <w:t>Vernor</w:t>
      </w:r>
      <w:proofErr w:type="spellEnd"/>
      <w:r w:rsidRPr="006A4CD7">
        <w:rPr>
          <w:rFonts w:cs="Times New Roman"/>
          <w:szCs w:val="24"/>
        </w:rPr>
        <w:t>, 621 F.3d at 1107 n.7.</w:t>
      </w: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2661F003" w14:textId="48E6A441" w:rsidR="00317DA8" w:rsidRDefault="006A4CD7" w:rsidP="00982B7E">
      <w:pPr>
        <w:pStyle w:val="Heading2"/>
      </w:pPr>
      <w:r w:rsidRPr="006A4CD7">
        <w:br w:type="page"/>
      </w:r>
      <w:bookmarkStart w:id="333" w:name="_Toc117512610"/>
      <w:r w:rsidRPr="006A4CD7">
        <w:t xml:space="preserve">17.27 </w:t>
      </w:r>
      <w:r w:rsidR="00646BCE" w:rsidRPr="00646BCE">
        <w:t>Copyright—Affirmative Defense—Service Provider</w:t>
      </w:r>
      <w:bookmarkEnd w:id="333"/>
      <w:r w:rsidR="00646BCE" w:rsidRPr="00646BCE">
        <w:t xml:space="preserve"> </w:t>
      </w:r>
    </w:p>
    <w:p w14:paraId="680997A6" w14:textId="5FF7F0D9" w:rsidR="00317DA8" w:rsidRDefault="009262BE" w:rsidP="00982B7E">
      <w:pPr>
        <w:pStyle w:val="Heading2"/>
      </w:pPr>
      <w:bookmarkStart w:id="334" w:name="_Toc117512611"/>
      <w:r w:rsidRPr="00646BCE">
        <w:t>of Network</w:t>
      </w:r>
      <w:r w:rsidR="00646BCE" w:rsidRPr="00646BCE">
        <w:t xml:space="preserve"> Communications Services Define</w:t>
      </w:r>
      <w:r w:rsidR="00982B7E">
        <w:t>d</w:t>
      </w:r>
      <w:bookmarkEnd w:id="334"/>
      <w:r w:rsidR="00982B7E">
        <w:t xml:space="preserve"> </w:t>
      </w:r>
    </w:p>
    <w:p w14:paraId="41F09322" w14:textId="4767C14F" w:rsidR="006A4CD7" w:rsidRPr="006A4CD7" w:rsidRDefault="006A4CD7" w:rsidP="00982B7E">
      <w:pPr>
        <w:pStyle w:val="Heading2"/>
      </w:pPr>
      <w:bookmarkStart w:id="335" w:name="_Toc117512612"/>
      <w:r w:rsidRPr="006A4CD7">
        <w:t>(17 U.S.C. § 512(</w:t>
      </w:r>
      <w:proofErr w:type="spellStart"/>
      <w:r w:rsidRPr="006A4CD7">
        <w:t>i</w:t>
      </w:r>
      <w:proofErr w:type="spellEnd"/>
      <w:r w:rsidRPr="006A4CD7">
        <w:t>), (k))</w:t>
      </w:r>
      <w:bookmarkEnd w:id="335"/>
    </w:p>
    <w:p w14:paraId="45494DE0" w14:textId="77777777" w:rsidR="006A4CD7" w:rsidRPr="006A4CD7" w:rsidRDefault="006A4CD7" w:rsidP="00E90379"/>
    <w:p w14:paraId="283D7201"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defendant qualifies as a service provider of network communication services if the defendant:</w:t>
      </w:r>
    </w:p>
    <w:p w14:paraId="584B4BDB" w14:textId="77777777" w:rsidR="006A4CD7" w:rsidRPr="006A4CD7" w:rsidRDefault="006A4CD7" w:rsidP="0060759C">
      <w:pPr>
        <w:numPr>
          <w:ilvl w:val="12"/>
          <w:numId w:val="0"/>
        </w:numPr>
        <w:autoSpaceDE w:val="0"/>
        <w:autoSpaceDN w:val="0"/>
        <w:adjustRightInd w:val="0"/>
        <w:rPr>
          <w:rFonts w:cs="Times New Roman"/>
          <w:szCs w:val="24"/>
        </w:rPr>
      </w:pPr>
    </w:p>
    <w:p w14:paraId="5BA9F2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1. </w:t>
      </w:r>
      <w:r w:rsidRPr="006A4CD7">
        <w:rPr>
          <w:rFonts w:cs="Times New Roman"/>
          <w:szCs w:val="24"/>
        </w:rPr>
        <w:tab/>
        <w:t>engaged in transmitting, routing, or providing connections for online communication, between points specified by a user, of material of the user’s choosing, without modification to the content of the material;</w:t>
      </w:r>
    </w:p>
    <w:p w14:paraId="21D9CDF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BC00C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and </w:t>
      </w:r>
    </w:p>
    <w:p w14:paraId="51AC36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6BB9E0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w:t>
      </w:r>
    </w:p>
    <w:p w14:paraId="76AAA8C4" w14:textId="77777777" w:rsidR="006A4CD7" w:rsidRPr="006A4CD7" w:rsidRDefault="006A4CD7" w:rsidP="0060759C">
      <w:pPr>
        <w:numPr>
          <w:ilvl w:val="12"/>
          <w:numId w:val="0"/>
        </w:numPr>
        <w:autoSpaceDE w:val="0"/>
        <w:autoSpaceDN w:val="0"/>
        <w:adjustRightInd w:val="0"/>
        <w:rPr>
          <w:rFonts w:cs="Times New Roman"/>
          <w:szCs w:val="24"/>
        </w:rPr>
      </w:pPr>
    </w:p>
    <w:p w14:paraId="0C195DD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430E315" w14:textId="77777777" w:rsidR="006A4CD7" w:rsidRPr="006A4CD7" w:rsidRDefault="006A4CD7" w:rsidP="0060759C">
      <w:pPr>
        <w:numPr>
          <w:ilvl w:val="12"/>
          <w:numId w:val="0"/>
        </w:numPr>
        <w:autoSpaceDE w:val="0"/>
        <w:autoSpaceDN w:val="0"/>
        <w:adjustRightInd w:val="0"/>
        <w:rPr>
          <w:rFonts w:cs="Times New Roman"/>
          <w:szCs w:val="24"/>
        </w:rPr>
      </w:pPr>
    </w:p>
    <w:p w14:paraId="22847366"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Service providers of network communication services are defendants “who act only as ‘conduits’ for the transmission of information,” and do not “select which users will communicate with each other” or perform </w:t>
      </w:r>
      <w:proofErr w:type="spellStart"/>
      <w:r w:rsidRPr="006A4CD7">
        <w:rPr>
          <w:rFonts w:cs="Times New Roman"/>
          <w:szCs w:val="24"/>
        </w:rPr>
        <w:t>nonconduit</w:t>
      </w:r>
      <w:proofErr w:type="spellEnd"/>
      <w:r w:rsidRPr="006A4CD7">
        <w:rPr>
          <w:rFonts w:cs="Times New Roman"/>
          <w:szCs w:val="24"/>
        </w:rPr>
        <w:t xml:space="preserve"> functions.  </w:t>
      </w:r>
      <w:r w:rsidRPr="006A4CD7">
        <w:rPr>
          <w:rFonts w:cs="Times New Roman"/>
          <w:i/>
          <w:iCs/>
          <w:szCs w:val="24"/>
        </w:rPr>
        <w:t>Columbia Pictures Indus., Inc. v. Fung</w:t>
      </w:r>
      <w:r w:rsidRPr="006A4CD7">
        <w:rPr>
          <w:rFonts w:cs="Times New Roman"/>
          <w:szCs w:val="24"/>
        </w:rPr>
        <w:t xml:space="preserve">, 710 F.3d 1020, 1041 (9th Cir. 2013).  This limitation applies whether the </w:t>
      </w:r>
      <w:proofErr w:type="spellStart"/>
      <w:r w:rsidRPr="006A4CD7">
        <w:rPr>
          <w:rFonts w:cs="Times New Roman"/>
          <w:szCs w:val="24"/>
        </w:rPr>
        <w:t>nonconduit</w:t>
      </w:r>
      <w:proofErr w:type="spellEnd"/>
      <w:r w:rsidRPr="006A4CD7">
        <w:rPr>
          <w:rFonts w:cs="Times New Roman"/>
          <w:szCs w:val="24"/>
        </w:rPr>
        <w:t xml:space="preserve"> functions are “automatic or humanly controlled.” </w:t>
      </w:r>
      <w:r w:rsidRPr="006A4CD7">
        <w:rPr>
          <w:rFonts w:cs="Times New Roman"/>
          <w:i/>
          <w:iCs/>
          <w:szCs w:val="24"/>
        </w:rPr>
        <w:t xml:space="preserve"> Id. </w:t>
      </w:r>
      <w:r w:rsidRPr="006A4CD7">
        <w:rPr>
          <w:rFonts w:cs="Times New Roman"/>
          <w:szCs w:val="24"/>
        </w:rPr>
        <w:t>at 1042.</w:t>
      </w:r>
    </w:p>
    <w:p w14:paraId="4E4BD091" w14:textId="77777777" w:rsidR="00E90379" w:rsidRPr="006A4CD7" w:rsidRDefault="00E90379" w:rsidP="00BD703F"/>
    <w:p w14:paraId="60652217" w14:textId="2D33CCE7" w:rsidR="00317DA8" w:rsidRDefault="006A4CD7" w:rsidP="00982B7E">
      <w:pPr>
        <w:pStyle w:val="Heading2"/>
      </w:pPr>
      <w:r w:rsidRPr="006A4CD7">
        <w:br w:type="page"/>
      </w:r>
      <w:bookmarkStart w:id="336" w:name="_Toc117512613"/>
      <w:r w:rsidRPr="006A4CD7">
        <w:t xml:space="preserve">17.28 </w:t>
      </w:r>
      <w:r w:rsidR="00646BCE" w:rsidRPr="00646BCE">
        <w:t>Copyright—Affirmative Defense—Limitation on Liability for</w:t>
      </w:r>
      <w:bookmarkEnd w:id="336"/>
      <w:r w:rsidR="00646BCE" w:rsidRPr="00646BCE">
        <w:t xml:space="preserve"> </w:t>
      </w:r>
    </w:p>
    <w:p w14:paraId="4D8D3393" w14:textId="6B7A3E92" w:rsidR="00E90379" w:rsidRPr="006A4CD7" w:rsidRDefault="00646BCE" w:rsidP="00982B7E">
      <w:pPr>
        <w:pStyle w:val="Heading2"/>
      </w:pPr>
      <w:bookmarkStart w:id="337" w:name="_Toc117512614"/>
      <w:r w:rsidRPr="00646BCE">
        <w:t xml:space="preserve">Transitory Digital Network Communications </w:t>
      </w:r>
      <w:r w:rsidR="006A4CD7" w:rsidRPr="006A4CD7">
        <w:t>(17 U.S.C. § 512(a))</w:t>
      </w:r>
      <w:bookmarkEnd w:id="337"/>
    </w:p>
    <w:p w14:paraId="3D0073A2" w14:textId="77777777" w:rsidR="006A4CD7" w:rsidRPr="006A4CD7" w:rsidRDefault="006A4CD7" w:rsidP="00E90379"/>
    <w:p w14:paraId="5560D08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2D0AEE" w14:textId="77777777" w:rsidR="006A4CD7" w:rsidRPr="00BD703F" w:rsidRDefault="006A4CD7" w:rsidP="0060759C">
      <w:pPr>
        <w:numPr>
          <w:ilvl w:val="12"/>
          <w:numId w:val="0"/>
        </w:numPr>
        <w:autoSpaceDE w:val="0"/>
        <w:autoSpaceDN w:val="0"/>
        <w:adjustRightInd w:val="0"/>
        <w:rPr>
          <w:rFonts w:cs="Times New Roman"/>
          <w:szCs w:val="24"/>
        </w:rPr>
      </w:pPr>
    </w:p>
    <w:p w14:paraId="210953A2"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is a service provider of network communication services;</w:t>
      </w:r>
    </w:p>
    <w:p w14:paraId="7DDA3B66"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3825B82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did not initiate or direct the transmission of the material;</w:t>
      </w:r>
    </w:p>
    <w:p w14:paraId="1A17ADE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978488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transmission, routing, provision of connections, or storage of the copyrighted material was carried out through an automatic technical process, and the defendant did not select the material;</w:t>
      </w:r>
    </w:p>
    <w:p w14:paraId="3683E87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D7A139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the defendant did not select the recipients of the material except as an automatic response to a request;</w:t>
      </w:r>
    </w:p>
    <w:p w14:paraId="4F4F6D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5396C6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 xml:space="preserve">the defendant did not make the material accessible to anyone other than to anticipated recipients; </w:t>
      </w:r>
    </w:p>
    <w:p w14:paraId="77015C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A3633E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keep the copyrighted material for longer than reasonably necessary for the transmission, routing, or provision of connections; and</w:t>
      </w:r>
    </w:p>
    <w:p w14:paraId="5C70CC4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A7B1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7. </w:t>
      </w:r>
      <w:r w:rsidRPr="006A4CD7">
        <w:rPr>
          <w:rFonts w:cs="Times New Roman"/>
          <w:szCs w:val="24"/>
        </w:rPr>
        <w:tab/>
        <w:t>the defendant transmitted the material through the system or network without modifying the content.</w:t>
      </w:r>
    </w:p>
    <w:p w14:paraId="20310862" w14:textId="77777777" w:rsidR="006A4CD7" w:rsidRPr="006A4CD7" w:rsidRDefault="006A4CD7" w:rsidP="0060759C">
      <w:pPr>
        <w:numPr>
          <w:ilvl w:val="12"/>
          <w:numId w:val="0"/>
        </w:numPr>
        <w:autoSpaceDE w:val="0"/>
        <w:autoSpaceDN w:val="0"/>
        <w:adjustRightInd w:val="0"/>
        <w:rPr>
          <w:rFonts w:cs="Times New Roman"/>
          <w:szCs w:val="24"/>
        </w:rPr>
      </w:pPr>
    </w:p>
    <w:p w14:paraId="141B6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proved all of these elements, your verdict should be for the defendant.  If, on the other hand, you find that the defendant has failed to prove any of these elements, the defendant is not entitled to prevail on this affirmative defense. </w:t>
      </w:r>
    </w:p>
    <w:p w14:paraId="7A775DC1" w14:textId="77777777" w:rsidR="006A4CD7" w:rsidRPr="006A4CD7" w:rsidRDefault="006A4CD7" w:rsidP="0060759C">
      <w:pPr>
        <w:numPr>
          <w:ilvl w:val="12"/>
          <w:numId w:val="0"/>
        </w:numPr>
        <w:autoSpaceDE w:val="0"/>
        <w:autoSpaceDN w:val="0"/>
        <w:adjustRightInd w:val="0"/>
        <w:rPr>
          <w:rFonts w:cs="Times New Roman"/>
          <w:szCs w:val="24"/>
        </w:rPr>
      </w:pPr>
    </w:p>
    <w:p w14:paraId="5054C12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E82E1BD" w14:textId="77777777" w:rsidR="006A4CD7" w:rsidRPr="006A4CD7" w:rsidRDefault="006A4CD7" w:rsidP="00E90379"/>
    <w:p w14:paraId="5E1AF11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the Digital Millennium Copyright Act’s (“DMCA”) safe harbor provision for transitory digital network communications.  </w:t>
      </w:r>
      <w:r w:rsidRPr="006A4CD7">
        <w:rPr>
          <w:rFonts w:cs="Times New Roman"/>
          <w:i/>
          <w:iCs/>
          <w:szCs w:val="24"/>
        </w:rPr>
        <w:t xml:space="preserve">See </w:t>
      </w:r>
      <w:r w:rsidRPr="006A4CD7">
        <w:rPr>
          <w:rFonts w:cs="Times New Roman"/>
          <w:szCs w:val="24"/>
        </w:rPr>
        <w:t>17 U.S.C. § 512(a), (</w:t>
      </w:r>
      <w:proofErr w:type="spellStart"/>
      <w:r w:rsidRPr="006A4CD7">
        <w:rPr>
          <w:rFonts w:cs="Times New Roman"/>
          <w:szCs w:val="24"/>
        </w:rPr>
        <w:t>i</w:t>
      </w:r>
      <w:proofErr w:type="spellEnd"/>
      <w:r w:rsidRPr="006A4CD7">
        <w:rPr>
          <w:rFonts w:cs="Times New Roman"/>
          <w:szCs w:val="24"/>
        </w:rPr>
        <w:t xml:space="preserve">) and (k).  The DMCA safe harbor provisions are affirmative defenses to copyright infringement.  </w:t>
      </w:r>
      <w:r w:rsidRPr="006A4CD7">
        <w:rPr>
          <w:rFonts w:cs="Times New Roman"/>
          <w:i/>
          <w:iCs/>
          <w:szCs w:val="24"/>
        </w:rPr>
        <w:t>Columbia Pictures Indus., Inc. v. Fung</w:t>
      </w:r>
      <w:r w:rsidRPr="006A4CD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6A4CD7">
        <w:rPr>
          <w:rFonts w:cs="Times New Roman"/>
          <w:i/>
          <w:iCs/>
          <w:szCs w:val="24"/>
        </w:rPr>
        <w:t>Ellison v. Robertson</w:t>
      </w:r>
      <w:r w:rsidRPr="006A4CD7">
        <w:rPr>
          <w:rFonts w:cs="Times New Roman"/>
          <w:szCs w:val="24"/>
        </w:rPr>
        <w:t xml:space="preserve">, 357 F.3d 1072, 1076-77 (9th Cir. 2004) (footnotes omitted).  </w:t>
      </w:r>
    </w:p>
    <w:p w14:paraId="4A9EF81C" w14:textId="77777777" w:rsidR="006A4CD7" w:rsidRPr="006A4CD7" w:rsidRDefault="006A4CD7" w:rsidP="0060759C">
      <w:pPr>
        <w:numPr>
          <w:ilvl w:val="12"/>
          <w:numId w:val="0"/>
        </w:numPr>
        <w:autoSpaceDE w:val="0"/>
        <w:autoSpaceDN w:val="0"/>
        <w:adjustRightInd w:val="0"/>
        <w:rPr>
          <w:rFonts w:cs="Times New Roman"/>
          <w:szCs w:val="24"/>
        </w:rPr>
      </w:pPr>
    </w:p>
    <w:p w14:paraId="4AF6B63C" w14:textId="77777777" w:rsidR="00E85C22"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DMCA was “enacted to foster cooperation among copyright holders and service </w:t>
      </w:r>
    </w:p>
    <w:p w14:paraId="4FA12955" w14:textId="73EC4A99"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providers in dealing with infringement on the Internet.”  </w:t>
      </w:r>
      <w:r w:rsidRPr="006A4CD7">
        <w:rPr>
          <w:rFonts w:cs="Times New Roman"/>
          <w:i/>
          <w:iCs/>
          <w:szCs w:val="24"/>
        </w:rPr>
        <w:t>UMG Recordings, Inc. v. Shelter Capital Partners LLC</w:t>
      </w:r>
      <w:r w:rsidRPr="006A4CD7">
        <w:rPr>
          <w:rFonts w:cs="Times New Roman"/>
          <w:szCs w:val="24"/>
        </w:rPr>
        <w:t xml:space="preserve">, 718 F.3d 1006, 1021 (9th Cir. 2013).  It is intended to mediate “competing interests in protecting intellectual property interests and in encouraging creative development of devices for using the Internet to make information available.”  </w:t>
      </w:r>
      <w:r w:rsidRPr="006A4CD7">
        <w:rPr>
          <w:rFonts w:cs="Times New Roman"/>
          <w:i/>
          <w:iCs/>
          <w:szCs w:val="24"/>
        </w:rPr>
        <w:t>Columbia Pictures</w:t>
      </w:r>
      <w:r w:rsidRPr="006A4CD7">
        <w:rPr>
          <w:rFonts w:cs="Times New Roman"/>
          <w:szCs w:val="24"/>
        </w:rPr>
        <w:t xml:space="preserve">, 710 F.3d at 1024.  This particular defense can be used by a service provider of network communication services, which “merely acts as a conduit for infringing material.”  </w:t>
      </w:r>
      <w:r w:rsidRPr="006A4CD7">
        <w:rPr>
          <w:rFonts w:cs="Times New Roman"/>
          <w:i/>
          <w:iCs/>
          <w:szCs w:val="24"/>
        </w:rPr>
        <w:t>Id.</w:t>
      </w:r>
      <w:r w:rsidRPr="006A4CD7">
        <w:rPr>
          <w:rFonts w:cs="Times New Roman"/>
          <w:szCs w:val="24"/>
        </w:rPr>
        <w:t xml:space="preserve"> at 1041. </w:t>
      </w:r>
    </w:p>
    <w:p w14:paraId="74BB6F94" w14:textId="77777777" w:rsidR="006A4CD7" w:rsidRPr="006A4CD7" w:rsidRDefault="006A4CD7" w:rsidP="0060759C">
      <w:pPr>
        <w:numPr>
          <w:ilvl w:val="12"/>
          <w:numId w:val="0"/>
        </w:numPr>
        <w:autoSpaceDE w:val="0"/>
        <w:autoSpaceDN w:val="0"/>
        <w:adjustRightInd w:val="0"/>
        <w:rPr>
          <w:rFonts w:cs="Times New Roman"/>
          <w:szCs w:val="24"/>
        </w:rPr>
      </w:pPr>
    </w:p>
    <w:p w14:paraId="55B4687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w:t>
      </w:r>
    </w:p>
    <w:p w14:paraId="0518860F" w14:textId="77777777" w:rsidR="006A4CD7" w:rsidRPr="006A4CD7" w:rsidRDefault="006A4CD7" w:rsidP="0060759C">
      <w:pPr>
        <w:numPr>
          <w:ilvl w:val="12"/>
          <w:numId w:val="0"/>
        </w:numPr>
        <w:autoSpaceDE w:val="0"/>
        <w:autoSpaceDN w:val="0"/>
        <w:adjustRightInd w:val="0"/>
        <w:rPr>
          <w:rFonts w:cs="Times New Roman"/>
          <w:szCs w:val="24"/>
        </w:rPr>
      </w:pPr>
    </w:p>
    <w:p w14:paraId="18DBA55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Reasonably Implemented Policy for the Termination of Users Who Are Repeat Infringers:</w:t>
      </w:r>
      <w:r w:rsidRPr="006A4CD7">
        <w:rPr>
          <w:rFonts w:cs="Times New Roman"/>
          <w:szCs w:val="24"/>
        </w:rPr>
        <w:t xml:space="preserve"> 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6A4CD7">
        <w:rPr>
          <w:rFonts w:cs="Times New Roman"/>
          <w:i/>
          <w:iCs/>
          <w:szCs w:val="24"/>
        </w:rPr>
        <w:t xml:space="preserve"> 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xml:space="preserve">, 488 F.3d 1102, 1109 (9th Cir. 2007).  However, the notification system does not have to be perfect. </w:t>
      </w:r>
      <w:r w:rsidRPr="006A4CD7">
        <w:rPr>
          <w:rFonts w:cs="Times New Roman"/>
          <w:i/>
          <w:iCs/>
          <w:szCs w:val="24"/>
        </w:rPr>
        <w:t xml:space="preserve"> Id. </w:t>
      </w:r>
      <w:r w:rsidRPr="006A4CD7">
        <w:rPr>
          <w:rFonts w:cs="Times New Roman"/>
          <w:szCs w:val="24"/>
        </w:rPr>
        <w:t xml:space="preserve">at 1110 (finding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6A4CD7">
        <w:rPr>
          <w:rFonts w:cs="Times New Roman"/>
          <w:i/>
          <w:iCs/>
          <w:szCs w:val="24"/>
        </w:rPr>
        <w:t xml:space="preserve">Id. </w:t>
      </w:r>
      <w:r w:rsidRPr="006A4CD7">
        <w:rPr>
          <w:rFonts w:cs="Times New Roman"/>
          <w:szCs w:val="24"/>
        </w:rPr>
        <w:t xml:space="preserve">at 1112-13.  </w:t>
      </w:r>
      <w:r w:rsidRPr="006A4CD7">
        <w:rPr>
          <w:rFonts w:cs="Times New Roman"/>
          <w:i/>
          <w:iCs/>
          <w:szCs w:val="24"/>
        </w:rPr>
        <w:t>See also Ventura Content, Ltd. v. Motherless, Inc</w:t>
      </w:r>
      <w:r w:rsidRPr="006A4CD7">
        <w:rPr>
          <w:rFonts w:cs="Times New Roman"/>
          <w:szCs w:val="24"/>
        </w:rPr>
        <w:t xml:space="preserve">., 885 F.3d 597, 617-19 (9th Cir. 2018) (holding jury could not reasonably conclude website operator failed to reasonably implement repeat infringer policy, when operator terminated over 1,320 users for alleged infringement, and only nine alleged repeat infringers “slipped through”).  </w:t>
      </w:r>
    </w:p>
    <w:p w14:paraId="3D630E24" w14:textId="77777777" w:rsidR="006A4CD7" w:rsidRPr="006A4CD7" w:rsidRDefault="006A4CD7" w:rsidP="0060759C">
      <w:pPr>
        <w:numPr>
          <w:ilvl w:val="12"/>
          <w:numId w:val="0"/>
        </w:numPr>
        <w:autoSpaceDE w:val="0"/>
        <w:autoSpaceDN w:val="0"/>
        <w:adjustRightInd w:val="0"/>
        <w:rPr>
          <w:rFonts w:cs="Times New Roman"/>
          <w:szCs w:val="24"/>
        </w:rPr>
      </w:pPr>
    </w:p>
    <w:p w14:paraId="1C22478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Kept for No Longer Than Reasonably Necessary for Transmission:</w:t>
      </w:r>
      <w:r w:rsidRPr="006A4CD7">
        <w:rPr>
          <w:rFonts w:cs="Times New Roman"/>
          <w:szCs w:val="24"/>
        </w:rPr>
        <w:t xml:space="preserve">  A period of fourteen days of temporary storage can qualify as storage for no longer than reasonably necessary for transmission.  </w:t>
      </w:r>
      <w:r w:rsidRPr="006A4CD7">
        <w:rPr>
          <w:rFonts w:cs="Times New Roman"/>
          <w:i/>
          <w:iCs/>
          <w:szCs w:val="24"/>
        </w:rPr>
        <w:t>Ellison</w:t>
      </w:r>
      <w:r w:rsidRPr="006A4CD7">
        <w:rPr>
          <w:rFonts w:cs="Times New Roman"/>
          <w:szCs w:val="24"/>
        </w:rPr>
        <w:t>, 357 F.3d at 1081.</w:t>
      </w:r>
    </w:p>
    <w:p w14:paraId="6A1E0431" w14:textId="77777777" w:rsidR="006A4CD7" w:rsidRPr="006A4CD7" w:rsidRDefault="006A4CD7" w:rsidP="0060759C">
      <w:pPr>
        <w:numPr>
          <w:ilvl w:val="12"/>
          <w:numId w:val="0"/>
        </w:numPr>
        <w:autoSpaceDE w:val="0"/>
        <w:autoSpaceDN w:val="0"/>
        <w:adjustRightInd w:val="0"/>
        <w:rPr>
          <w:rFonts w:cs="Times New Roman"/>
          <w:szCs w:val="24"/>
        </w:rPr>
      </w:pPr>
    </w:p>
    <w:p w14:paraId="1C93ADF6" w14:textId="77777777" w:rsidR="006A4CD7" w:rsidRPr="006A4CD7" w:rsidRDefault="006A4CD7" w:rsidP="0060759C">
      <w:pPr>
        <w:numPr>
          <w:ilvl w:val="12"/>
          <w:numId w:val="0"/>
        </w:numPr>
        <w:autoSpaceDE w:val="0"/>
        <w:autoSpaceDN w:val="0"/>
        <w:adjustRightInd w:val="0"/>
        <w:rPr>
          <w:rFonts w:cs="Times New Roman"/>
          <w:szCs w:val="24"/>
        </w:rPr>
      </w:pPr>
    </w:p>
    <w:p w14:paraId="688567E5"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June 2018</w:t>
      </w:r>
    </w:p>
    <w:p w14:paraId="60EF9880" w14:textId="77777777" w:rsidR="00E90379" w:rsidRPr="006A4CD7" w:rsidRDefault="00E90379" w:rsidP="00E90379"/>
    <w:p w14:paraId="1528228D" w14:textId="188AB1C5" w:rsidR="00317DA8" w:rsidRDefault="006A4CD7" w:rsidP="00982B7E">
      <w:pPr>
        <w:pStyle w:val="Heading2"/>
      </w:pPr>
      <w:r w:rsidRPr="006A4CD7">
        <w:br w:type="page"/>
      </w:r>
      <w:bookmarkStart w:id="338" w:name="_Toc117512615"/>
      <w:r w:rsidRPr="006A4CD7">
        <w:t xml:space="preserve">17.29 </w:t>
      </w:r>
      <w:r w:rsidR="00646BCE" w:rsidRPr="00646BCE">
        <w:t>Copyright—Affirmative Defense—Limitation on Liability</w:t>
      </w:r>
      <w:bookmarkEnd w:id="338"/>
    </w:p>
    <w:p w14:paraId="62BA5E4F" w14:textId="046883C6" w:rsidR="00E90379" w:rsidRPr="006A4CD7" w:rsidRDefault="00646BCE" w:rsidP="00982B7E">
      <w:pPr>
        <w:pStyle w:val="Heading2"/>
      </w:pPr>
      <w:r w:rsidRPr="00646BCE">
        <w:t xml:space="preserve"> </w:t>
      </w:r>
      <w:bookmarkStart w:id="339" w:name="_Toc117512616"/>
      <w:r w:rsidRPr="00646BCE">
        <w:t xml:space="preserve">for System Caching </w:t>
      </w:r>
      <w:r w:rsidR="006A4CD7" w:rsidRPr="006A4CD7">
        <w:t>(17 U.S.C. § 512(b))</w:t>
      </w:r>
      <w:bookmarkEnd w:id="339"/>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5D7FC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defendant is a service provider and is facing liability for copyright infringement based on system caching of copyrighted material, the defendant is not liable for money damages.</w:t>
      </w:r>
    </w:p>
    <w:p w14:paraId="0906C669" w14:textId="77777777" w:rsidR="006A4CD7" w:rsidRPr="006A4CD7" w:rsidRDefault="006A4CD7" w:rsidP="0060759C">
      <w:pPr>
        <w:numPr>
          <w:ilvl w:val="12"/>
          <w:numId w:val="0"/>
        </w:numPr>
        <w:autoSpaceDE w:val="0"/>
        <w:autoSpaceDN w:val="0"/>
        <w:adjustRightInd w:val="0"/>
        <w:rPr>
          <w:rFonts w:cs="Times New Roman"/>
          <w:szCs w:val="24"/>
        </w:rPr>
      </w:pPr>
    </w:p>
    <w:p w14:paraId="63F65A5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   </w:t>
      </w:r>
    </w:p>
    <w:p w14:paraId="7CF3F41F" w14:textId="77777777" w:rsidR="006A4CD7" w:rsidRPr="006A4CD7" w:rsidRDefault="006A4CD7" w:rsidP="0060759C">
      <w:pPr>
        <w:numPr>
          <w:ilvl w:val="12"/>
          <w:numId w:val="0"/>
        </w:numPr>
        <w:autoSpaceDE w:val="0"/>
        <w:autoSpaceDN w:val="0"/>
        <w:adjustRightInd w:val="0"/>
        <w:rPr>
          <w:rFonts w:cs="Times New Roman"/>
          <w:szCs w:val="24"/>
        </w:rPr>
      </w:pPr>
    </w:p>
    <w:p w14:paraId="35E93E87"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is eligible to use the defense of system caching if the defendant:</w:t>
      </w:r>
    </w:p>
    <w:p w14:paraId="50107EDC" w14:textId="77777777" w:rsidR="006A4CD7" w:rsidRPr="006A4CD7" w:rsidRDefault="006A4CD7" w:rsidP="0060759C">
      <w:pPr>
        <w:numPr>
          <w:ilvl w:val="12"/>
          <w:numId w:val="0"/>
        </w:numPr>
        <w:autoSpaceDE w:val="0"/>
        <w:autoSpaceDN w:val="0"/>
        <w:adjustRightInd w:val="0"/>
        <w:rPr>
          <w:rFonts w:cs="Times New Roman"/>
          <w:szCs w:val="24"/>
        </w:rPr>
      </w:pPr>
    </w:p>
    <w:p w14:paraId="23DF922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52F64F3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E49A62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7A790B3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0AF913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 and</w:t>
      </w:r>
    </w:p>
    <w:p w14:paraId="3A630E8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FE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w:t>
      </w:r>
    </w:p>
    <w:p w14:paraId="6A05242B" w14:textId="77777777" w:rsidR="006A4CD7" w:rsidRPr="006A4CD7" w:rsidRDefault="006A4CD7" w:rsidP="0060759C">
      <w:pPr>
        <w:numPr>
          <w:ilvl w:val="12"/>
          <w:numId w:val="0"/>
        </w:numPr>
        <w:autoSpaceDE w:val="0"/>
        <w:autoSpaceDN w:val="0"/>
        <w:adjustRightInd w:val="0"/>
        <w:rPr>
          <w:rFonts w:cs="Times New Roman"/>
          <w:szCs w:val="24"/>
        </w:rPr>
      </w:pPr>
    </w:p>
    <w:p w14:paraId="62496B3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of system caching applies if:</w:t>
      </w:r>
    </w:p>
    <w:p w14:paraId="35A34F3C" w14:textId="77777777" w:rsidR="006A4CD7" w:rsidRPr="006A4CD7" w:rsidRDefault="006A4CD7" w:rsidP="0060759C">
      <w:pPr>
        <w:numPr>
          <w:ilvl w:val="12"/>
          <w:numId w:val="0"/>
        </w:numPr>
        <w:autoSpaceDE w:val="0"/>
        <w:autoSpaceDN w:val="0"/>
        <w:adjustRightInd w:val="0"/>
        <w:rPr>
          <w:rFonts w:cs="Times New Roman"/>
          <w:szCs w:val="24"/>
        </w:rPr>
      </w:pPr>
    </w:p>
    <w:p w14:paraId="55238F5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material was made available online by a person other than the defendant;</w:t>
      </w:r>
    </w:p>
    <w:p w14:paraId="503F78B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E07CCF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material was not transmitted to, from, or at the request of the defendant;</w:t>
      </w:r>
    </w:p>
    <w:p w14:paraId="7C4F05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95130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storage of the copyrighted material occurred through an automatic technical process;</w:t>
      </w:r>
    </w:p>
    <w:p w14:paraId="3807792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1C00BB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system caching did not modify the content of the material;</w:t>
      </w:r>
    </w:p>
    <w:p w14:paraId="0F8E1B9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9C514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defendant complied with the generally accepted rules concerning refreshing, reloading, or other updating of the material if specified by the person making material available online, unless the rules were meant to prevent or unreasonably impair system caching;</w:t>
      </w:r>
    </w:p>
    <w:p w14:paraId="78B01F2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2ECB56D" w14:textId="77777777" w:rsidR="0092739B" w:rsidRDefault="006A4CD7" w:rsidP="009262BE">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 xml:space="preserve">the defendant did not interfere with the ability for the material to return to </w:t>
      </w:r>
    </w:p>
    <w:p w14:paraId="6D86BFE6" w14:textId="77777777" w:rsidR="0092739B" w:rsidRDefault="0092739B" w:rsidP="009262BE">
      <w:pPr>
        <w:numPr>
          <w:ilvl w:val="12"/>
          <w:numId w:val="0"/>
        </w:numPr>
        <w:autoSpaceDE w:val="0"/>
        <w:autoSpaceDN w:val="0"/>
        <w:adjustRightInd w:val="0"/>
        <w:ind w:left="1440" w:right="720" w:hanging="720"/>
        <w:rPr>
          <w:rFonts w:cs="Times New Roman"/>
          <w:szCs w:val="24"/>
        </w:rPr>
      </w:pPr>
    </w:p>
    <w:p w14:paraId="28AA4C30" w14:textId="657CC613" w:rsidR="006A4CD7" w:rsidRDefault="006A4CD7" w:rsidP="0092739B">
      <w:pPr>
        <w:numPr>
          <w:ilvl w:val="12"/>
          <w:numId w:val="0"/>
        </w:numPr>
        <w:autoSpaceDE w:val="0"/>
        <w:autoSpaceDN w:val="0"/>
        <w:adjustRightInd w:val="0"/>
        <w:ind w:left="1440" w:right="720"/>
        <w:rPr>
          <w:rFonts w:cs="Times New Roman"/>
          <w:szCs w:val="24"/>
        </w:rPr>
      </w:pPr>
      <w:r w:rsidRPr="006A4CD7">
        <w:rPr>
          <w:rFonts w:cs="Times New Roman"/>
          <w:szCs w:val="24"/>
        </w:rPr>
        <w:t>the original provider of the information;</w:t>
      </w:r>
    </w:p>
    <w:p w14:paraId="2839A6E7" w14:textId="45E55150"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 xml:space="preserve">if access to the material was limited by a condition, the defendant did not allow access to the material unless the requester satisfied that </w:t>
      </w:r>
      <w:r w:rsidR="00E85C22" w:rsidRPr="006A4CD7">
        <w:rPr>
          <w:rFonts w:cs="Times New Roman"/>
          <w:szCs w:val="24"/>
        </w:rPr>
        <w:t>condition [</w:t>
      </w:r>
      <w:r w:rsidRPr="006A4CD7">
        <w:rPr>
          <w:rFonts w:cs="Times New Roman"/>
          <w:szCs w:val="24"/>
        </w:rPr>
        <w:t>; and]</w:t>
      </w:r>
    </w:p>
    <w:p w14:paraId="46C4C1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3D2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Pr="006A4CD7">
        <w:rPr>
          <w:rFonts w:cs="Times New Roman"/>
          <w:szCs w:val="24"/>
        </w:rPr>
        <w:tab/>
        <w:t>[the defendant expeditiously removed or disabled access to the infringing material or activity upon receipt of a valid notification of claimed infringement].</w:t>
      </w:r>
    </w:p>
    <w:p w14:paraId="4D0466F9" w14:textId="77777777" w:rsidR="006A4CD7" w:rsidRPr="006A4CD7" w:rsidRDefault="006A4CD7" w:rsidP="0060759C">
      <w:pPr>
        <w:numPr>
          <w:ilvl w:val="12"/>
          <w:numId w:val="0"/>
        </w:numPr>
        <w:autoSpaceDE w:val="0"/>
        <w:autoSpaceDN w:val="0"/>
        <w:adjustRightInd w:val="0"/>
        <w:rPr>
          <w:rFonts w:cs="Times New Roman"/>
          <w:szCs w:val="24"/>
        </w:rPr>
      </w:pPr>
    </w:p>
    <w:p w14:paraId="3CEF3BD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0D6A734" w14:textId="77777777" w:rsidR="006A4CD7" w:rsidRPr="006A4CD7" w:rsidRDefault="006A4CD7" w:rsidP="0060759C">
      <w:pPr>
        <w:numPr>
          <w:ilvl w:val="12"/>
          <w:numId w:val="0"/>
        </w:numPr>
        <w:autoSpaceDE w:val="0"/>
        <w:autoSpaceDN w:val="0"/>
        <w:adjustRightInd w:val="0"/>
        <w:rPr>
          <w:rFonts w:cs="Times New Roman"/>
          <w:szCs w:val="24"/>
        </w:rPr>
      </w:pPr>
    </w:p>
    <w:p w14:paraId="05D94D6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w:t>
      </w:r>
      <w:r w:rsidRPr="006A4CD7">
        <w:rPr>
          <w:rFonts w:cs="Times New Roman"/>
          <w:i/>
          <w:iCs/>
          <w:szCs w:val="24"/>
          <w:u w:val="single"/>
        </w:rPr>
        <w:t>Additional instruction to be given if the defendant received notice of claimed infringement</w:t>
      </w:r>
      <w:r w:rsidRPr="006A4CD7">
        <w:rPr>
          <w:rFonts w:cs="Times New Roman"/>
          <w:szCs w:val="24"/>
          <w:u w:val="single"/>
        </w:rPr>
        <w:t>]</w:t>
      </w:r>
    </w:p>
    <w:p w14:paraId="7C7B6E9C" w14:textId="77777777" w:rsidR="006A4CD7" w:rsidRPr="006A4CD7" w:rsidRDefault="006A4CD7" w:rsidP="0060759C">
      <w:pPr>
        <w:numPr>
          <w:ilvl w:val="12"/>
          <w:numId w:val="0"/>
        </w:numPr>
        <w:autoSpaceDE w:val="0"/>
        <w:autoSpaceDN w:val="0"/>
        <w:adjustRightInd w:val="0"/>
        <w:rPr>
          <w:rFonts w:cs="Times New Roman"/>
          <w:i/>
          <w:iCs/>
          <w:szCs w:val="24"/>
        </w:rPr>
      </w:pPr>
    </w:p>
    <w:p w14:paraId="264F6317" w14:textId="77777777" w:rsidR="006A4CD7" w:rsidRPr="006A4CD7" w:rsidRDefault="006A4CD7" w:rsidP="0060759C">
      <w:pPr>
        <w:numPr>
          <w:ilvl w:val="12"/>
          <w:numId w:val="0"/>
        </w:numPr>
        <w:autoSpaceDE w:val="0"/>
        <w:autoSpaceDN w:val="0"/>
        <w:adjustRightInd w:val="0"/>
        <w:ind w:left="720"/>
        <w:rPr>
          <w:rFonts w:cs="Times New Roman"/>
          <w:szCs w:val="24"/>
        </w:rPr>
      </w:pPr>
      <w:r w:rsidRPr="006A4CD7">
        <w:rPr>
          <w:rFonts w:cs="Times New Roman"/>
          <w:szCs w:val="24"/>
        </w:rPr>
        <w:t>A valid notification of claimed infringement must include:</w:t>
      </w:r>
    </w:p>
    <w:p w14:paraId="4E992C1E" w14:textId="77777777" w:rsidR="006A4CD7" w:rsidRPr="006A4CD7" w:rsidRDefault="006A4CD7" w:rsidP="0060759C">
      <w:pPr>
        <w:numPr>
          <w:ilvl w:val="12"/>
          <w:numId w:val="0"/>
        </w:numPr>
        <w:autoSpaceDE w:val="0"/>
        <w:autoSpaceDN w:val="0"/>
        <w:adjustRightInd w:val="0"/>
        <w:rPr>
          <w:rFonts w:cs="Times New Roman"/>
          <w:szCs w:val="24"/>
        </w:rPr>
      </w:pPr>
    </w:p>
    <w:p w14:paraId="653E4EA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a physical or electronic signature of a person authorized to act on behalf of the copyright owner;</w:t>
      </w:r>
    </w:p>
    <w:p w14:paraId="225CD2C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101D2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identification of the infringed copyrighted work or a representative list of infringed copyrighted works if there are multiple infringed works at a single online site;</w:t>
      </w:r>
    </w:p>
    <w:p w14:paraId="2B3A2AD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8B631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identification of the infringing material or activity, and reasonably sufficient information to permit the defendant to locate the material;</w:t>
      </w:r>
    </w:p>
    <w:p w14:paraId="0B66088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463124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information reasonably sufficient to permit the defendant to contact the complaining party;</w:t>
      </w:r>
    </w:p>
    <w:p w14:paraId="47C09D0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543B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a statement that the complaining party has a good faith belief that the material infringed a copyright;</w:t>
      </w:r>
    </w:p>
    <w:p w14:paraId="117D8AA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83D213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a statement that the information in the notification is accurate and, under penalty of perjury, that the complaining party is authorized to act on behalf of the copyright owner; and</w:t>
      </w:r>
    </w:p>
    <w:p w14:paraId="7C3091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916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Pr="006A4CD7">
        <w:rPr>
          <w:rFonts w:cs="Times New Roman"/>
          <w:szCs w:val="24"/>
        </w:rPr>
        <w:tab/>
        <w:t>a statement confirming that the infringing material has previously been removed from the originating site, or access to it has been disabled, or a court has ordered removal or disabling of access.</w:t>
      </w:r>
    </w:p>
    <w:p w14:paraId="6AB24B59" w14:textId="77777777" w:rsidR="006A4CD7" w:rsidRPr="006A4CD7" w:rsidRDefault="006A4CD7" w:rsidP="0060759C">
      <w:pPr>
        <w:numPr>
          <w:ilvl w:val="12"/>
          <w:numId w:val="0"/>
        </w:numPr>
        <w:autoSpaceDE w:val="0"/>
        <w:autoSpaceDN w:val="0"/>
        <w:adjustRightInd w:val="0"/>
        <w:rPr>
          <w:rFonts w:cs="Times New Roman"/>
          <w:szCs w:val="24"/>
        </w:rPr>
      </w:pPr>
    </w:p>
    <w:p w14:paraId="55017610" w14:textId="4F343F3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notification does not meet all the above requirements, then it is invalid and cannot be used as evidence of the defendant’s knowledge of specific infringing activity.  The defendant does not have a duty expeditiously to remove or disable access to infringing material or activity if the notice of claimed infringement is invalid. </w:t>
      </w:r>
    </w:p>
    <w:p w14:paraId="226B0378" w14:textId="77777777" w:rsidR="0092739B" w:rsidRPr="006A4CD7" w:rsidRDefault="0092739B" w:rsidP="0060759C">
      <w:pPr>
        <w:numPr>
          <w:ilvl w:val="12"/>
          <w:numId w:val="0"/>
        </w:numPr>
        <w:autoSpaceDE w:val="0"/>
        <w:autoSpaceDN w:val="0"/>
        <w:adjustRightInd w:val="0"/>
        <w:rPr>
          <w:rFonts w:cs="Times New Roman"/>
          <w:szCs w:val="24"/>
        </w:rPr>
      </w:pPr>
    </w:p>
    <w:p w14:paraId="341B30C2" w14:textId="77777777" w:rsidR="006A4CD7" w:rsidRPr="006A4CD7" w:rsidRDefault="006A4CD7" w:rsidP="0060759C">
      <w:pPr>
        <w:numPr>
          <w:ilvl w:val="12"/>
          <w:numId w:val="0"/>
        </w:numPr>
        <w:autoSpaceDE w:val="0"/>
        <w:autoSpaceDN w:val="0"/>
        <w:adjustRightInd w:val="0"/>
        <w:rPr>
          <w:rFonts w:cs="Times New Roman"/>
          <w:szCs w:val="24"/>
        </w:rPr>
      </w:pPr>
    </w:p>
    <w:p w14:paraId="122A605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7EBF9A1C" w14:textId="77777777" w:rsidR="006A4CD7" w:rsidRPr="006A4CD7" w:rsidRDefault="006A4CD7" w:rsidP="0060759C">
      <w:pPr>
        <w:numPr>
          <w:ilvl w:val="12"/>
          <w:numId w:val="0"/>
        </w:numPr>
        <w:autoSpaceDE w:val="0"/>
        <w:autoSpaceDN w:val="0"/>
        <w:adjustRightInd w:val="0"/>
        <w:rPr>
          <w:rFonts w:cs="Times New Roman"/>
          <w:szCs w:val="24"/>
        </w:rPr>
      </w:pPr>
    </w:p>
    <w:p w14:paraId="5DFC3C34" w14:textId="3FC23B1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(b), (c)(3), (</w:t>
      </w:r>
      <w:proofErr w:type="spellStart"/>
      <w:r w:rsidRPr="006A4CD7">
        <w:rPr>
          <w:rFonts w:cs="Times New Roman"/>
          <w:szCs w:val="24"/>
        </w:rPr>
        <w:t>i</w:t>
      </w:r>
      <w:proofErr w:type="spellEnd"/>
      <w:r w:rsidRPr="006A4CD7">
        <w:rPr>
          <w:rFonts w:cs="Times New Roman"/>
          <w:szCs w:val="24"/>
        </w:rPr>
        <w:t xml:space="preserve">) and (k).  </w:t>
      </w:r>
    </w:p>
    <w:p w14:paraId="1960A55D" w14:textId="77777777" w:rsidR="00317DA8" w:rsidRPr="006A4CD7" w:rsidRDefault="00317DA8" w:rsidP="0060759C">
      <w:pPr>
        <w:numPr>
          <w:ilvl w:val="12"/>
          <w:numId w:val="0"/>
        </w:numPr>
        <w:autoSpaceDE w:val="0"/>
        <w:autoSpaceDN w:val="0"/>
        <w:adjustRightInd w:val="0"/>
        <w:rPr>
          <w:rFonts w:cs="Times New Roman"/>
          <w:szCs w:val="24"/>
        </w:rPr>
      </w:pPr>
    </w:p>
    <w:p w14:paraId="309E91A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requirement that the defendant expeditiously remove or disable access to the infringing material upon valid notification applies only if “the material has previously been removed from the originating site or access to it has been disabled, or a court has ordered that the material be removed from the originating site or that access to the material on the originating site be disabled; and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17 U.S.C.A. § 512.  </w:t>
      </w:r>
    </w:p>
    <w:p w14:paraId="4E456ED5" w14:textId="77777777" w:rsidR="006A4CD7" w:rsidRPr="006A4CD7" w:rsidRDefault="006A4CD7" w:rsidP="0060759C">
      <w:pPr>
        <w:numPr>
          <w:ilvl w:val="12"/>
          <w:numId w:val="0"/>
        </w:numPr>
        <w:autoSpaceDE w:val="0"/>
        <w:autoSpaceDN w:val="0"/>
        <w:adjustRightInd w:val="0"/>
        <w:rPr>
          <w:rFonts w:cs="Times New Roman"/>
          <w:szCs w:val="24"/>
        </w:rPr>
      </w:pPr>
    </w:p>
    <w:p w14:paraId="58B9B4B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w:t>
      </w:r>
    </w:p>
    <w:p w14:paraId="67561044" w14:textId="77777777" w:rsidR="006A4CD7" w:rsidRPr="006A4CD7" w:rsidRDefault="006A4CD7" w:rsidP="0060759C">
      <w:pPr>
        <w:numPr>
          <w:ilvl w:val="12"/>
          <w:numId w:val="0"/>
        </w:numPr>
        <w:autoSpaceDE w:val="0"/>
        <w:autoSpaceDN w:val="0"/>
        <w:adjustRightInd w:val="0"/>
        <w:rPr>
          <w:rFonts w:cs="Times New Roman"/>
          <w:szCs w:val="24"/>
        </w:rPr>
      </w:pPr>
    </w:p>
    <w:p w14:paraId="6BBAE75A" w14:textId="41AA3161"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 xml:space="preserve">Valid Notification of Claimed Infringement: </w:t>
      </w:r>
      <w:r w:rsidRPr="006A4CD7">
        <w:rPr>
          <w:rFonts w:cs="Times New Roman"/>
          <w:szCs w:val="24"/>
        </w:rPr>
        <w:t xml:space="preserve"> A copyright holder must meet these formal notification requirements for the notice of infringement to constitute evidence of either subjective or objective knowledge.  </w:t>
      </w:r>
      <w:r w:rsidRPr="006A4CD7">
        <w:rPr>
          <w:rFonts w:cs="Times New Roman"/>
          <w:i/>
          <w:iCs/>
          <w:szCs w:val="24"/>
        </w:rPr>
        <w:t>UMG Recordings, Inc. v. Shelter Capital Partners LLC</w:t>
      </w:r>
      <w:r w:rsidRPr="006A4CD7">
        <w:rPr>
          <w:rFonts w:cs="Times New Roman"/>
          <w:szCs w:val="24"/>
        </w:rPr>
        <w:t>,</w:t>
      </w:r>
      <w:r w:rsidRPr="006A4CD7">
        <w:rPr>
          <w:rFonts w:cs="Times New Roman"/>
          <w:i/>
          <w:iCs/>
          <w:szCs w:val="24"/>
        </w:rPr>
        <w:t xml:space="preserve"> </w:t>
      </w:r>
      <w:r w:rsidRPr="006A4CD7">
        <w:rPr>
          <w:rFonts w:cs="Times New Roman"/>
          <w:szCs w:val="24"/>
        </w:rPr>
        <w:t xml:space="preserve">718 F.3d 1006, 1025 (9th Cir. 2013).  A valid notification is a single written communication that substantially meets all of these requirements, not just some of them. </w:t>
      </w:r>
      <w:r w:rsidRPr="006A4CD7">
        <w:rPr>
          <w:rFonts w:cs="Times New Roman"/>
          <w:i/>
          <w:iCs/>
          <w:szCs w:val="24"/>
        </w:rPr>
        <w:t xml:space="preserve"> 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488 F.3d 1102, 1113 (9th Cir. 2007)</w:t>
      </w:r>
      <w:r w:rsidRPr="006A4CD7">
        <w:rPr>
          <w:rFonts w:cs="Times New Roman"/>
          <w:i/>
          <w:iCs/>
          <w:szCs w:val="24"/>
        </w:rPr>
        <w:t xml:space="preserve"> </w:t>
      </w:r>
      <w:r w:rsidRPr="006A4CD7">
        <w:rPr>
          <w:rFonts w:cs="Times New Roman"/>
          <w:szCs w:val="24"/>
        </w:rPr>
        <w:t xml:space="preserve">(finding that three separate notices, each of which </w:t>
      </w:r>
      <w:r w:rsidR="00E85C22" w:rsidRPr="006A4CD7">
        <w:rPr>
          <w:rFonts w:cs="Times New Roman"/>
          <w:szCs w:val="24"/>
        </w:rPr>
        <w:t>was deficient</w:t>
      </w:r>
      <w:r w:rsidRPr="006A4CD7">
        <w:rPr>
          <w:rFonts w:cs="Times New Roman"/>
          <w:szCs w:val="24"/>
        </w:rPr>
        <w:t xml:space="preserve"> in some way, cannot be combined to form one valid notice); </w:t>
      </w:r>
      <w:proofErr w:type="spellStart"/>
      <w:r w:rsidRPr="006A4CD7">
        <w:rPr>
          <w:rFonts w:cs="Times New Roman"/>
          <w:i/>
          <w:iCs/>
          <w:szCs w:val="24"/>
        </w:rPr>
        <w:t>Luvdarts</w:t>
      </w:r>
      <w:proofErr w:type="spellEnd"/>
      <w:r w:rsidRPr="006A4CD7">
        <w:rPr>
          <w:rFonts w:cs="Times New Roman"/>
          <w:i/>
          <w:iCs/>
          <w:szCs w:val="24"/>
        </w:rPr>
        <w:t>, LLC v. AT&amp;T Mobility</w:t>
      </w:r>
      <w:r w:rsidRPr="006A4CD7">
        <w:rPr>
          <w:rFonts w:cs="Times New Roman"/>
          <w:szCs w:val="24"/>
        </w:rPr>
        <w:t xml:space="preserve">, 710 F.3d 1068, 1073 (9th Cir. 2013) (holding that simple list of plaintiff’s copyrighted works without any further information is not valid notification).  The burden of identifying and documenting infringing material rests with the copyright holder, not the defendant. </w:t>
      </w:r>
      <w:r w:rsidRPr="006A4CD7">
        <w:rPr>
          <w:rFonts w:cs="Times New Roman"/>
          <w:i/>
          <w:iCs/>
          <w:szCs w:val="24"/>
        </w:rPr>
        <w:t xml:space="preserve"> Perfect 10, </w:t>
      </w:r>
      <w:r w:rsidRPr="006A4CD7">
        <w:rPr>
          <w:rFonts w:cs="Times New Roman"/>
          <w:szCs w:val="24"/>
        </w:rPr>
        <w:t xml:space="preserve">488 F.3d at 1113.  The requirement that the complaining party have a good faith belief that the material infringed a copyright only requires “subjective good faith.”  </w:t>
      </w:r>
      <w:r w:rsidRPr="006A4CD7">
        <w:rPr>
          <w:rFonts w:cs="Times New Roman"/>
          <w:i/>
          <w:iCs/>
          <w:szCs w:val="24"/>
        </w:rPr>
        <w:t xml:space="preserve">Rossi v. Motion Picture </w:t>
      </w:r>
      <w:proofErr w:type="spellStart"/>
      <w:r w:rsidRPr="006A4CD7">
        <w:rPr>
          <w:rFonts w:cs="Times New Roman"/>
          <w:i/>
          <w:iCs/>
          <w:szCs w:val="24"/>
        </w:rPr>
        <w:t>Ass’n</w:t>
      </w:r>
      <w:proofErr w:type="spellEnd"/>
      <w:r w:rsidRPr="006A4CD7">
        <w:rPr>
          <w:rFonts w:cs="Times New Roman"/>
          <w:i/>
          <w:iCs/>
          <w:szCs w:val="24"/>
        </w:rPr>
        <w:t xml:space="preserve"> of Am. Inc.</w:t>
      </w:r>
      <w:r w:rsidRPr="006A4CD7">
        <w:rPr>
          <w:rFonts w:cs="Times New Roman"/>
          <w:szCs w:val="24"/>
        </w:rPr>
        <w:t xml:space="preserve">, 391 F.3d 1000, 1005 (9th Cir. 2004).  It does not require a copyright owner to “conduct a reasonable investigation into the allegedly offending website.” </w:t>
      </w:r>
      <w:r w:rsidRPr="006A4CD7">
        <w:rPr>
          <w:rFonts w:cs="Times New Roman"/>
          <w:i/>
          <w:iCs/>
          <w:szCs w:val="24"/>
        </w:rPr>
        <w:t>Id</w:t>
      </w:r>
      <w:r w:rsidRPr="006A4CD7">
        <w:rPr>
          <w:rFonts w:cs="Times New Roman"/>
          <w:szCs w:val="24"/>
        </w:rPr>
        <w:t>. at 1003.</w:t>
      </w:r>
    </w:p>
    <w:p w14:paraId="7C4A620D" w14:textId="77777777" w:rsidR="006A4CD7" w:rsidRPr="006A4CD7" w:rsidRDefault="006A4CD7" w:rsidP="0060759C">
      <w:pPr>
        <w:numPr>
          <w:ilvl w:val="12"/>
          <w:numId w:val="0"/>
        </w:numPr>
        <w:autoSpaceDE w:val="0"/>
        <w:autoSpaceDN w:val="0"/>
        <w:adjustRightInd w:val="0"/>
        <w:rPr>
          <w:rFonts w:cs="Times New Roman"/>
          <w:szCs w:val="24"/>
        </w:rPr>
      </w:pPr>
    </w:p>
    <w:p w14:paraId="4CA07E63" w14:textId="2044A7C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copyright holder </w:t>
      </w:r>
      <w:r w:rsidR="00E85C22" w:rsidRPr="006A4CD7">
        <w:rPr>
          <w:rFonts w:cs="Times New Roman"/>
          <w:szCs w:val="24"/>
        </w:rPr>
        <w:t>must [</w:t>
      </w:r>
      <w:r w:rsidRPr="006A4CD7">
        <w:rPr>
          <w:rFonts w:cs="Times New Roman"/>
          <w:szCs w:val="24"/>
        </w:rPr>
        <w:t xml:space="preserve">, however,] consider the existence of fair use before sending a takedown notification.”  </w:t>
      </w:r>
      <w:r w:rsidRPr="006A4CD7">
        <w:rPr>
          <w:rFonts w:cs="Times New Roman"/>
          <w:i/>
          <w:iCs/>
          <w:szCs w:val="24"/>
        </w:rPr>
        <w:t>Lenz v. Universal Music Corp</w:t>
      </w:r>
      <w:r w:rsidRPr="006A4CD7">
        <w:rPr>
          <w:rFonts w:cs="Times New Roman"/>
          <w:szCs w:val="24"/>
        </w:rPr>
        <w:t>., 815 F.3d 1145, 1153 (9th Cir. 2016).</w:t>
      </w:r>
    </w:p>
    <w:p w14:paraId="441D8AEF" w14:textId="77777777" w:rsidR="00E90379" w:rsidRPr="006A4CD7" w:rsidRDefault="00E90379" w:rsidP="0060759C">
      <w:pPr>
        <w:numPr>
          <w:ilvl w:val="12"/>
          <w:numId w:val="0"/>
        </w:numPr>
        <w:autoSpaceDE w:val="0"/>
        <w:autoSpaceDN w:val="0"/>
        <w:adjustRightInd w:val="0"/>
        <w:rPr>
          <w:rFonts w:cs="Times New Roman"/>
          <w:szCs w:val="24"/>
        </w:rPr>
      </w:pPr>
    </w:p>
    <w:p w14:paraId="3C67CD0A" w14:textId="09C393C4" w:rsidR="00E90379" w:rsidRPr="006A4CD7" w:rsidRDefault="006A4CD7" w:rsidP="00982B7E">
      <w:pPr>
        <w:pStyle w:val="Heading2"/>
      </w:pPr>
      <w:r w:rsidRPr="006A4CD7">
        <w:br w:type="page"/>
      </w:r>
      <w:bookmarkStart w:id="340" w:name="_Toc117512617"/>
      <w:r w:rsidRPr="006A4CD7">
        <w:t xml:space="preserve">17.30 </w:t>
      </w:r>
      <w:r w:rsidR="00646BCE" w:rsidRPr="00646BCE">
        <w:t xml:space="preserve">Copyright—Affirmative Defense—Limitation on Liability for Information Residing on Systems or Networks at Direction of Users </w:t>
      </w:r>
      <w:r w:rsidRPr="006A4CD7">
        <w:t>(17 U.S.C. § 512(c))</w:t>
      </w:r>
      <w:bookmarkEnd w:id="340"/>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11A3D1C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54B49C15" w14:textId="77777777" w:rsidR="006A4CD7" w:rsidRPr="006A4CD7" w:rsidRDefault="006A4CD7" w:rsidP="0060759C">
      <w:pPr>
        <w:numPr>
          <w:ilvl w:val="12"/>
          <w:numId w:val="0"/>
        </w:numPr>
        <w:autoSpaceDE w:val="0"/>
        <w:autoSpaceDN w:val="0"/>
        <w:adjustRightInd w:val="0"/>
        <w:rPr>
          <w:rFonts w:cs="Times New Roman"/>
          <w:szCs w:val="24"/>
        </w:rPr>
      </w:pPr>
    </w:p>
    <w:p w14:paraId="2FD4C01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0FD968B4" w14:textId="77777777" w:rsidR="006A4CD7" w:rsidRPr="006A4CD7" w:rsidRDefault="006A4CD7" w:rsidP="0060759C">
      <w:pPr>
        <w:numPr>
          <w:ilvl w:val="12"/>
          <w:numId w:val="0"/>
        </w:numPr>
        <w:autoSpaceDE w:val="0"/>
        <w:autoSpaceDN w:val="0"/>
        <w:adjustRightInd w:val="0"/>
        <w:rPr>
          <w:rFonts w:cs="Times New Roman"/>
          <w:szCs w:val="24"/>
        </w:rPr>
      </w:pPr>
    </w:p>
    <w:p w14:paraId="2292860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6A2C7CB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7B8EE2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1C94B25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F8BB17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7D23081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FAB54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0409F52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0EE37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based on information residing on the defendant’s systems or networks at the direction of users.</w:t>
      </w:r>
    </w:p>
    <w:p w14:paraId="0F39F1BA" w14:textId="77777777" w:rsidR="006A4CD7" w:rsidRPr="006A4CD7" w:rsidRDefault="006A4CD7" w:rsidP="0060759C">
      <w:pPr>
        <w:numPr>
          <w:ilvl w:val="12"/>
          <w:numId w:val="0"/>
        </w:numPr>
        <w:autoSpaceDE w:val="0"/>
        <w:autoSpaceDN w:val="0"/>
        <w:adjustRightInd w:val="0"/>
        <w:rPr>
          <w:rFonts w:cs="Times New Roman"/>
          <w:szCs w:val="24"/>
        </w:rPr>
      </w:pPr>
    </w:p>
    <w:p w14:paraId="3CFB32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defense applies if the defendant:</w:t>
      </w:r>
    </w:p>
    <w:p w14:paraId="0BD4FDD5" w14:textId="77777777" w:rsidR="006A4CD7" w:rsidRPr="006A4CD7" w:rsidRDefault="006A4CD7" w:rsidP="0060759C">
      <w:pPr>
        <w:numPr>
          <w:ilvl w:val="12"/>
          <w:numId w:val="0"/>
        </w:numPr>
        <w:autoSpaceDE w:val="0"/>
        <w:autoSpaceDN w:val="0"/>
        <w:adjustRightInd w:val="0"/>
        <w:rPr>
          <w:rFonts w:cs="Times New Roman"/>
          <w:szCs w:val="24"/>
        </w:rPr>
      </w:pPr>
    </w:p>
    <w:p w14:paraId="051A91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on the system or network was infringing;</w:t>
      </w:r>
    </w:p>
    <w:p w14:paraId="673C3E5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2FC76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7D0083D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CDCFE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while having the right and ability to control the infringing activity, did not receive a financial benefit directly attributable to the infringing activity.</w:t>
      </w:r>
    </w:p>
    <w:p w14:paraId="4DACB464" w14:textId="77777777" w:rsidR="006A4CD7" w:rsidRPr="006A4CD7" w:rsidRDefault="006A4CD7" w:rsidP="0060759C">
      <w:pPr>
        <w:numPr>
          <w:ilvl w:val="12"/>
          <w:numId w:val="0"/>
        </w:numPr>
        <w:autoSpaceDE w:val="0"/>
        <w:autoSpaceDN w:val="0"/>
        <w:adjustRightInd w:val="0"/>
        <w:rPr>
          <w:rFonts w:cs="Times New Roman"/>
          <w:szCs w:val="24"/>
        </w:rPr>
      </w:pPr>
    </w:p>
    <w:p w14:paraId="75914F5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629ED0B1" w14:textId="77777777" w:rsidR="006A4CD7" w:rsidRPr="006A4CD7" w:rsidRDefault="006A4CD7" w:rsidP="0060759C">
      <w:pPr>
        <w:numPr>
          <w:ilvl w:val="12"/>
          <w:numId w:val="0"/>
        </w:numPr>
        <w:autoSpaceDE w:val="0"/>
        <w:autoSpaceDN w:val="0"/>
        <w:adjustRightInd w:val="0"/>
        <w:rPr>
          <w:rFonts w:cs="Times New Roman"/>
          <w:szCs w:val="24"/>
        </w:rPr>
      </w:pPr>
    </w:p>
    <w:p w14:paraId="01B906C6"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2457FB2" w14:textId="77777777" w:rsidR="006A4CD7" w:rsidRPr="006A4CD7" w:rsidRDefault="006A4CD7" w:rsidP="0060759C">
      <w:pPr>
        <w:numPr>
          <w:ilvl w:val="12"/>
          <w:numId w:val="0"/>
        </w:numPr>
        <w:autoSpaceDE w:val="0"/>
        <w:autoSpaceDN w:val="0"/>
        <w:adjustRightInd w:val="0"/>
        <w:rPr>
          <w:rFonts w:cs="Times New Roman"/>
          <w:szCs w:val="24"/>
        </w:rPr>
      </w:pPr>
    </w:p>
    <w:p w14:paraId="5C18C08A" w14:textId="172DB8E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(c), (</w:t>
      </w:r>
      <w:proofErr w:type="spellStart"/>
      <w:r w:rsidRPr="006A4CD7">
        <w:rPr>
          <w:rFonts w:cs="Times New Roman"/>
          <w:szCs w:val="24"/>
        </w:rPr>
        <w:t>i</w:t>
      </w:r>
      <w:proofErr w:type="spellEnd"/>
      <w:r w:rsidRPr="006A4CD7">
        <w:rPr>
          <w:rFonts w:cs="Times New Roman"/>
          <w:szCs w:val="24"/>
        </w:rPr>
        <w:t>) and (k).</w:t>
      </w:r>
    </w:p>
    <w:p w14:paraId="3C9F61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w:t>
      </w:r>
    </w:p>
    <w:p w14:paraId="4978A083" w14:textId="77777777" w:rsidR="006A4CD7" w:rsidRPr="006A4CD7" w:rsidRDefault="006A4CD7" w:rsidP="0060759C">
      <w:pPr>
        <w:numPr>
          <w:ilvl w:val="12"/>
          <w:numId w:val="0"/>
        </w:numPr>
        <w:autoSpaceDE w:val="0"/>
        <w:autoSpaceDN w:val="0"/>
        <w:adjustRightInd w:val="0"/>
        <w:rPr>
          <w:rFonts w:cs="Times New Roman"/>
          <w:szCs w:val="24"/>
        </w:rPr>
      </w:pPr>
    </w:p>
    <w:p w14:paraId="33B298A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Liability for Acts of Moderators or Similar Persons: </w:t>
      </w:r>
      <w:r w:rsidRPr="006A4CD7">
        <w:rPr>
          <w:rFonts w:cs="Times New Roman"/>
          <w:szCs w:val="24"/>
        </w:rPr>
        <w:t xml:space="preserve">Applying the common law of agency, a web site may be liable for the acts of its unpaid moderators or other third parties who select, screen or curate the site’s content.  </w:t>
      </w:r>
      <w:proofErr w:type="spellStart"/>
      <w:r w:rsidRPr="006A4CD7">
        <w:rPr>
          <w:rFonts w:cs="Times New Roman"/>
          <w:i/>
          <w:iCs/>
          <w:szCs w:val="24"/>
        </w:rPr>
        <w:t>Mavrix</w:t>
      </w:r>
      <w:proofErr w:type="spellEnd"/>
      <w:r w:rsidRPr="006A4CD7">
        <w:rPr>
          <w:rFonts w:cs="Times New Roman"/>
          <w:i/>
          <w:iCs/>
          <w:szCs w:val="24"/>
        </w:rPr>
        <w:t xml:space="preserve"> Photographs, LLC v. LiveJournal, Inc</w:t>
      </w:r>
      <w:r w:rsidRPr="006A4CD7">
        <w:rPr>
          <w:rFonts w:cs="Times New Roman"/>
          <w:szCs w:val="24"/>
        </w:rPr>
        <w:t>., 873 F.3d 1045, 1054 (9th Cir. 2017) (holding that “common law agency principles apply to the analysis of whether a service provider like LiveJournal is liable for the acts of its moderators”).</w:t>
      </w:r>
    </w:p>
    <w:p w14:paraId="6597416A" w14:textId="77777777" w:rsidR="006A4CD7" w:rsidRPr="006A4CD7" w:rsidRDefault="006A4CD7" w:rsidP="0060759C">
      <w:pPr>
        <w:numPr>
          <w:ilvl w:val="12"/>
          <w:numId w:val="0"/>
        </w:numPr>
        <w:autoSpaceDE w:val="0"/>
        <w:autoSpaceDN w:val="0"/>
        <w:adjustRightInd w:val="0"/>
        <w:rPr>
          <w:rFonts w:cs="Times New Roman"/>
          <w:szCs w:val="24"/>
        </w:rPr>
      </w:pPr>
    </w:p>
    <w:p w14:paraId="76B57E4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Information Residing on Systems or Networks at the Direction of Users:</w:t>
      </w:r>
      <w:r w:rsidRPr="006A4CD7">
        <w:rPr>
          <w:rFonts w:cs="Times New Roman"/>
          <w:szCs w:val="24"/>
        </w:rPr>
        <w:t xml:space="preserve">  Information residing on systems or networks need “not actually reside on [the defendant’s] servers.”  </w:t>
      </w:r>
      <w:r w:rsidRPr="006A4CD7">
        <w:rPr>
          <w:rFonts w:cs="Times New Roman"/>
          <w:i/>
          <w:iCs/>
          <w:szCs w:val="24"/>
        </w:rPr>
        <w:t>Columbia Pictures Indus., Inc. v. Fung</w:t>
      </w:r>
      <w:r w:rsidRPr="006A4CD7">
        <w:rPr>
          <w:rFonts w:cs="Times New Roman"/>
          <w:szCs w:val="24"/>
        </w:rPr>
        <w:t xml:space="preserve">, 710 F.3d 1020, 1042 (9th Cir. 2013) (finding that storage of “torrent” files that do not contain infringing content themselves, but are used to facilitate copyright infringement, would be “facially eligible for the safe harbor”). </w:t>
      </w:r>
    </w:p>
    <w:p w14:paraId="2BBA9D3F" w14:textId="77777777" w:rsidR="006A4CD7" w:rsidRPr="006A4CD7" w:rsidRDefault="006A4CD7" w:rsidP="0060759C">
      <w:pPr>
        <w:numPr>
          <w:ilvl w:val="12"/>
          <w:numId w:val="0"/>
        </w:numPr>
        <w:autoSpaceDE w:val="0"/>
        <w:autoSpaceDN w:val="0"/>
        <w:adjustRightInd w:val="0"/>
        <w:rPr>
          <w:rFonts w:cs="Times New Roman"/>
          <w:szCs w:val="24"/>
        </w:rPr>
      </w:pPr>
    </w:p>
    <w:p w14:paraId="312F54ED" w14:textId="6065CFBE"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Actual Knowledge of Infringement: </w:t>
      </w:r>
      <w:r w:rsidRPr="006A4CD7">
        <w:rPr>
          <w:rFonts w:cs="Times New Roman"/>
          <w:szCs w:val="24"/>
        </w:rPr>
        <w:t xml:space="preserve"> Actual knowledge of the specific infringing material is required; general knowledge that the defendant's services are used for copyright infringement is insufficient.  </w:t>
      </w:r>
      <w:r w:rsidRPr="006A4CD7">
        <w:rPr>
          <w:rFonts w:cs="Times New Roman"/>
          <w:i/>
          <w:iCs/>
          <w:szCs w:val="24"/>
        </w:rPr>
        <w:t>UMG Recordings, Inc. v. Shelter Capital Partners</w:t>
      </w:r>
      <w:r w:rsidRPr="006A4CD7">
        <w:rPr>
          <w:rFonts w:cs="Times New Roman"/>
          <w:szCs w:val="24"/>
        </w:rPr>
        <w:t xml:space="preserve">, LLC, 718 F.3d 1006, 1022 (9th Cir. 2013).  Notifications about copyright infringement from a party who is not the copyright </w:t>
      </w:r>
      <w:r w:rsidR="00E85C22" w:rsidRPr="006A4CD7">
        <w:rPr>
          <w:rFonts w:cs="Times New Roman"/>
          <w:szCs w:val="24"/>
        </w:rPr>
        <w:t>holder,</w:t>
      </w:r>
      <w:r w:rsidRPr="006A4CD7">
        <w:rPr>
          <w:rFonts w:cs="Times New Roman"/>
          <w:szCs w:val="24"/>
        </w:rPr>
        <w:t xml:space="preserve"> or an agent of the copyright holder does not provide actual knowledge of infringement.  </w:t>
      </w:r>
      <w:r w:rsidRPr="006A4CD7">
        <w:rPr>
          <w:rFonts w:cs="Times New Roman"/>
          <w:i/>
          <w:iCs/>
          <w:szCs w:val="24"/>
        </w:rPr>
        <w:t>Id.</w:t>
      </w:r>
      <w:r w:rsidRPr="006A4CD7">
        <w:rPr>
          <w:rFonts w:cs="Times New Roman"/>
          <w:szCs w:val="24"/>
        </w:rPr>
        <w:t xml:space="preserve"> at 1025. </w:t>
      </w:r>
    </w:p>
    <w:p w14:paraId="7FD9D62B" w14:textId="77777777" w:rsidR="006A4CD7" w:rsidRPr="006A4CD7" w:rsidRDefault="006A4CD7" w:rsidP="0060759C">
      <w:pPr>
        <w:numPr>
          <w:ilvl w:val="12"/>
          <w:numId w:val="0"/>
        </w:numPr>
        <w:autoSpaceDE w:val="0"/>
        <w:autoSpaceDN w:val="0"/>
        <w:adjustRightInd w:val="0"/>
        <w:rPr>
          <w:rFonts w:cs="Times New Roman"/>
          <w:szCs w:val="24"/>
        </w:rPr>
      </w:pPr>
    </w:p>
    <w:p w14:paraId="62FA3A29" w14:textId="68C5A26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Awareness of Facts or Circumstances from which Specific Infringing Activity Is Apparent (Also Known As “Red Flag” Knowledge)</w:t>
      </w:r>
      <w:r w:rsidR="00E85C22" w:rsidRPr="006A4CD7">
        <w:rPr>
          <w:rFonts w:cs="Times New Roman"/>
          <w:b/>
          <w:bCs/>
          <w:szCs w:val="24"/>
        </w:rPr>
        <w:t>: “</w:t>
      </w:r>
      <w:r w:rsidRPr="006A4CD7">
        <w:rPr>
          <w:rFonts w:cs="Times New Roman"/>
          <w:szCs w:val="24"/>
        </w:rPr>
        <w:t xml:space="preserve">Red flag knowledge arises when a service provider is aware of facts that would have made the specific infringement objectively obvious to a reasonable person.”  </w:t>
      </w:r>
      <w:proofErr w:type="spellStart"/>
      <w:r w:rsidRPr="006A4CD7">
        <w:rPr>
          <w:rFonts w:cs="Times New Roman"/>
          <w:i/>
          <w:iCs/>
          <w:szCs w:val="24"/>
        </w:rPr>
        <w:t>Mavrix</w:t>
      </w:r>
      <w:proofErr w:type="spellEnd"/>
      <w:r w:rsidRPr="006A4CD7">
        <w:rPr>
          <w:rFonts w:cs="Times New Roman"/>
          <w:szCs w:val="24"/>
        </w:rPr>
        <w:t xml:space="preserve">, 873 F.3d at 1057 (internal quotes omitted).  A fact or circumstance from which infringing activity is apparent must be about a specific instance of copyright infringement. </w:t>
      </w:r>
      <w:r w:rsidR="009262BE" w:rsidRPr="006A4CD7">
        <w:rPr>
          <w:rFonts w:cs="Times New Roman"/>
          <w:i/>
          <w:iCs/>
          <w:szCs w:val="24"/>
        </w:rPr>
        <w:t>Id.</w:t>
      </w:r>
      <w:r w:rsidR="009262BE" w:rsidRPr="006A4CD7">
        <w:rPr>
          <w:rFonts w:cs="Times New Roman"/>
          <w:szCs w:val="24"/>
        </w:rPr>
        <w:t xml:space="preserve"> (</w:t>
      </w:r>
      <w:r w:rsidRPr="006A4CD7">
        <w:rPr>
          <w:rFonts w:cs="Times New Roman"/>
          <w:szCs w:val="24"/>
        </w:rPr>
        <w:t>finding that news reports discussing general problem of copyright infringement on website and CEO’s acknowledgment of this general problem were not enough to be “red flag”).  However, evidence that the defendant actually knew about specific infringing activity could suffice to make that infringing activity apparent</w:t>
      </w:r>
      <w:r w:rsidRPr="006A4CD7">
        <w:rPr>
          <w:rFonts w:cs="Times New Roman"/>
          <w:i/>
          <w:iCs/>
          <w:szCs w:val="24"/>
        </w:rPr>
        <w:t>.  Columbia Pictures Indus., Inc.</w:t>
      </w:r>
      <w:r w:rsidRPr="006A4CD7">
        <w:rPr>
          <w:rFonts w:cs="Times New Roman"/>
          <w:szCs w:val="24"/>
        </w:rPr>
        <w:t>, 710 F.3d at 1043</w:t>
      </w:r>
      <w:r w:rsidRPr="006A4CD7">
        <w:rPr>
          <w:rFonts w:cs="Times New Roman"/>
          <w:color w:val="0000FF"/>
          <w:szCs w:val="24"/>
        </w:rPr>
        <w:t>-</w:t>
      </w:r>
      <w:r w:rsidRPr="006A4CD7">
        <w:rPr>
          <w:rFonts w:cs="Times New Roman"/>
          <w:szCs w:val="24"/>
        </w:rPr>
        <w:t xml:space="preserve">46 (holding that evidence that defendant encouraged and assisted users who were infringing copyright in “current and well-known” works created “red flag” knowledge of infringement).  A characteristic of the website itself must be very apparent to qualify as a fact or circumstance from which infringing activity is apparent.  </w:t>
      </w:r>
      <w:r w:rsidRPr="006A4CD7">
        <w:rPr>
          <w:rFonts w:cs="Times New Roman"/>
          <w:i/>
          <w:iCs/>
          <w:szCs w:val="24"/>
        </w:rPr>
        <w:t xml:space="preserve">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xml:space="preserve">, 488 F.3d 1102, 1114 (9th Cir. 2007) (holding that website names such as “illegal.net” or “stolencelebritypics.com” do not automatically function as red flags signaling infringement); </w:t>
      </w:r>
      <w:r w:rsidRPr="006A4CD7">
        <w:rPr>
          <w:rFonts w:cs="Times New Roman"/>
          <w:i/>
          <w:iCs/>
          <w:szCs w:val="24"/>
        </w:rPr>
        <w:t>see also UMG Recordings, Inc.</w:t>
      </w:r>
      <w:r w:rsidRPr="006A4CD7">
        <w:rPr>
          <w:rFonts w:cs="Times New Roman"/>
          <w:szCs w:val="24"/>
        </w:rPr>
        <w:t xml:space="preserve">, 718 F.3d at 1022-23 (“hosting a category of copyrightable material” with knowledge that “services could be used to share infringing material” is not automatically red flag).  Although notices from </w:t>
      </w:r>
      <w:proofErr w:type="spellStart"/>
      <w:r w:rsidRPr="006A4CD7">
        <w:rPr>
          <w:rFonts w:cs="Times New Roman"/>
          <w:szCs w:val="24"/>
        </w:rPr>
        <w:t>noncopyright</w:t>
      </w:r>
      <w:proofErr w:type="spellEnd"/>
      <w:r w:rsidRPr="006A4CD7">
        <w:rPr>
          <w:rFonts w:cs="Times New Roman"/>
          <w:szCs w:val="24"/>
        </w:rPr>
        <w:t xml:space="preserve"> holders do not convey actual knowledge of infringement, they can serve as red flags that make infringing activity apparent.  </w:t>
      </w:r>
      <w:r w:rsidRPr="006A4CD7">
        <w:rPr>
          <w:rFonts w:cs="Times New Roman"/>
          <w:i/>
          <w:iCs/>
          <w:szCs w:val="24"/>
        </w:rPr>
        <w:t>Id.</w:t>
      </w:r>
      <w:r w:rsidRPr="006A4CD7">
        <w:rPr>
          <w:rFonts w:cs="Times New Roman"/>
          <w:szCs w:val="24"/>
        </w:rPr>
        <w:t xml:space="preserve"> at 1025. </w:t>
      </w:r>
    </w:p>
    <w:p w14:paraId="3496318E" w14:textId="77777777" w:rsidR="006A4CD7" w:rsidRPr="006A4CD7" w:rsidRDefault="006A4CD7" w:rsidP="0060759C">
      <w:pPr>
        <w:numPr>
          <w:ilvl w:val="12"/>
          <w:numId w:val="0"/>
        </w:numPr>
        <w:autoSpaceDE w:val="0"/>
        <w:autoSpaceDN w:val="0"/>
        <w:adjustRightInd w:val="0"/>
        <w:rPr>
          <w:rFonts w:cs="Times New Roman"/>
          <w:szCs w:val="24"/>
        </w:rPr>
      </w:pPr>
    </w:p>
    <w:p w14:paraId="00F7D554" w14:textId="61202F4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Financial Benefit Directly Attributable to Infringing Activity/Right and Ability to Control:</w:t>
      </w:r>
      <w:r w:rsidRPr="006A4CD7">
        <w:rPr>
          <w:rFonts w:cs="Times New Roman"/>
          <w:szCs w:val="24"/>
        </w:rPr>
        <w:t xml:space="preserve">  The requirement that the service provider </w:t>
      </w:r>
      <w:r w:rsidR="009262BE" w:rsidRPr="006A4CD7">
        <w:rPr>
          <w:rFonts w:cs="Times New Roman"/>
          <w:szCs w:val="24"/>
        </w:rPr>
        <w:t>have not</w:t>
      </w:r>
      <w:r w:rsidRPr="006A4CD7">
        <w:rPr>
          <w:rFonts w:cs="Times New Roman"/>
          <w:szCs w:val="24"/>
        </w:rPr>
        <w:t xml:space="preserve"> received a financial benefit directly attributable to the infringement activity applies “in a case in which the service provider has the right and ability to control such activity.”  17 U.S.C. § 512(d).  To have “the right and ability to control,” the service provider must exert “substantial influence on the activities of users.”  </w:t>
      </w:r>
      <w:r w:rsidRPr="006A4CD7">
        <w:rPr>
          <w:rFonts w:cs="Times New Roman"/>
          <w:i/>
          <w:iCs/>
          <w:szCs w:val="24"/>
        </w:rPr>
        <w:t>UMG Recordings, Inc.</w:t>
      </w:r>
      <w:r w:rsidRPr="006A4CD7">
        <w:rPr>
          <w:rFonts w:cs="Times New Roman"/>
          <w:szCs w:val="24"/>
        </w:rPr>
        <w:t xml:space="preserve">, 718 F.3d at 1030.  “Substantial influence” may include high levels of control over the activities of users; “purposeful, culpable expression and conduct”; active involvement by the service provider in the listing, bidding, sale and delivery of items offered for sale; or control of vendor sales through the previewing of products prior to their listing, the editing of product descriptions or the suggesting of prices. </w:t>
      </w:r>
      <w:r w:rsidRPr="006A4CD7">
        <w:rPr>
          <w:rFonts w:cs="Times New Roman"/>
          <w:i/>
          <w:iCs/>
          <w:szCs w:val="24"/>
        </w:rPr>
        <w:t xml:space="preserve"> Id.</w:t>
      </w:r>
      <w:r w:rsidRPr="006A4CD7">
        <w:rPr>
          <w:rFonts w:cs="Times New Roman"/>
          <w:szCs w:val="24"/>
        </w:rPr>
        <w:t xml:space="preserve"> (citing </w:t>
      </w:r>
      <w:r w:rsidRPr="006A4CD7">
        <w:rPr>
          <w:rFonts w:cs="Times New Roman"/>
          <w:i/>
          <w:iCs/>
          <w:szCs w:val="24"/>
        </w:rPr>
        <w:t xml:space="preserve">Viacom </w:t>
      </w:r>
      <w:proofErr w:type="spellStart"/>
      <w:r w:rsidRPr="006A4CD7">
        <w:rPr>
          <w:rFonts w:cs="Times New Roman"/>
          <w:i/>
          <w:iCs/>
          <w:szCs w:val="24"/>
        </w:rPr>
        <w:t>Internat’l</w:t>
      </w:r>
      <w:proofErr w:type="spellEnd"/>
      <w:r w:rsidRPr="006A4CD7">
        <w:rPr>
          <w:rFonts w:cs="Times New Roman"/>
          <w:i/>
          <w:iCs/>
          <w:szCs w:val="24"/>
        </w:rPr>
        <w:t xml:space="preserve"> v. YouTube, Inc.</w:t>
      </w:r>
      <w:r w:rsidRPr="006A4CD7">
        <w:rPr>
          <w:rFonts w:cs="Times New Roman"/>
          <w:szCs w:val="24"/>
        </w:rPr>
        <w:t xml:space="preserve">, 676 F.3d 19, 38 (2d Cir.2012)).  </w:t>
      </w:r>
    </w:p>
    <w:p w14:paraId="3EBFA898" w14:textId="77777777" w:rsidR="006A4CD7" w:rsidRPr="006A4CD7" w:rsidRDefault="006A4CD7" w:rsidP="0060759C">
      <w:pPr>
        <w:numPr>
          <w:ilvl w:val="12"/>
          <w:numId w:val="0"/>
        </w:numPr>
        <w:autoSpaceDE w:val="0"/>
        <w:autoSpaceDN w:val="0"/>
        <w:adjustRightInd w:val="0"/>
        <w:rPr>
          <w:rFonts w:cs="Times New Roman"/>
          <w:szCs w:val="24"/>
        </w:rPr>
      </w:pPr>
    </w:p>
    <w:p w14:paraId="59B3A81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determining whether the financial benefit criterion is satisfied, courts should take a common-sense, fact-based approach, not a formalistic one.”  </w:t>
      </w:r>
      <w:proofErr w:type="spellStart"/>
      <w:r w:rsidRPr="006A4CD7">
        <w:rPr>
          <w:rFonts w:cs="Times New Roman"/>
          <w:i/>
          <w:iCs/>
          <w:szCs w:val="24"/>
        </w:rPr>
        <w:t>Mavrix</w:t>
      </w:r>
      <w:proofErr w:type="spellEnd"/>
      <w:r w:rsidRPr="006A4CD7">
        <w:rPr>
          <w:rFonts w:cs="Times New Roman"/>
          <w:szCs w:val="24"/>
        </w:rPr>
        <w:t xml:space="preserve">, 873 F.3d at 1059 (9th Cir. 2017) (quoting S. Rep. No. 105-190, at 44 (1998)).  The relevant inquiry regarding financial benefit is “whether the infringing activity constitutes a draw for subscribers, not just an added benefit.”  </w:t>
      </w:r>
      <w:r w:rsidRPr="006A4CD7">
        <w:rPr>
          <w:rFonts w:cs="Times New Roman"/>
          <w:i/>
          <w:iCs/>
          <w:szCs w:val="24"/>
        </w:rPr>
        <w:t>Perfect 10</w:t>
      </w:r>
      <w:r w:rsidRPr="006A4CD7">
        <w:rPr>
          <w:rFonts w:cs="Times New Roman"/>
          <w:szCs w:val="24"/>
        </w:rPr>
        <w:t xml:space="preserve">, 488 F.3d at 1117 (quoting </w:t>
      </w:r>
      <w:r w:rsidRPr="006A4CD7">
        <w:rPr>
          <w:rFonts w:cs="Times New Roman"/>
          <w:i/>
          <w:iCs/>
          <w:szCs w:val="24"/>
        </w:rPr>
        <w:t>Ellison v. Robertson</w:t>
      </w:r>
      <w:r w:rsidRPr="006A4CD7">
        <w:rPr>
          <w:rFonts w:cs="Times New Roman"/>
          <w:szCs w:val="24"/>
        </w:rPr>
        <w:t xml:space="preserve">, 357 F.3d 1072, 1079 (9th Cir. 2004)).  A “one-time set-up fee [or] flat, periodic payments” for the service provided does not qualify.  </w:t>
      </w:r>
      <w:r w:rsidRPr="006A4CD7">
        <w:rPr>
          <w:rFonts w:cs="Times New Roman"/>
          <w:i/>
          <w:iCs/>
          <w:szCs w:val="24"/>
        </w:rPr>
        <w:t>Id.</w:t>
      </w:r>
      <w:r w:rsidRPr="006A4CD7">
        <w:rPr>
          <w:rFonts w:cs="Times New Roman"/>
          <w:szCs w:val="24"/>
        </w:rPr>
        <w:t xml:space="preserve"> at 1118 (finding that fees for webhosting not direct financial benefit).  The financial benefit need not be substantial or a large proportion of the service provider’s revenue. </w:t>
      </w:r>
      <w:proofErr w:type="spellStart"/>
      <w:r w:rsidRPr="006A4CD7">
        <w:rPr>
          <w:rFonts w:cs="Times New Roman"/>
          <w:i/>
          <w:iCs/>
          <w:szCs w:val="24"/>
        </w:rPr>
        <w:t>Mavrix</w:t>
      </w:r>
      <w:proofErr w:type="spellEnd"/>
      <w:r w:rsidRPr="006A4CD7">
        <w:rPr>
          <w:rFonts w:cs="Times New Roman"/>
          <w:szCs w:val="24"/>
        </w:rPr>
        <w:t>, 873 F.3d at 1059.</w:t>
      </w:r>
    </w:p>
    <w:p w14:paraId="5C442344" w14:textId="77777777" w:rsidR="006A4CD7" w:rsidRPr="006A4CD7" w:rsidRDefault="006A4CD7" w:rsidP="0060759C">
      <w:pPr>
        <w:numPr>
          <w:ilvl w:val="12"/>
          <w:numId w:val="0"/>
        </w:numPr>
        <w:autoSpaceDE w:val="0"/>
        <w:autoSpaceDN w:val="0"/>
        <w:adjustRightInd w:val="0"/>
        <w:rPr>
          <w:rFonts w:cs="Times New Roman"/>
          <w:szCs w:val="24"/>
        </w:rPr>
      </w:pPr>
    </w:p>
    <w:p w14:paraId="3D09C849" w14:textId="77777777" w:rsidR="006A4CD7" w:rsidRPr="006A4CD7" w:rsidRDefault="006A4CD7" w:rsidP="0060759C">
      <w:pPr>
        <w:numPr>
          <w:ilvl w:val="12"/>
          <w:numId w:val="0"/>
        </w:numPr>
        <w:autoSpaceDE w:val="0"/>
        <w:autoSpaceDN w:val="0"/>
        <w:adjustRightInd w:val="0"/>
        <w:rPr>
          <w:rFonts w:cs="Times New Roman"/>
          <w:szCs w:val="24"/>
        </w:rPr>
      </w:pPr>
    </w:p>
    <w:p w14:paraId="3B557787"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Dec. 2017</w:t>
      </w:r>
    </w:p>
    <w:p w14:paraId="58D75C2B" w14:textId="77777777" w:rsidR="00E90379" w:rsidRPr="006A4CD7" w:rsidRDefault="00E90379" w:rsidP="00E90379"/>
    <w:p w14:paraId="4B2CAE8D" w14:textId="6766DDC9" w:rsidR="00317DA8" w:rsidRDefault="006A4CD7" w:rsidP="00982B7E">
      <w:pPr>
        <w:pStyle w:val="Heading2"/>
      </w:pPr>
      <w:r w:rsidRPr="006A4CD7">
        <w:br w:type="page"/>
      </w:r>
      <w:bookmarkStart w:id="341" w:name="_Toc117512618"/>
      <w:r w:rsidRPr="006A4CD7">
        <w:t xml:space="preserve">17.31 </w:t>
      </w:r>
      <w:r w:rsidR="00646BCE" w:rsidRPr="00646BCE">
        <w:t xml:space="preserve">Copyright—Affirmative Defense—Limitation </w:t>
      </w:r>
      <w:r w:rsidR="00646BCE">
        <w:t>o</w:t>
      </w:r>
      <w:r w:rsidR="00646BCE" w:rsidRPr="00646BCE">
        <w:t>n Liability</w:t>
      </w:r>
      <w:bookmarkEnd w:id="341"/>
      <w:r w:rsidR="00646BCE" w:rsidRPr="00646BCE">
        <w:t xml:space="preserve"> </w:t>
      </w:r>
    </w:p>
    <w:p w14:paraId="58F7CD90" w14:textId="58121502" w:rsidR="00E90379" w:rsidRPr="006A4CD7" w:rsidRDefault="00646BCE" w:rsidP="00982B7E">
      <w:pPr>
        <w:pStyle w:val="Heading2"/>
      </w:pPr>
      <w:bookmarkStart w:id="342" w:name="_Toc117512619"/>
      <w:r w:rsidRPr="00646BCE">
        <w:t xml:space="preserve">for Information Location Tools </w:t>
      </w:r>
      <w:r w:rsidR="006A4CD7" w:rsidRPr="006A4CD7">
        <w:t>(17 U.S.C. § 512(d))</w:t>
      </w:r>
      <w:bookmarkEnd w:id="342"/>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54F3BC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not liable for copyright infringement because the infringement occurred in the context of the defendant's provision of information location tools to refer or link users to infringing material or activity.  The defendant has the burden of proving this defense by a preponderance of the evidence.</w:t>
      </w:r>
    </w:p>
    <w:p w14:paraId="258A6CB9" w14:textId="77777777" w:rsidR="006A4CD7" w:rsidRPr="006A4CD7" w:rsidRDefault="006A4CD7" w:rsidP="0060759C">
      <w:pPr>
        <w:numPr>
          <w:ilvl w:val="12"/>
          <w:numId w:val="0"/>
        </w:numPr>
        <w:autoSpaceDE w:val="0"/>
        <w:autoSpaceDN w:val="0"/>
        <w:adjustRightInd w:val="0"/>
        <w:rPr>
          <w:rFonts w:cs="Times New Roman"/>
          <w:szCs w:val="24"/>
        </w:rPr>
      </w:pPr>
    </w:p>
    <w:p w14:paraId="4A79BDE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3B768EA6" w14:textId="77777777" w:rsidR="006A4CD7" w:rsidRPr="006A4CD7" w:rsidRDefault="006A4CD7" w:rsidP="0060759C">
      <w:pPr>
        <w:numPr>
          <w:ilvl w:val="12"/>
          <w:numId w:val="0"/>
        </w:numPr>
        <w:autoSpaceDE w:val="0"/>
        <w:autoSpaceDN w:val="0"/>
        <w:adjustRightInd w:val="0"/>
        <w:rPr>
          <w:rFonts w:cs="Times New Roman"/>
          <w:szCs w:val="24"/>
        </w:rPr>
      </w:pPr>
    </w:p>
    <w:p w14:paraId="4E4B405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37EFE86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9B384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adopted, reasonably implemented and informed users of a policy to terminate users who are repeat copyright infringers;</w:t>
      </w:r>
    </w:p>
    <w:p w14:paraId="46DB99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9E1D0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59CD2E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F6A8B5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257084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899663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for providing information location tools or services.</w:t>
      </w:r>
    </w:p>
    <w:p w14:paraId="5FF436A2" w14:textId="77777777" w:rsidR="006A4CD7" w:rsidRPr="006A4CD7" w:rsidRDefault="006A4CD7" w:rsidP="0060759C">
      <w:pPr>
        <w:numPr>
          <w:ilvl w:val="12"/>
          <w:numId w:val="0"/>
        </w:numPr>
        <w:autoSpaceDE w:val="0"/>
        <w:autoSpaceDN w:val="0"/>
        <w:adjustRightInd w:val="0"/>
        <w:rPr>
          <w:rFonts w:cs="Times New Roman"/>
          <w:szCs w:val="24"/>
        </w:rPr>
      </w:pPr>
    </w:p>
    <w:p w14:paraId="36E0C41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applies if the defendant:</w:t>
      </w:r>
    </w:p>
    <w:p w14:paraId="67CF54A9" w14:textId="77777777" w:rsidR="006A4CD7" w:rsidRPr="006A4CD7" w:rsidRDefault="006A4CD7" w:rsidP="0060759C">
      <w:pPr>
        <w:numPr>
          <w:ilvl w:val="12"/>
          <w:numId w:val="0"/>
        </w:numPr>
        <w:autoSpaceDE w:val="0"/>
        <w:autoSpaceDN w:val="0"/>
        <w:adjustRightInd w:val="0"/>
        <w:rPr>
          <w:rFonts w:cs="Times New Roman"/>
          <w:szCs w:val="24"/>
        </w:rPr>
      </w:pPr>
    </w:p>
    <w:p w14:paraId="17EFBAF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was infringing;</w:t>
      </w:r>
    </w:p>
    <w:p w14:paraId="62E4CBA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65C6C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21874C2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8082CD" w14:textId="77777777" w:rsidR="006A4CD7" w:rsidRPr="006A4CD7" w:rsidRDefault="00BD703F" w:rsidP="00BD703F">
      <w:pPr>
        <w:numPr>
          <w:ilvl w:val="12"/>
          <w:numId w:val="0"/>
        </w:numPr>
        <w:autoSpaceDE w:val="0"/>
        <w:autoSpaceDN w:val="0"/>
        <w:adjustRightInd w:val="0"/>
        <w:ind w:left="1440" w:right="720" w:hanging="720"/>
        <w:rPr>
          <w:rFonts w:cs="Times New Roman"/>
          <w:szCs w:val="24"/>
        </w:rPr>
      </w:pPr>
      <w:r>
        <w:rPr>
          <w:rFonts w:cs="Times New Roman"/>
          <w:szCs w:val="24"/>
        </w:rPr>
        <w:t>3</w:t>
      </w:r>
      <w:r w:rsidR="006A4CD7" w:rsidRPr="006A4CD7">
        <w:rPr>
          <w:rFonts w:cs="Times New Roman"/>
          <w:szCs w:val="24"/>
        </w:rPr>
        <w:t>.</w:t>
      </w:r>
      <w:r w:rsidR="006A4CD7" w:rsidRPr="006A4CD7">
        <w:rPr>
          <w:rFonts w:cs="Times New Roman"/>
          <w:szCs w:val="24"/>
        </w:rPr>
        <w:tab/>
        <w:t>while having the right and ability to control the infringing activity, did not receive a financial benefit directly attributable to the infringing activity.</w:t>
      </w:r>
    </w:p>
    <w:p w14:paraId="0326D322" w14:textId="77777777" w:rsidR="006A4CD7" w:rsidRPr="006A4CD7" w:rsidRDefault="006A4CD7" w:rsidP="0060759C">
      <w:pPr>
        <w:numPr>
          <w:ilvl w:val="12"/>
          <w:numId w:val="0"/>
        </w:numPr>
        <w:autoSpaceDE w:val="0"/>
        <w:autoSpaceDN w:val="0"/>
        <w:adjustRightInd w:val="0"/>
        <w:rPr>
          <w:rFonts w:cs="Times New Roman"/>
          <w:szCs w:val="24"/>
        </w:rPr>
      </w:pPr>
    </w:p>
    <w:p w14:paraId="037E7EF8" w14:textId="7E87F55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satisfied these requirements, your verdict should be for the defendant. If, on the other hand, you find that the defendant has failed to prove any of these elements, the defendant is not entitled to prevail on this affirmative </w:t>
      </w:r>
      <w:r w:rsidR="009262BE" w:rsidRPr="006A4CD7">
        <w:rPr>
          <w:rFonts w:cs="Times New Roman"/>
          <w:szCs w:val="24"/>
        </w:rPr>
        <w:t>defense but</w:t>
      </w:r>
      <w:r w:rsidRPr="006A4CD7">
        <w:rPr>
          <w:rFonts w:cs="Times New Roman"/>
          <w:szCs w:val="24"/>
        </w:rPr>
        <w:t xml:space="preserve"> may assert other defenses.</w:t>
      </w:r>
    </w:p>
    <w:p w14:paraId="26D9ABBE" w14:textId="77777777" w:rsidR="006A4CD7" w:rsidRPr="006A4CD7" w:rsidRDefault="006A4CD7" w:rsidP="0060759C">
      <w:pPr>
        <w:numPr>
          <w:ilvl w:val="12"/>
          <w:numId w:val="0"/>
        </w:numPr>
        <w:autoSpaceDE w:val="0"/>
        <w:autoSpaceDN w:val="0"/>
        <w:adjustRightInd w:val="0"/>
        <w:rPr>
          <w:rFonts w:cs="Times New Roman"/>
          <w:szCs w:val="24"/>
        </w:rPr>
      </w:pPr>
    </w:p>
    <w:p w14:paraId="079E529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FD3F6E9" w14:textId="77777777" w:rsidR="006A4CD7" w:rsidRPr="006A4CD7" w:rsidRDefault="006A4CD7" w:rsidP="0060759C">
      <w:pPr>
        <w:numPr>
          <w:ilvl w:val="12"/>
          <w:numId w:val="0"/>
        </w:numPr>
        <w:autoSpaceDE w:val="0"/>
        <w:autoSpaceDN w:val="0"/>
        <w:adjustRightInd w:val="0"/>
        <w:rPr>
          <w:rFonts w:cs="Times New Roman"/>
          <w:szCs w:val="24"/>
        </w:rPr>
      </w:pPr>
    </w:p>
    <w:p w14:paraId="5871BB9C" w14:textId="40DC0304" w:rsidR="00E90379"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(d), as well as § 512(c)(3), (</w:t>
      </w:r>
      <w:proofErr w:type="spellStart"/>
      <w:r w:rsidRPr="006A4CD7">
        <w:rPr>
          <w:rFonts w:cs="Times New Roman"/>
          <w:szCs w:val="24"/>
        </w:rPr>
        <w:t>i</w:t>
      </w:r>
      <w:proofErr w:type="spellEnd"/>
      <w:r w:rsidRPr="006A4CD7">
        <w:rPr>
          <w:rFonts w:cs="Times New Roman"/>
          <w:szCs w:val="24"/>
        </w:rPr>
        <w:t>) and (k).</w:t>
      </w:r>
    </w:p>
    <w:p w14:paraId="1E373D4B" w14:textId="536C866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6A4CD7">
        <w:rPr>
          <w:rFonts w:cs="Times New Roman"/>
          <w:i/>
          <w:iCs/>
          <w:szCs w:val="24"/>
        </w:rPr>
        <w:t>see</w:t>
      </w:r>
      <w:r w:rsidRPr="006A4CD7">
        <w:rPr>
          <w:rFonts w:cs="Times New Roman"/>
          <w:szCs w:val="24"/>
        </w:rPr>
        <w:t xml:space="preserve"> Instruction 17.30 (Copyright—Affirmative Defense—Limitation on Liability for Information Residing on Systems or Networks at Direction of Users).  </w:t>
      </w:r>
    </w:p>
    <w:p w14:paraId="4837361F" w14:textId="77777777" w:rsidR="006A4CD7" w:rsidRPr="006A4CD7" w:rsidRDefault="006A4CD7" w:rsidP="0060759C">
      <w:pPr>
        <w:numPr>
          <w:ilvl w:val="12"/>
          <w:numId w:val="0"/>
        </w:numPr>
        <w:autoSpaceDE w:val="0"/>
        <w:autoSpaceDN w:val="0"/>
        <w:adjustRightInd w:val="0"/>
        <w:rPr>
          <w:rFonts w:cs="Times New Roman"/>
          <w:szCs w:val="24"/>
        </w:rPr>
      </w:pPr>
    </w:p>
    <w:p w14:paraId="09240EDE"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Information Location Tools: </w:t>
      </w:r>
      <w:r w:rsidRPr="006A4CD7">
        <w:rPr>
          <w:rFonts w:cs="Times New Roman"/>
          <w:szCs w:val="24"/>
        </w:rPr>
        <w:t xml:space="preserve">This defense applies only to “infringement of copyright by reason of the provider referring or linking users to an online location containing infringing material or infringing activity.”  </w:t>
      </w:r>
      <w:r w:rsidRPr="006A4CD7">
        <w:rPr>
          <w:rFonts w:cs="Times New Roman"/>
          <w:i/>
          <w:iCs/>
          <w:szCs w:val="24"/>
        </w:rPr>
        <w:t xml:space="preserve">Perfect 10, Inc. v. </w:t>
      </w:r>
      <w:proofErr w:type="spellStart"/>
      <w:r w:rsidRPr="006A4CD7">
        <w:rPr>
          <w:rFonts w:cs="Times New Roman"/>
          <w:i/>
          <w:iCs/>
          <w:szCs w:val="24"/>
        </w:rPr>
        <w:t>CCBill</w:t>
      </w:r>
      <w:proofErr w:type="spellEnd"/>
      <w:r w:rsidRPr="006A4CD7">
        <w:rPr>
          <w:rFonts w:cs="Times New Roman"/>
          <w:i/>
          <w:iCs/>
          <w:szCs w:val="24"/>
        </w:rPr>
        <w:t xml:space="preserve"> LLC</w:t>
      </w:r>
      <w:r w:rsidRPr="006A4CD7">
        <w:rPr>
          <w:rFonts w:cs="Times New Roman"/>
          <w:szCs w:val="24"/>
        </w:rPr>
        <w:t>, 488 F.3d 1102, 1116</w:t>
      </w:r>
      <w:r w:rsidRPr="006A4CD7">
        <w:rPr>
          <w:rFonts w:cs="Times New Roman"/>
          <w:color w:val="0000FF"/>
          <w:szCs w:val="24"/>
        </w:rPr>
        <w:t>-</w:t>
      </w:r>
      <w:r w:rsidRPr="006A4CD7">
        <w:rPr>
          <w:rFonts w:cs="Times New Roman"/>
          <w:szCs w:val="24"/>
        </w:rPr>
        <w:t xml:space="preserve">17 (9th Cir. 2007) (disallowing use of defense when defendant provided users with hyperlink to infringing material but also engaged in other infringing activity).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0F8E2223" w:rsidR="00E90379" w:rsidRPr="006A4CD7" w:rsidRDefault="006A4CD7" w:rsidP="00E90379">
      <w:pPr>
        <w:pStyle w:val="Heading2"/>
      </w:pPr>
      <w:r w:rsidRPr="006A4CD7">
        <w:br w:type="page"/>
      </w:r>
      <w:bookmarkStart w:id="343" w:name="_Toc117512620"/>
      <w:r w:rsidRPr="006A4CD7">
        <w:t xml:space="preserve">17.32 </w:t>
      </w:r>
      <w:r w:rsidR="00646BCE" w:rsidRPr="00646BCE">
        <w:t xml:space="preserve">Copyright—Damages </w:t>
      </w:r>
      <w:r w:rsidRPr="006A4CD7">
        <w:t>(17 U.S.C. § 504)</w:t>
      </w:r>
      <w:bookmarkEnd w:id="343"/>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365AED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plaintiff’s copyright infringement claim, you must determine the plaintiff’s damages.  The plaintiff is entitled to recover the actual damages suffered as a result of the infringement.  In addition, the plaintiff is also entitled to recover any profits of the defendant attributable to the infringement.  The plaintiff must prove damages by a preponderance of the evidence.</w:t>
      </w:r>
    </w:p>
    <w:p w14:paraId="7EF055EC" w14:textId="77777777" w:rsidR="006A4CD7" w:rsidRPr="006A4CD7" w:rsidRDefault="006A4CD7" w:rsidP="0060759C">
      <w:pPr>
        <w:numPr>
          <w:ilvl w:val="12"/>
          <w:numId w:val="0"/>
        </w:numPr>
        <w:autoSpaceDE w:val="0"/>
        <w:autoSpaceDN w:val="0"/>
        <w:adjustRightInd w:val="0"/>
        <w:rPr>
          <w:rFonts w:cs="Times New Roman"/>
          <w:szCs w:val="24"/>
        </w:rPr>
      </w:pPr>
    </w:p>
    <w:p w14:paraId="651D424E"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2E85A90B" w14:textId="77777777" w:rsidR="006A4CD7" w:rsidRPr="006A4CD7" w:rsidRDefault="006A4CD7" w:rsidP="0060759C">
      <w:pPr>
        <w:numPr>
          <w:ilvl w:val="12"/>
          <w:numId w:val="0"/>
        </w:numPr>
        <w:autoSpaceDE w:val="0"/>
        <w:autoSpaceDN w:val="0"/>
        <w:adjustRightInd w:val="0"/>
        <w:rPr>
          <w:rFonts w:cs="Times New Roman"/>
          <w:i/>
          <w:iCs/>
          <w:szCs w:val="24"/>
        </w:rPr>
      </w:pPr>
    </w:p>
    <w:p w14:paraId="58B2C46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Give this instruction along with Instructions 5.1 (Damages—Proof), 17.33 (Copyright—Damages—Actual Damages), and 17.34 (Copyright—Damages—Defendant’s Profits).  </w:t>
      </w:r>
    </w:p>
    <w:p w14:paraId="5D250F69" w14:textId="77777777" w:rsidR="006A4CD7" w:rsidRPr="006A4CD7" w:rsidRDefault="006A4CD7" w:rsidP="0060759C">
      <w:pPr>
        <w:numPr>
          <w:ilvl w:val="12"/>
          <w:numId w:val="0"/>
        </w:numPr>
        <w:autoSpaceDE w:val="0"/>
        <w:autoSpaceDN w:val="0"/>
        <w:adjustRightInd w:val="0"/>
        <w:rPr>
          <w:rFonts w:cs="Times New Roman"/>
          <w:szCs w:val="24"/>
        </w:rPr>
      </w:pPr>
    </w:p>
    <w:p w14:paraId="71CD1C3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Under 17 U.S.C. § 504(c)(1) the plaintiff may “elect, </w:t>
      </w:r>
      <w:r w:rsidRPr="006A4CD7">
        <w:rPr>
          <w:rFonts w:cs="Times New Roman"/>
          <w:i/>
          <w:iCs/>
          <w:szCs w:val="24"/>
        </w:rPr>
        <w:t>at any time</w:t>
      </w:r>
      <w:r w:rsidRPr="006A4CD7">
        <w:rPr>
          <w:rFonts w:cs="Times New Roman"/>
          <w:szCs w:val="24"/>
        </w:rPr>
        <w:t xml:space="preserve"> before final judgment is rendered” whether to seek actual or statutory damages.</w:t>
      </w:r>
      <w:r w:rsidRPr="006A4CD7">
        <w:rPr>
          <w:rFonts w:cs="Times New Roman"/>
          <w:i/>
          <w:iCs/>
          <w:szCs w:val="24"/>
        </w:rPr>
        <w:t xml:space="preserve">  </w:t>
      </w:r>
      <w:r w:rsidRPr="006A4CD7">
        <w:rPr>
          <w:rFonts w:cs="Times New Roman"/>
          <w:szCs w:val="24"/>
        </w:rPr>
        <w:t>17 U.S.C. § 504(c)(1);</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Derek Andrew, Inc. v. Poof Apparel Corp.</w:t>
      </w:r>
      <w:r w:rsidRPr="006A4CD7">
        <w:rPr>
          <w:rFonts w:cs="Times New Roman"/>
          <w:szCs w:val="24"/>
        </w:rPr>
        <w:t>, 528 F.3d 696, 699 (9th Cir. 2008);</w:t>
      </w:r>
      <w:r w:rsidRPr="006A4CD7">
        <w:rPr>
          <w:rFonts w:cs="Times New Roman"/>
          <w:i/>
          <w:iCs/>
          <w:szCs w:val="24"/>
        </w:rPr>
        <w:t xml:space="preserve"> L.A. News Serv. v. Reuters Television Int’l</w:t>
      </w:r>
      <w:r w:rsidRPr="006A4CD7">
        <w:rPr>
          <w:rFonts w:cs="Times New Roman"/>
          <w:szCs w:val="24"/>
        </w:rPr>
        <w:t xml:space="preserve">, 149 F.3d 987, 995 (9th Cir. 1998).  If the copyright owner elects to recover statutory damages, the owner cannot also recover actual damages.  17 U.S.C. § 504(c); </w:t>
      </w:r>
      <w:r w:rsidRPr="006A4CD7">
        <w:rPr>
          <w:rFonts w:cs="Times New Roman"/>
          <w:i/>
          <w:iCs/>
          <w:szCs w:val="24"/>
        </w:rPr>
        <w:t>see also</w:t>
      </w:r>
      <w:r w:rsidRPr="006A4CD7">
        <w:rPr>
          <w:rFonts w:cs="Times New Roman"/>
          <w:szCs w:val="24"/>
        </w:rPr>
        <w:t xml:space="preserve"> Instruction 17.35 (Copyright—Damages—Statutory Damages); </w:t>
      </w:r>
      <w:r w:rsidRPr="006A4CD7">
        <w:rPr>
          <w:rFonts w:cs="Times New Roman"/>
          <w:i/>
          <w:iCs/>
          <w:szCs w:val="24"/>
        </w:rPr>
        <w:t>Derek Andrew</w:t>
      </w:r>
      <w:r w:rsidRPr="006A4CD7">
        <w:rPr>
          <w:rFonts w:cs="Times New Roman"/>
          <w:szCs w:val="24"/>
        </w:rPr>
        <w:t>, 528 F.3d at 699;</w:t>
      </w:r>
      <w:r w:rsidRPr="006A4CD7">
        <w:rPr>
          <w:rFonts w:cs="Times New Roman"/>
          <w:i/>
          <w:iCs/>
          <w:szCs w:val="24"/>
        </w:rPr>
        <w:t xml:space="preserve"> Nintendo of Am., Inc. v. Dragon Pac. Int’l</w:t>
      </w:r>
      <w:r w:rsidRPr="006A4CD7">
        <w:rPr>
          <w:rFonts w:cs="Times New Roman"/>
          <w:szCs w:val="24"/>
        </w:rPr>
        <w:t>, 40 F.3d 1007, 1010-11 (9th Cir. 1994) (explaining punitive purpose of statutory damages and compensatory purpose of actual damages).</w:t>
      </w:r>
    </w:p>
    <w:p w14:paraId="64C13BFB" w14:textId="77777777" w:rsidR="006A4CD7" w:rsidRPr="006A4CD7" w:rsidRDefault="006A4CD7" w:rsidP="0060759C">
      <w:pPr>
        <w:numPr>
          <w:ilvl w:val="12"/>
          <w:numId w:val="0"/>
        </w:numPr>
        <w:autoSpaceDE w:val="0"/>
        <w:autoSpaceDN w:val="0"/>
        <w:adjustRightInd w:val="0"/>
        <w:rPr>
          <w:rFonts w:cs="Times New Roman"/>
          <w:szCs w:val="24"/>
        </w:rPr>
      </w:pPr>
    </w:p>
    <w:p w14:paraId="6426F4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504(b) provides that the copyright owner is entitled to recover the actual damages suffered by him or her as a result of the infringement, as well as any profits of the infringer that are attributable to the infringement and that are not taken into account in computing the actual damages.  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Polar Bear Prods., Inc. v. Timex Corp</w:t>
      </w:r>
      <w:r w:rsidRPr="006A4CD7">
        <w:rPr>
          <w:rFonts w:cs="Times New Roman"/>
          <w:szCs w:val="24"/>
        </w:rPr>
        <w:t xml:space="preserve">., 384 F.3d 700, 708 (9th Cir. 2004) (noting additionally that “actual damages must be suffered ‘as a result of the infringement,’ and recoverable profits must be ‘attributable to the infringement’”); </w:t>
      </w:r>
      <w:r w:rsidRPr="006A4CD7">
        <w:rPr>
          <w:rFonts w:cs="Times New Roman"/>
          <w:i/>
          <w:iCs/>
          <w:szCs w:val="24"/>
        </w:rPr>
        <w:t>Frank Music Corp. v. Metro-Goldwyn-Mayer, Inc.</w:t>
      </w:r>
      <w:r w:rsidRPr="006A4CD7">
        <w:rPr>
          <w:rFonts w:cs="Times New Roman"/>
          <w:szCs w:val="24"/>
        </w:rPr>
        <w:t>, 772 F.2d 505, 512 n.5 (9th Cir. 1985).</w:t>
      </w:r>
    </w:p>
    <w:p w14:paraId="4586AC81" w14:textId="77777777" w:rsidR="006A4CD7" w:rsidRPr="006A4CD7" w:rsidRDefault="006A4CD7" w:rsidP="0060759C">
      <w:pPr>
        <w:numPr>
          <w:ilvl w:val="12"/>
          <w:numId w:val="0"/>
        </w:numPr>
        <w:autoSpaceDE w:val="0"/>
        <w:autoSpaceDN w:val="0"/>
        <w:adjustRightInd w:val="0"/>
        <w:rPr>
          <w:rFonts w:cs="Times New Roman"/>
          <w:szCs w:val="24"/>
        </w:rPr>
      </w:pPr>
    </w:p>
    <w:p w14:paraId="5A94A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injury is shown, but neither profits nor damages can be proved, statutory damages are mandatory.  </w:t>
      </w:r>
      <w:r w:rsidRPr="006A4CD7">
        <w:rPr>
          <w:rFonts w:cs="Times New Roman"/>
          <w:i/>
          <w:iCs/>
          <w:szCs w:val="24"/>
        </w:rPr>
        <w:t>See Russell v. Price</w:t>
      </w:r>
      <w:r w:rsidRPr="006A4CD7">
        <w:rPr>
          <w:rFonts w:cs="Times New Roman"/>
          <w:szCs w:val="24"/>
        </w:rPr>
        <w:t>, 612 F.2d 1123, 1129-30 (9th Cir. 1979);</w:t>
      </w:r>
      <w:r w:rsidRPr="006A4CD7">
        <w:rPr>
          <w:rFonts w:cs="Times New Roman"/>
          <w:i/>
          <w:iCs/>
          <w:szCs w:val="24"/>
        </w:rPr>
        <w:t xml:space="preserve"> Pye v. Mitchell</w:t>
      </w:r>
      <w:r w:rsidRPr="006A4CD7">
        <w:rPr>
          <w:rFonts w:cs="Times New Roman"/>
          <w:szCs w:val="24"/>
        </w:rPr>
        <w:t xml:space="preserve">, 574 F.2d 476, 481 (9th Cir. 1978).  When the copyright owner fails to register its copyright before commencement of the infringement, it can recover only actual damages and profits and cannot seek statutory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Derek Andrew</w:t>
      </w:r>
      <w:r w:rsidRPr="006A4CD7">
        <w:rPr>
          <w:rFonts w:cs="Times New Roman"/>
          <w:szCs w:val="24"/>
        </w:rPr>
        <w:t xml:space="preserve">, 528 F.3d at 699; </w:t>
      </w:r>
      <w:r w:rsidRPr="006A4CD7">
        <w:rPr>
          <w:rFonts w:cs="Times New Roman"/>
          <w:i/>
          <w:iCs/>
          <w:szCs w:val="24"/>
        </w:rPr>
        <w:t>Polar Bear Prods.</w:t>
      </w:r>
      <w:r w:rsidRPr="006A4CD7">
        <w:rPr>
          <w:rFonts w:cs="Times New Roman"/>
          <w:szCs w:val="24"/>
        </w:rPr>
        <w:t>, 384 F.3d at 707 n.5.</w:t>
      </w:r>
    </w:p>
    <w:p w14:paraId="1403D176" w14:textId="77777777" w:rsidR="006A4CD7" w:rsidRPr="006A4CD7" w:rsidRDefault="006A4CD7" w:rsidP="0060759C">
      <w:pPr>
        <w:numPr>
          <w:ilvl w:val="12"/>
          <w:numId w:val="0"/>
        </w:numPr>
        <w:autoSpaceDE w:val="0"/>
        <w:autoSpaceDN w:val="0"/>
        <w:adjustRightInd w:val="0"/>
        <w:rPr>
          <w:rFonts w:cs="Times New Roman"/>
          <w:b/>
          <w:bCs/>
          <w:szCs w:val="24"/>
        </w:rPr>
      </w:pPr>
    </w:p>
    <w:p w14:paraId="58FFC448" w14:textId="064DFA13" w:rsidR="00317DA8" w:rsidRDefault="006A4CD7" w:rsidP="00D057F8">
      <w:pPr>
        <w:pStyle w:val="Heading2"/>
      </w:pPr>
      <w:r w:rsidRPr="006A4CD7">
        <w:br w:type="page"/>
      </w:r>
      <w:bookmarkStart w:id="344" w:name="_Toc117512621"/>
      <w:r w:rsidRPr="006A4CD7">
        <w:t xml:space="preserve">17.33 </w:t>
      </w:r>
      <w:r w:rsidR="00646BCE" w:rsidRPr="00646BCE">
        <w:t>Copyright—Damages—Actual Damages</w:t>
      </w:r>
      <w:bookmarkEnd w:id="344"/>
      <w:r w:rsidR="00646BCE" w:rsidRPr="00646BCE">
        <w:t xml:space="preserve"> </w:t>
      </w:r>
    </w:p>
    <w:p w14:paraId="718767EB" w14:textId="32C9AEA1" w:rsidR="006A4CD7" w:rsidRPr="006A4CD7" w:rsidRDefault="006A4CD7" w:rsidP="00D057F8">
      <w:pPr>
        <w:pStyle w:val="Heading2"/>
      </w:pPr>
      <w:bookmarkStart w:id="345" w:name="_Toc117512622"/>
      <w:r w:rsidRPr="006A4CD7">
        <w:t>(17 U.S.C. § 504(b))</w:t>
      </w:r>
      <w:bookmarkEnd w:id="345"/>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13857D42" w14:textId="36CDFE7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copyright owner is entitled to recover the actual damages suffered as a result of the infringement.  Actual damages </w:t>
      </w:r>
      <w:r w:rsidR="009262BE" w:rsidRPr="006A4CD7">
        <w:rPr>
          <w:rFonts w:cs="Times New Roman"/>
          <w:szCs w:val="24"/>
        </w:rPr>
        <w:t>mean</w:t>
      </w:r>
      <w:r w:rsidRPr="006A4CD7">
        <w:rPr>
          <w:rFonts w:cs="Times New Roman"/>
          <w:szCs w:val="24"/>
        </w:rPr>
        <w:t xml:space="preserve"> the amount of money adequate to compensate the copyright owner for the reduction of the fair market value of the copyrighted work caused by the infringement.  The reduction of the fair market value of the copyrighted work is the amount a willing buyer would have been reasonably required to pay a willing seller at the time of the infringement for the actual use made by the defendant of the plaintiff’s work.  That amount also could be represented by the lost license fees the plaintiff would have received for the defendant’s unauthorized use of the plaintiff’s work.</w:t>
      </w:r>
    </w:p>
    <w:p w14:paraId="03230AA6" w14:textId="77777777" w:rsidR="006A4CD7" w:rsidRPr="006A4CD7" w:rsidRDefault="006A4CD7" w:rsidP="0060759C">
      <w:pPr>
        <w:numPr>
          <w:ilvl w:val="12"/>
          <w:numId w:val="0"/>
        </w:numPr>
        <w:autoSpaceDE w:val="0"/>
        <w:autoSpaceDN w:val="0"/>
        <w:adjustRightInd w:val="0"/>
        <w:rPr>
          <w:rFonts w:cs="Times New Roman"/>
          <w:szCs w:val="24"/>
        </w:rPr>
      </w:pPr>
    </w:p>
    <w:p w14:paraId="725C223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399CD15" w14:textId="77777777" w:rsidR="006A4CD7" w:rsidRPr="006A4CD7" w:rsidRDefault="006A4CD7" w:rsidP="00E90379"/>
    <w:p w14:paraId="4E5D9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Add applicable paragraphs from Instruction 17.34 (Copyright—Damages—Defendant’s Profits).</w:t>
      </w:r>
    </w:p>
    <w:p w14:paraId="767B3BE1" w14:textId="77777777" w:rsidR="006A4CD7" w:rsidRPr="006A4CD7" w:rsidRDefault="006A4CD7" w:rsidP="0060759C">
      <w:pPr>
        <w:numPr>
          <w:ilvl w:val="12"/>
          <w:numId w:val="0"/>
        </w:numPr>
        <w:autoSpaceDE w:val="0"/>
        <w:autoSpaceDN w:val="0"/>
        <w:adjustRightInd w:val="0"/>
        <w:rPr>
          <w:rFonts w:cs="Times New Roman"/>
          <w:szCs w:val="24"/>
        </w:rPr>
      </w:pPr>
    </w:p>
    <w:p w14:paraId="70B5181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upon a jury instruction approved by the Ninth Circuit as “properly stat[</w:t>
      </w:r>
      <w:proofErr w:type="spellStart"/>
      <w:r w:rsidRPr="006A4CD7">
        <w:rPr>
          <w:rFonts w:cs="Times New Roman"/>
          <w:szCs w:val="24"/>
        </w:rPr>
        <w:t>ing</w:t>
      </w:r>
      <w:proofErr w:type="spellEnd"/>
      <w:r w:rsidRPr="006A4CD7">
        <w:rPr>
          <w:rFonts w:cs="Times New Roman"/>
          <w:szCs w:val="24"/>
        </w:rPr>
        <w:t xml:space="preserve">] the law of damages in a copyright infringement suit” and “in line with our circuit’s caselaw.”  </w:t>
      </w:r>
      <w:r w:rsidRPr="006A4CD7">
        <w:rPr>
          <w:rFonts w:cs="Times New Roman"/>
          <w:i/>
          <w:iCs/>
          <w:szCs w:val="24"/>
        </w:rPr>
        <w:t xml:space="preserve">Wall Data v. L.A. </w:t>
      </w:r>
      <w:proofErr w:type="spellStart"/>
      <w:r w:rsidRPr="006A4CD7">
        <w:rPr>
          <w:rFonts w:cs="Times New Roman"/>
          <w:i/>
          <w:iCs/>
          <w:szCs w:val="24"/>
        </w:rPr>
        <w:t>Cnty</w:t>
      </w:r>
      <w:proofErr w:type="spellEnd"/>
      <w:r w:rsidRPr="006A4CD7">
        <w:rPr>
          <w:rFonts w:cs="Times New Roman"/>
          <w:i/>
          <w:iCs/>
          <w:szCs w:val="24"/>
        </w:rPr>
        <w:t xml:space="preserve">. Sheriff’s </w:t>
      </w:r>
      <w:proofErr w:type="spellStart"/>
      <w:r w:rsidRPr="006A4CD7">
        <w:rPr>
          <w:rFonts w:cs="Times New Roman"/>
          <w:i/>
          <w:iCs/>
          <w:szCs w:val="24"/>
        </w:rPr>
        <w:t>Dep’t</w:t>
      </w:r>
      <w:proofErr w:type="spellEnd"/>
      <w:r w:rsidRPr="006A4CD7">
        <w:rPr>
          <w:rFonts w:cs="Times New Roman"/>
          <w:szCs w:val="24"/>
        </w:rPr>
        <w:t>, 447 F.3d 769, 787 (9th Cir. 2006).  The circuit has noted that “[a]</w:t>
      </w:r>
      <w:proofErr w:type="spellStart"/>
      <w:r w:rsidRPr="006A4CD7">
        <w:rPr>
          <w:rFonts w:cs="Times New Roman"/>
          <w:szCs w:val="24"/>
        </w:rPr>
        <w:t>ctual</w:t>
      </w:r>
      <w:proofErr w:type="spellEnd"/>
      <w:r w:rsidRPr="006A4CD7">
        <w:rPr>
          <w:rFonts w:cs="Times New Roman"/>
          <w:szCs w:val="24"/>
        </w:rPr>
        <w:t xml:space="preserve"> damages are usually determined by the loss in the fair market value of the copyright, measured by the profits lost due to the infringement or by the value of the use of the copyrighted work to the infringer.”  </w:t>
      </w:r>
      <w:r w:rsidRPr="006A4CD7">
        <w:rPr>
          <w:rFonts w:cs="Times New Roman"/>
          <w:i/>
          <w:iCs/>
          <w:szCs w:val="24"/>
        </w:rPr>
        <w:t>Polar Bear Prods., Inc. v. Timex Corp</w:t>
      </w:r>
      <w:r w:rsidRPr="006A4CD7">
        <w:rPr>
          <w:rFonts w:cs="Times New Roman"/>
          <w:szCs w:val="24"/>
        </w:rPr>
        <w:t xml:space="preserve">., 384 F.3d 700, 708 (9th Cir. 2004) (internal quotation marks omitted);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709 (“[I]t is not improper for a jury to consider </w:t>
      </w:r>
      <w:r w:rsidRPr="006A4CD7">
        <w:rPr>
          <w:rFonts w:cs="Times New Roman"/>
          <w:i/>
          <w:iCs/>
          <w:szCs w:val="24"/>
        </w:rPr>
        <w:t>either</w:t>
      </w:r>
      <w:r w:rsidRPr="006A4CD7">
        <w:rPr>
          <w:rFonts w:cs="Times New Roman"/>
          <w:szCs w:val="24"/>
        </w:rPr>
        <w:t xml:space="preserve"> a hypothetical lost license fee </w:t>
      </w:r>
      <w:r w:rsidRPr="006A4CD7">
        <w:rPr>
          <w:rFonts w:cs="Times New Roman"/>
          <w:i/>
          <w:iCs/>
          <w:szCs w:val="24"/>
        </w:rPr>
        <w:t>or</w:t>
      </w:r>
      <w:r w:rsidRPr="006A4CD7">
        <w:rPr>
          <w:rFonts w:cs="Times New Roman"/>
          <w:szCs w:val="24"/>
        </w:rPr>
        <w:t xml:space="preserve"> the value of the infringing use to the infringer to determine actual damages, provided the amount is not based on ‘undue speculation.’” (emphasis added) (quoting </w:t>
      </w:r>
      <w:r w:rsidRPr="006A4CD7">
        <w:rPr>
          <w:rFonts w:cs="Times New Roman"/>
          <w:i/>
          <w:iCs/>
          <w:szCs w:val="24"/>
        </w:rPr>
        <w:t>McRoberts Software, Inc. v. Media 100, Inc.</w:t>
      </w:r>
      <w:r w:rsidRPr="006A4CD7">
        <w:rPr>
          <w:rFonts w:cs="Times New Roman"/>
          <w:szCs w:val="24"/>
        </w:rPr>
        <w:t xml:space="preserve">, 329 F.3d 557, 566 (7th Cir.2003)).  “[T]he market value approach is an objective, not a subjective, analysis.”  </w:t>
      </w:r>
      <w:r w:rsidRPr="006A4CD7">
        <w:rPr>
          <w:rFonts w:cs="Times New Roman"/>
          <w:i/>
          <w:iCs/>
          <w:szCs w:val="24"/>
        </w:rPr>
        <w:t>Jarvis v. K2 Inc.</w:t>
      </w:r>
      <w:r w:rsidRPr="006A4CD7">
        <w:rPr>
          <w:rFonts w:cs="Times New Roman"/>
          <w:szCs w:val="24"/>
        </w:rPr>
        <w:t xml:space="preserve">, 486 F.3d 526, 534 (9th Cir. 2007) (quoting </w:t>
      </w:r>
      <w:r w:rsidRPr="006A4CD7">
        <w:rPr>
          <w:rFonts w:cs="Times New Roman"/>
          <w:i/>
          <w:iCs/>
          <w:szCs w:val="24"/>
        </w:rPr>
        <w:t xml:space="preserve">Mackie v. </w:t>
      </w:r>
      <w:proofErr w:type="spellStart"/>
      <w:r w:rsidRPr="006A4CD7">
        <w:rPr>
          <w:rFonts w:cs="Times New Roman"/>
          <w:i/>
          <w:iCs/>
          <w:szCs w:val="24"/>
        </w:rPr>
        <w:t>Rieser</w:t>
      </w:r>
      <w:proofErr w:type="spellEnd"/>
      <w:r w:rsidRPr="006A4CD7">
        <w:rPr>
          <w:rFonts w:cs="Times New Roman"/>
          <w:szCs w:val="24"/>
        </w:rPr>
        <w:t>, 296 F.3d 909, 917 (9th Cir. 2002)).  Therefore, “[e]</w:t>
      </w:r>
      <w:proofErr w:type="spellStart"/>
      <w:r w:rsidRPr="006A4CD7">
        <w:rPr>
          <w:rFonts w:cs="Times New Roman"/>
          <w:szCs w:val="24"/>
        </w:rPr>
        <w:t>xcessively</w:t>
      </w:r>
      <w:proofErr w:type="spellEnd"/>
      <w:r w:rsidRPr="006A4CD7">
        <w:rPr>
          <w:rFonts w:cs="Times New Roman"/>
          <w:szCs w:val="24"/>
        </w:rPr>
        <w:t xml:space="preserve"> speculative claims of damages are to be rejected.”  </w:t>
      </w:r>
      <w:r w:rsidRPr="006A4CD7">
        <w:rPr>
          <w:rFonts w:cs="Times New Roman"/>
          <w:i/>
          <w:iCs/>
          <w:szCs w:val="24"/>
        </w:rPr>
        <w:t>Id.</w:t>
      </w:r>
      <w:r w:rsidRPr="006A4CD7">
        <w:rPr>
          <w:rFonts w:cs="Times New Roman"/>
          <w:szCs w:val="24"/>
        </w:rPr>
        <w:t xml:space="preserve">  </w:t>
      </w:r>
    </w:p>
    <w:p w14:paraId="6E6A96E7" w14:textId="77777777" w:rsidR="006A4CD7" w:rsidRPr="006A4CD7" w:rsidRDefault="006A4CD7" w:rsidP="0060759C">
      <w:pPr>
        <w:numPr>
          <w:ilvl w:val="12"/>
          <w:numId w:val="0"/>
        </w:numPr>
        <w:autoSpaceDE w:val="0"/>
        <w:autoSpaceDN w:val="0"/>
        <w:adjustRightInd w:val="0"/>
        <w:rPr>
          <w:rFonts w:cs="Times New Roman"/>
          <w:szCs w:val="24"/>
        </w:rPr>
      </w:pPr>
    </w:p>
    <w:p w14:paraId="0A2C06B2"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does not address whether the measures of actual damages (as either the plaintiff’s lost profits or as the diminution in value of the copyright) are mutually exclusive or additive, nor the danger of double recovery if both measures are presented to the jury.</w:t>
      </w: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66E1B366" w14:textId="5356C518" w:rsidR="00317DA8" w:rsidRDefault="006A4CD7" w:rsidP="00D057F8">
      <w:pPr>
        <w:pStyle w:val="Heading2"/>
      </w:pPr>
      <w:r w:rsidRPr="006A4CD7">
        <w:br w:type="page"/>
      </w:r>
      <w:bookmarkStart w:id="346" w:name="_Toc117512623"/>
      <w:r w:rsidRPr="006A4CD7">
        <w:t xml:space="preserve">17.34 </w:t>
      </w:r>
      <w:r w:rsidR="008B5FFD" w:rsidRPr="008B5FFD">
        <w:t>Copyright—Damages—Defendant’s Profits</w:t>
      </w:r>
      <w:bookmarkEnd w:id="346"/>
      <w:r w:rsidR="008B5FFD" w:rsidRPr="008B5FFD">
        <w:t xml:space="preserve"> </w:t>
      </w:r>
    </w:p>
    <w:p w14:paraId="46B3175B" w14:textId="26BF5186" w:rsidR="00E90379" w:rsidRPr="006A4CD7" w:rsidRDefault="006A4CD7" w:rsidP="00D057F8">
      <w:pPr>
        <w:pStyle w:val="Heading2"/>
      </w:pPr>
      <w:bookmarkStart w:id="347" w:name="_Toc117512624"/>
      <w:r w:rsidRPr="006A4CD7">
        <w:t>(17 U.S.C. § 504(b))</w:t>
      </w:r>
      <w:bookmarkEnd w:id="347"/>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44A371A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addition to actual damages, the copyright owner is entitled to any profits of the defendant attributable to the infringement. You may not include in an award of profits any amount that you took into account in determining actual damages.</w:t>
      </w:r>
    </w:p>
    <w:p w14:paraId="4D4CD9D5" w14:textId="77777777" w:rsidR="006A4CD7" w:rsidRPr="006A4CD7" w:rsidRDefault="006A4CD7" w:rsidP="0060759C">
      <w:pPr>
        <w:numPr>
          <w:ilvl w:val="12"/>
          <w:numId w:val="0"/>
        </w:numPr>
        <w:autoSpaceDE w:val="0"/>
        <w:autoSpaceDN w:val="0"/>
        <w:adjustRightInd w:val="0"/>
        <w:rPr>
          <w:rFonts w:cs="Times New Roman"/>
          <w:szCs w:val="24"/>
        </w:rPr>
      </w:pPr>
    </w:p>
    <w:p w14:paraId="184D8E0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You may make an award of the defendant’s profits only if you find that the plaintiff showed a causal [relationship] [nexus] between the infringement and the [profits generated indirectly from the infringement] [defendant’s gross revenue].</w:t>
      </w:r>
    </w:p>
    <w:p w14:paraId="724D9D18" w14:textId="77777777" w:rsidR="006A4CD7" w:rsidRPr="006A4CD7" w:rsidRDefault="006A4CD7" w:rsidP="0060759C">
      <w:pPr>
        <w:numPr>
          <w:ilvl w:val="12"/>
          <w:numId w:val="0"/>
        </w:numPr>
        <w:autoSpaceDE w:val="0"/>
        <w:autoSpaceDN w:val="0"/>
        <w:adjustRightInd w:val="0"/>
        <w:rPr>
          <w:rFonts w:cs="Times New Roman"/>
          <w:szCs w:val="24"/>
        </w:rPr>
      </w:pPr>
    </w:p>
    <w:p w14:paraId="26908EA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profit is determined by [deducting] [subtracting] all expenses from the defendant’s gross revenue.</w:t>
      </w:r>
    </w:p>
    <w:p w14:paraId="12BDEDCC" w14:textId="77777777" w:rsidR="006A4CD7" w:rsidRPr="006A4CD7" w:rsidRDefault="006A4CD7" w:rsidP="0060759C">
      <w:pPr>
        <w:numPr>
          <w:ilvl w:val="12"/>
          <w:numId w:val="0"/>
        </w:numPr>
        <w:autoSpaceDE w:val="0"/>
        <w:autoSpaceDN w:val="0"/>
        <w:adjustRightInd w:val="0"/>
        <w:rPr>
          <w:rFonts w:cs="Times New Roman"/>
          <w:szCs w:val="24"/>
        </w:rPr>
      </w:pPr>
    </w:p>
    <w:p w14:paraId="1B585D0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gross revenue is all of the defendant’s receipts from the [use] [sale] of a [[product] [work]] [[containing or using the copyrighted work] [associated with the infringement]].  The plaintiff has the burden of proving the defendant’s gross revenue by a preponderance of the evidence.</w:t>
      </w:r>
    </w:p>
    <w:p w14:paraId="27F514E2" w14:textId="77777777" w:rsidR="006A4CD7" w:rsidRPr="006A4CD7" w:rsidRDefault="006A4CD7" w:rsidP="0060759C">
      <w:pPr>
        <w:numPr>
          <w:ilvl w:val="12"/>
          <w:numId w:val="0"/>
        </w:numPr>
        <w:autoSpaceDE w:val="0"/>
        <w:autoSpaceDN w:val="0"/>
        <w:adjustRightInd w:val="0"/>
        <w:rPr>
          <w:rFonts w:cs="Times New Roman"/>
          <w:szCs w:val="24"/>
        </w:rPr>
      </w:pPr>
    </w:p>
    <w:p w14:paraId="002EDEF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Expenses are all [operating costs] [overhead costs] [and] production costs incurred in producing the defendant’s gross revenue.  The defendant has the burden of proving the defendant’s expenses by a preponderance of the evidence.</w:t>
      </w:r>
    </w:p>
    <w:p w14:paraId="212BB046" w14:textId="77777777" w:rsidR="006A4CD7" w:rsidRPr="006A4CD7" w:rsidRDefault="006A4CD7" w:rsidP="0060759C">
      <w:pPr>
        <w:numPr>
          <w:ilvl w:val="12"/>
          <w:numId w:val="0"/>
        </w:numPr>
        <w:autoSpaceDE w:val="0"/>
        <w:autoSpaceDN w:val="0"/>
        <w:adjustRightInd w:val="0"/>
        <w:rPr>
          <w:rFonts w:cs="Times New Roman"/>
          <w:szCs w:val="24"/>
        </w:rPr>
      </w:pPr>
    </w:p>
    <w:p w14:paraId="2416366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Unless you find that a portion of the profit from the [use] [sale] of a [product] [work] containing or using the copyrighted work is attributable to factors other than use of the copyrighted work, all of the profit is to be attributed to the infringement.  The defendant has the burden of proving the [portion] [percentage] of the profit, if any, attributable to factors other than [copying] [infringing] the copyrighted work.</w:t>
      </w:r>
    </w:p>
    <w:p w14:paraId="03323F3A" w14:textId="77777777" w:rsidR="006A4CD7" w:rsidRPr="006A4CD7" w:rsidRDefault="006A4CD7" w:rsidP="0060759C">
      <w:pPr>
        <w:numPr>
          <w:ilvl w:val="12"/>
          <w:numId w:val="0"/>
        </w:numPr>
        <w:autoSpaceDE w:val="0"/>
        <w:autoSpaceDN w:val="0"/>
        <w:adjustRightInd w:val="0"/>
        <w:rPr>
          <w:rFonts w:cs="Times New Roman"/>
          <w:szCs w:val="24"/>
        </w:rPr>
      </w:pPr>
    </w:p>
    <w:p w14:paraId="39B048D2"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AE67556" w14:textId="77777777" w:rsidR="006A4CD7" w:rsidRPr="006A4CD7" w:rsidRDefault="006A4CD7" w:rsidP="0060759C">
      <w:pPr>
        <w:numPr>
          <w:ilvl w:val="12"/>
          <w:numId w:val="0"/>
        </w:numPr>
        <w:autoSpaceDE w:val="0"/>
        <w:autoSpaceDN w:val="0"/>
        <w:adjustRightInd w:val="0"/>
        <w:rPr>
          <w:rFonts w:cs="Times New Roman"/>
          <w:szCs w:val="24"/>
        </w:rPr>
      </w:pPr>
    </w:p>
    <w:p w14:paraId="363034F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multi-defendant case, this instruction may need to be tailored according to the defendant to whom it applies.  Where there are multiple infringers of a copyright, all infringers are jointly and severally liable for the plaintiff’s actual damages, but each defendant is severally liable for the defendant’s own illegal profits.  </w:t>
      </w:r>
      <w:r w:rsidRPr="006A4CD7">
        <w:rPr>
          <w:rFonts w:cs="Times New Roman"/>
          <w:i/>
          <w:iCs/>
          <w:szCs w:val="24"/>
        </w:rPr>
        <w:t>See</w:t>
      </w:r>
      <w:r w:rsidRPr="006A4CD7">
        <w:rPr>
          <w:rFonts w:cs="Times New Roman"/>
          <w:szCs w:val="24"/>
        </w:rPr>
        <w:t xml:space="preserve"> </w:t>
      </w:r>
      <w:r w:rsidRPr="006A4CD7">
        <w:rPr>
          <w:rFonts w:cs="Times New Roman"/>
          <w:i/>
          <w:iCs/>
          <w:szCs w:val="24"/>
        </w:rPr>
        <w:t>Frank Music Corp. v. Metro-Goldwyn-Mayer, Inc.</w:t>
      </w:r>
      <w:r w:rsidRPr="006A4CD7">
        <w:rPr>
          <w:rFonts w:cs="Times New Roman"/>
          <w:szCs w:val="24"/>
        </w:rPr>
        <w:t>, 772 F.2d 505, 519 (9th Cir. 1985).</w:t>
      </w:r>
    </w:p>
    <w:p w14:paraId="726BCD13" w14:textId="77777777" w:rsidR="006A4CD7" w:rsidRPr="006A4CD7" w:rsidRDefault="006A4CD7" w:rsidP="0060759C">
      <w:pPr>
        <w:numPr>
          <w:ilvl w:val="12"/>
          <w:numId w:val="0"/>
        </w:numPr>
        <w:autoSpaceDE w:val="0"/>
        <w:autoSpaceDN w:val="0"/>
        <w:adjustRightInd w:val="0"/>
        <w:rPr>
          <w:rFonts w:cs="Times New Roman"/>
          <w:szCs w:val="24"/>
        </w:rPr>
      </w:pPr>
    </w:p>
    <w:p w14:paraId="7EBE213C"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The statute “creates a two-step framework for recovery of indirect profits: (1) the copyright claimant must first show a causal nexus between the infringement and the [infringer’s] gross revenue; and (2) once the causal nexus is shown, the infringer bears the burden of apportioning the profits that were not the result of infringement.”  </w:t>
      </w:r>
      <w:r w:rsidRPr="006A4CD7">
        <w:rPr>
          <w:rFonts w:cs="Times New Roman"/>
          <w:i/>
          <w:iCs/>
          <w:szCs w:val="24"/>
        </w:rPr>
        <w:t>Polar Bear Prods., Inc. v. Timex Corp</w:t>
      </w:r>
      <w:r w:rsidRPr="006A4CD7">
        <w:rPr>
          <w:rFonts w:cs="Times New Roman"/>
          <w:szCs w:val="24"/>
        </w:rPr>
        <w:t xml:space="preserve">., 384 F.3d 700, 711 (9th Cir. 2004);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714 n.10 (approving jury instruction stating: “Indirect profits have a less direct connection or link to the infringement.  </w:t>
      </w:r>
    </w:p>
    <w:p w14:paraId="2CA755B4" w14:textId="0AA533BA"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Plaintiff seeks indirect profits in this case.  To recover indirect profits, Plaintiff must establish a causal relationship between the infringement and the profits generated indirectly from such infringement.”).</w:t>
      </w:r>
    </w:p>
    <w:p w14:paraId="2A8FA159" w14:textId="77777777" w:rsidR="006A4CD7" w:rsidRPr="006A4CD7" w:rsidRDefault="006A4CD7" w:rsidP="0060759C">
      <w:pPr>
        <w:numPr>
          <w:ilvl w:val="12"/>
          <w:numId w:val="0"/>
        </w:numPr>
        <w:autoSpaceDE w:val="0"/>
        <w:autoSpaceDN w:val="0"/>
        <w:adjustRightInd w:val="0"/>
        <w:rPr>
          <w:rFonts w:cs="Times New Roman"/>
          <w:szCs w:val="24"/>
        </w:rPr>
      </w:pPr>
    </w:p>
    <w:p w14:paraId="632DADB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“fundamental standard” for whether a causal nexus is shown as required for an award of indirect profits is that the plaintiff “must proffer some evidence . . . [that] the infringement at least partially caused the profits that the infringer generated as a result of the infringement.”  </w:t>
      </w:r>
      <w:r w:rsidRPr="006A4CD7">
        <w:rPr>
          <w:rFonts w:cs="Times New Roman"/>
          <w:i/>
          <w:iCs/>
          <w:szCs w:val="24"/>
        </w:rPr>
        <w:t>Polar Bear Prods.</w:t>
      </w:r>
      <w:r w:rsidRPr="006A4CD7">
        <w:rPr>
          <w:rFonts w:cs="Times New Roman"/>
          <w:szCs w:val="24"/>
        </w:rPr>
        <w:t xml:space="preserve">, 384 F.3d at 711 (omission and alteration in original) (quoting </w:t>
      </w:r>
      <w:r w:rsidRPr="006A4CD7">
        <w:rPr>
          <w:rFonts w:cs="Times New Roman"/>
          <w:i/>
          <w:iCs/>
          <w:szCs w:val="24"/>
        </w:rPr>
        <w:t xml:space="preserve">Mackie v. </w:t>
      </w:r>
      <w:proofErr w:type="spellStart"/>
      <w:r w:rsidRPr="006A4CD7">
        <w:rPr>
          <w:rFonts w:cs="Times New Roman"/>
          <w:i/>
          <w:iCs/>
          <w:szCs w:val="24"/>
        </w:rPr>
        <w:t>Rieser</w:t>
      </w:r>
      <w:proofErr w:type="spellEnd"/>
      <w:r w:rsidRPr="006A4CD7">
        <w:rPr>
          <w:rFonts w:cs="Times New Roman"/>
          <w:szCs w:val="24"/>
        </w:rPr>
        <w:t xml:space="preserve">, 296 F.3d 909, 911 (9th Cir. 2002)) (holding that plaintiff seeking to recover indirect profits must “formulate the initial evidence of gross revenue duly apportioned to relate to the infringement”); </w:t>
      </w:r>
      <w:r w:rsidRPr="006A4CD7">
        <w:rPr>
          <w:rFonts w:cs="Times New Roman"/>
          <w:i/>
          <w:iCs/>
          <w:szCs w:val="24"/>
        </w:rPr>
        <w:t>see also</w:t>
      </w:r>
      <w:r w:rsidRPr="006A4CD7">
        <w:rPr>
          <w:rFonts w:cs="Times New Roman"/>
          <w:szCs w:val="24"/>
        </w:rPr>
        <w:t xml:space="preserve"> </w:t>
      </w:r>
      <w:r w:rsidRPr="006A4CD7">
        <w:rPr>
          <w:rFonts w:cs="Times New Roman"/>
          <w:i/>
          <w:iCs/>
          <w:szCs w:val="24"/>
        </w:rPr>
        <w:t>Mackie</w:t>
      </w:r>
      <w:r w:rsidRPr="006A4CD7">
        <w:rPr>
          <w:rFonts w:cs="Times New Roman"/>
          <w:szCs w:val="24"/>
        </w:rPr>
        <w:t xml:space="preserve">, 296 F.3d at 916 (holding that artist could not recover indirect profits unless he demonstrated with “non-speculative evidence” causal link between infringement and subsequent indirect profits, such as how many individuals subscribed to symphony because artist’s work appeared on one page of symphony brochure). </w:t>
      </w:r>
    </w:p>
    <w:p w14:paraId="6A6D61C0" w14:textId="77777777" w:rsidR="006A4CD7" w:rsidRPr="006A4CD7" w:rsidRDefault="006A4CD7" w:rsidP="0060759C">
      <w:pPr>
        <w:numPr>
          <w:ilvl w:val="12"/>
          <w:numId w:val="0"/>
        </w:numPr>
        <w:autoSpaceDE w:val="0"/>
        <w:autoSpaceDN w:val="0"/>
        <w:adjustRightInd w:val="0"/>
        <w:rPr>
          <w:rFonts w:cs="Times New Roman"/>
          <w:szCs w:val="24"/>
        </w:rPr>
      </w:pPr>
    </w:p>
    <w:p w14:paraId="014BE5A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the Ninth Circuit, the calculation of actual damages under the 1909 Copyright Act differs from that under the 1976 Copyright Act.  Prior to 1985, the Ninth Circuit interpreted the 1909 Copyright Act as allowing recovery of only the higher of actual damages or infringer profits.  This differed from other circuits, where recovery of both actual damages and the infringer’s profits was allowed.  However, in the 1976 Copyright Act, Congress resolved these differing interpretations to allow recovery of both actual damages and the infringer’s profits.  </w:t>
      </w:r>
      <w:r w:rsidRPr="006A4CD7">
        <w:rPr>
          <w:rFonts w:cs="Times New Roman"/>
          <w:i/>
          <w:iCs/>
          <w:szCs w:val="24"/>
        </w:rPr>
        <w:t>See Frank Music Corp.</w:t>
      </w:r>
      <w:r w:rsidRPr="006A4CD7">
        <w:rPr>
          <w:rFonts w:cs="Times New Roman"/>
          <w:szCs w:val="24"/>
        </w:rPr>
        <w:t>, 772 F.2d at 512 &amp; n.5.</w:t>
      </w:r>
    </w:p>
    <w:p w14:paraId="57B62EE1" w14:textId="77777777" w:rsidR="006A4CD7" w:rsidRPr="006A4CD7" w:rsidRDefault="006A4CD7" w:rsidP="0060759C">
      <w:pPr>
        <w:numPr>
          <w:ilvl w:val="12"/>
          <w:numId w:val="0"/>
        </w:numPr>
        <w:autoSpaceDE w:val="0"/>
        <w:autoSpaceDN w:val="0"/>
        <w:adjustRightInd w:val="0"/>
        <w:rPr>
          <w:rFonts w:cs="Times New Roman"/>
          <w:szCs w:val="24"/>
        </w:rPr>
      </w:pPr>
    </w:p>
    <w:p w14:paraId="0331473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jury instruction on the defendant’s profits must adequately convey the burden of proof on attribution of profit.  The copyright owner is required to present proof “only of the infringer’s gross revenue, and the infringer is required to prove … deductible expenses” and “what percentage of the infringer’s profits” were not attributable to copying the infringed work.</w:t>
      </w:r>
      <w:r w:rsidRPr="006A4CD7">
        <w:rPr>
          <w:rFonts w:cs="Times New Roman"/>
          <w:i/>
          <w:iCs/>
          <w:szCs w:val="24"/>
        </w:rPr>
        <w:t xml:space="preserve">  </w:t>
      </w:r>
      <w:r w:rsidRPr="006A4CD7">
        <w:rPr>
          <w:rFonts w:cs="Times New Roman"/>
          <w:szCs w:val="24"/>
        </w:rPr>
        <w:t xml:space="preserve">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487 (9th Cir. 2000).  However, “gross revenue” for purposes of determining indirect profits means “the gross revenue associated with the infringement, as opposed to the infringer’s overall gross sales resulting from all streams of revenue.”  </w:t>
      </w:r>
      <w:r w:rsidRPr="006A4CD7">
        <w:rPr>
          <w:rFonts w:cs="Times New Roman"/>
          <w:i/>
          <w:iCs/>
          <w:szCs w:val="24"/>
        </w:rPr>
        <w:t>Polar Bear Prods.</w:t>
      </w:r>
      <w:r w:rsidRPr="006A4CD7">
        <w:rPr>
          <w:rFonts w:cs="Times New Roman"/>
          <w:szCs w:val="24"/>
        </w:rPr>
        <w:t xml:space="preserve">, 384 F.3d at 711 n.8;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711 (noting that Ninth Circuit definition, like that in other circuits, applies “rule of reason” so that “the causation element … serves as a logical parameter to the range of gross profits a copyright plaintiff may seek”).</w:t>
      </w:r>
    </w:p>
    <w:p w14:paraId="1485768D" w14:textId="77777777" w:rsidR="006A4CD7" w:rsidRPr="006A4CD7" w:rsidRDefault="006A4CD7" w:rsidP="0060759C">
      <w:pPr>
        <w:numPr>
          <w:ilvl w:val="12"/>
          <w:numId w:val="0"/>
        </w:numPr>
        <w:autoSpaceDE w:val="0"/>
        <w:autoSpaceDN w:val="0"/>
        <w:adjustRightInd w:val="0"/>
        <w:rPr>
          <w:rFonts w:cs="Times New Roman"/>
          <w:szCs w:val="24"/>
        </w:rPr>
      </w:pPr>
    </w:p>
    <w:p w14:paraId="37AD91F3"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Where the defendant’s profits are derived from both infringing and </w:t>
      </w:r>
      <w:proofErr w:type="spellStart"/>
      <w:r w:rsidRPr="006A4CD7">
        <w:rPr>
          <w:rFonts w:cs="Times New Roman"/>
          <w:szCs w:val="24"/>
        </w:rPr>
        <w:t>noninfringing</w:t>
      </w:r>
      <w:proofErr w:type="spellEnd"/>
      <w:r w:rsidRPr="006A4CD7">
        <w:rPr>
          <w:rFonts w:cs="Times New Roman"/>
          <w:szCs w:val="24"/>
        </w:rPr>
        <w:t xml:space="preserve"> activities, not all of the defendant’s profits can be attributed to the infringement.  Accordingly, the profits should be apportioned.  </w:t>
      </w:r>
      <w:r w:rsidRPr="006A4CD7">
        <w:rPr>
          <w:rFonts w:cs="Times New Roman"/>
          <w:i/>
          <w:iCs/>
          <w:szCs w:val="24"/>
        </w:rPr>
        <w:t>See</w:t>
      </w:r>
      <w:r w:rsidRPr="006A4CD7">
        <w:rPr>
          <w:rFonts w:cs="Times New Roman"/>
          <w:szCs w:val="24"/>
        </w:rPr>
        <w:t xml:space="preserve"> </w:t>
      </w:r>
      <w:r w:rsidRPr="006A4CD7">
        <w:rPr>
          <w:rFonts w:cs="Times New Roman"/>
          <w:i/>
          <w:iCs/>
          <w:szCs w:val="24"/>
        </w:rPr>
        <w:t>Cream</w:t>
      </w:r>
      <w:r w:rsidRPr="006A4CD7">
        <w:rPr>
          <w:rFonts w:cs="Times New Roman"/>
          <w:szCs w:val="24"/>
        </w:rPr>
        <w:t xml:space="preserve"> </w:t>
      </w:r>
      <w:r w:rsidRPr="006A4CD7">
        <w:rPr>
          <w:rFonts w:cs="Times New Roman"/>
          <w:i/>
          <w:iCs/>
          <w:szCs w:val="24"/>
        </w:rPr>
        <w:t>Records, Inc. v. Joseph Schlitz Brewing Co.</w:t>
      </w:r>
      <w:r w:rsidRPr="006A4CD7">
        <w:rPr>
          <w:rFonts w:cs="Times New Roman"/>
          <w:szCs w:val="24"/>
        </w:rPr>
        <w:t xml:space="preserve">, 754 F.2d 826, 828-29 (9th Cir. 1985); </w:t>
      </w:r>
      <w:r w:rsidRPr="006A4CD7">
        <w:rPr>
          <w:rFonts w:cs="Times New Roman"/>
          <w:i/>
          <w:iCs/>
          <w:szCs w:val="24"/>
        </w:rPr>
        <w:t>Polar Bear Prods.</w:t>
      </w:r>
      <w:r w:rsidRPr="006A4CD7">
        <w:rPr>
          <w:rFonts w:cs="Times New Roman"/>
          <w:szCs w:val="24"/>
        </w:rPr>
        <w:t xml:space="preserve">, 384 F.3d at 711-12 (“[T]o conclude that a copyright plaintiff need only provide the company’s overall gross revenue, without regard to the infringement, would make little practical or legal sense.”).  However, the benefit of the doubt in apportioning profits is given to the plaintiff.  </w:t>
      </w:r>
      <w:r w:rsidRPr="006A4CD7">
        <w:rPr>
          <w:rFonts w:cs="Times New Roman"/>
          <w:i/>
          <w:iCs/>
          <w:szCs w:val="24"/>
        </w:rPr>
        <w:t>See Frank Music Corp. v. Metro-Goldwyn-Mayer, Inc.</w:t>
      </w:r>
      <w:r w:rsidRPr="006A4CD7">
        <w:rPr>
          <w:rFonts w:cs="Times New Roman"/>
          <w:szCs w:val="24"/>
        </w:rPr>
        <w:t xml:space="preserve">, 886 F.2d 1545, 1549 (9th Cir. 1989) (appeal after remand).  Precision is not required, as long as a “reasonable and just apportionment” of profits is reached.  </w:t>
      </w:r>
      <w:r w:rsidRPr="006A4CD7">
        <w:rPr>
          <w:rFonts w:cs="Times New Roman"/>
          <w:i/>
          <w:iCs/>
          <w:szCs w:val="24"/>
        </w:rPr>
        <w:t xml:space="preserve">See Frank Music Corp., </w:t>
      </w:r>
      <w:r w:rsidRPr="006A4CD7">
        <w:rPr>
          <w:rFonts w:cs="Times New Roman"/>
          <w:szCs w:val="24"/>
        </w:rPr>
        <w:t xml:space="preserve">772 F.2d at 518.  In the final analysis, “where infringing and </w:t>
      </w:r>
      <w:proofErr w:type="spellStart"/>
      <w:r w:rsidRPr="006A4CD7">
        <w:rPr>
          <w:rFonts w:cs="Times New Roman"/>
          <w:szCs w:val="24"/>
        </w:rPr>
        <w:t>noninfringing</w:t>
      </w:r>
      <w:proofErr w:type="spellEnd"/>
      <w:r w:rsidRPr="006A4CD7">
        <w:rPr>
          <w:rFonts w:cs="Times New Roman"/>
          <w:szCs w:val="24"/>
        </w:rPr>
        <w:t xml:space="preserve"> elements of a work cannot be readily separated, all of a defendant’s profits should be awarded to a plaintiff.”  </w:t>
      </w:r>
    </w:p>
    <w:p w14:paraId="565FFDB3" w14:textId="77777777" w:rsidR="0013409D" w:rsidRDefault="0013409D" w:rsidP="0060759C">
      <w:pPr>
        <w:numPr>
          <w:ilvl w:val="12"/>
          <w:numId w:val="0"/>
        </w:numPr>
        <w:autoSpaceDE w:val="0"/>
        <w:autoSpaceDN w:val="0"/>
        <w:adjustRightInd w:val="0"/>
        <w:rPr>
          <w:rFonts w:cs="Times New Roman"/>
          <w:szCs w:val="24"/>
        </w:rPr>
      </w:pPr>
    </w:p>
    <w:p w14:paraId="5F21BED6" w14:textId="18C4F10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i/>
          <w:iCs/>
          <w:szCs w:val="24"/>
        </w:rPr>
        <w:t>Nintendo of Am., Inc. v. Dragon Pac. Int’l</w:t>
      </w:r>
      <w:r w:rsidRPr="006A4CD7">
        <w:rPr>
          <w:rFonts w:cs="Times New Roman"/>
          <w:szCs w:val="24"/>
        </w:rPr>
        <w:t xml:space="preserve">, 40 F.3d 1007, 1012 (9th Cir. 1994). </w:t>
      </w:r>
    </w:p>
    <w:p w14:paraId="2CA310C1" w14:textId="77777777" w:rsidR="006A4CD7" w:rsidRPr="006A4CD7" w:rsidRDefault="006A4CD7" w:rsidP="0060759C">
      <w:pPr>
        <w:numPr>
          <w:ilvl w:val="12"/>
          <w:numId w:val="0"/>
        </w:numPr>
        <w:autoSpaceDE w:val="0"/>
        <w:autoSpaceDN w:val="0"/>
        <w:adjustRightInd w:val="0"/>
        <w:rPr>
          <w:rFonts w:cs="Times New Roman"/>
          <w:szCs w:val="24"/>
        </w:rPr>
      </w:pPr>
    </w:p>
    <w:p w14:paraId="06C67D0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calculation of profits, </w:t>
      </w:r>
      <w:r w:rsidRPr="006A4CD7">
        <w:rPr>
          <w:rFonts w:cs="Times New Roman"/>
          <w:i/>
          <w:iCs/>
          <w:szCs w:val="24"/>
        </w:rPr>
        <w:t>see Polar Bear Prods.</w:t>
      </w:r>
      <w:r w:rsidRPr="006A4CD7">
        <w:rPr>
          <w:rFonts w:cs="Times New Roman"/>
          <w:szCs w:val="24"/>
        </w:rPr>
        <w:t xml:space="preserve">, 384 F.3d at 712-16 (upholding award of profits based on expert testimony of certain sales figures but rejecting award for enhanced brand prestige); </w:t>
      </w:r>
      <w:r w:rsidRPr="006A4CD7">
        <w:rPr>
          <w:rFonts w:cs="Times New Roman"/>
          <w:i/>
          <w:iCs/>
          <w:szCs w:val="24"/>
        </w:rPr>
        <w:t>Frank Music Corp.</w:t>
      </w:r>
      <w:r w:rsidRPr="006A4CD7">
        <w:rPr>
          <w:rFonts w:cs="Times New Roman"/>
          <w:szCs w:val="24"/>
        </w:rPr>
        <w:t xml:space="preserve">, 772 F.2d at 519 (discussing calculation and proof of profits attributable to infringement and holding that indirect profits are recoverable if ascertainable; e.g., plaintiff could claim profits resulting from hotel and gambling operations resulting from infringing stage show); </w:t>
      </w:r>
      <w:r w:rsidRPr="006A4CD7">
        <w:rPr>
          <w:rFonts w:cs="Times New Roman"/>
          <w:i/>
          <w:iCs/>
          <w:szCs w:val="24"/>
        </w:rPr>
        <w:t>Cream Records</w:t>
      </w:r>
      <w:r w:rsidRPr="006A4CD7">
        <w:rPr>
          <w:rFonts w:cs="Times New Roman"/>
          <w:szCs w:val="24"/>
        </w:rPr>
        <w:t xml:space="preserve">, 754 F.2d at 828-29 (awarding profits from defendant’s sale of beverage following defendant’s use of plaintiff’s song in commercial); and </w:t>
      </w:r>
      <w:r w:rsidRPr="006A4CD7">
        <w:rPr>
          <w:rFonts w:cs="Times New Roman"/>
          <w:i/>
          <w:iCs/>
          <w:szCs w:val="24"/>
        </w:rPr>
        <w:t>May v. Watt</w:t>
      </w:r>
      <w:r w:rsidRPr="006A4CD7">
        <w:rPr>
          <w:rFonts w:cs="Times New Roman"/>
          <w:szCs w:val="24"/>
        </w:rPr>
        <w:t xml:space="preserve">, 822 F.2d 896, 901 (9th Cir. 1987) (involving increase in value of condominium through use of infringed architectural plans); </w:t>
      </w:r>
      <w:r w:rsidRPr="006A4CD7">
        <w:rPr>
          <w:rFonts w:cs="Times New Roman"/>
          <w:i/>
          <w:iCs/>
          <w:szCs w:val="24"/>
        </w:rPr>
        <w:t>Lucky Break Wishbone Corp. v. Sears Roebuck &amp; Co.</w:t>
      </w:r>
      <w:r w:rsidRPr="006A4CD7">
        <w:rPr>
          <w:rFonts w:cs="Times New Roman"/>
          <w:szCs w:val="24"/>
        </w:rPr>
        <w:t xml:space="preserve">, 373 </w:t>
      </w:r>
      <w:proofErr w:type="spellStart"/>
      <w:r w:rsidRPr="006A4CD7">
        <w:rPr>
          <w:rFonts w:cs="Times New Roman"/>
          <w:szCs w:val="24"/>
        </w:rPr>
        <w:t>Fed.App’x</w:t>
      </w:r>
      <w:proofErr w:type="spellEnd"/>
      <w:r w:rsidRPr="006A4CD7">
        <w:rPr>
          <w:rFonts w:cs="Times New Roman"/>
          <w:szCs w:val="24"/>
        </w:rPr>
        <w:t xml:space="preserve"> 752, 757-58 (9th Cir. 2010) (applying presumption, in unpublished disposition, that jury “fulfilled its duty to apportion profits” although the jury failed to apportion profits explicitly).</w:t>
      </w:r>
    </w:p>
    <w:p w14:paraId="07B64E62" w14:textId="77777777" w:rsidR="006A4CD7" w:rsidRPr="006A4CD7" w:rsidRDefault="006A4CD7" w:rsidP="0060759C">
      <w:pPr>
        <w:numPr>
          <w:ilvl w:val="12"/>
          <w:numId w:val="0"/>
        </w:numPr>
        <w:autoSpaceDE w:val="0"/>
        <w:autoSpaceDN w:val="0"/>
        <w:adjustRightInd w:val="0"/>
        <w:rPr>
          <w:rFonts w:cs="Times New Roman"/>
          <w:szCs w:val="24"/>
        </w:rPr>
      </w:pPr>
    </w:p>
    <w:p w14:paraId="77E9AFD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deductions from defendant’s gross revenue, </w:t>
      </w:r>
      <w:r w:rsidRPr="006A4CD7">
        <w:rPr>
          <w:rFonts w:cs="Times New Roman"/>
          <w:i/>
          <w:iCs/>
          <w:szCs w:val="24"/>
        </w:rPr>
        <w:t>see Frank Music Corp.</w:t>
      </w:r>
      <w:r w:rsidRPr="006A4CD7">
        <w:rPr>
          <w:rFonts w:cs="Times New Roman"/>
          <w:szCs w:val="24"/>
        </w:rPr>
        <w:t xml:space="preserve">, 886 F.2d at 1548 (deducting direct costs of production from defendant’s gross profit); </w:t>
      </w:r>
      <w:r w:rsidRPr="006A4CD7">
        <w:rPr>
          <w:rFonts w:cs="Times New Roman"/>
          <w:i/>
          <w:iCs/>
          <w:szCs w:val="24"/>
        </w:rPr>
        <w:t xml:space="preserve">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xml:space="preserve">., 752 F.2d 1326, 1332 (9th Cir. 1984) (allowing deduction of overhead when infringer can demonstrate that it actually assisted production, distribution or sale of infringing product); </w:t>
      </w:r>
      <w:r w:rsidRPr="006A4CD7">
        <w:rPr>
          <w:rFonts w:cs="Times New Roman"/>
          <w:i/>
          <w:iCs/>
          <w:szCs w:val="24"/>
        </w:rPr>
        <w:t>Three Boys Music</w:t>
      </w:r>
      <w:r w:rsidRPr="006A4CD7">
        <w:rPr>
          <w:rFonts w:cs="Times New Roman"/>
          <w:szCs w:val="24"/>
        </w:rPr>
        <w:t xml:space="preserve">, 212 F.3d at 487 (adopting special master’s recommendation to allow </w:t>
      </w:r>
      <w:proofErr w:type="spellStart"/>
      <w:r w:rsidRPr="006A4CD7">
        <w:rPr>
          <w:rFonts w:cs="Times New Roman"/>
          <w:szCs w:val="24"/>
        </w:rPr>
        <w:t>nonwillful</w:t>
      </w:r>
      <w:proofErr w:type="spellEnd"/>
      <w:r w:rsidRPr="006A4CD7">
        <w:rPr>
          <w:rFonts w:cs="Times New Roman"/>
          <w:szCs w:val="24"/>
        </w:rPr>
        <w:t xml:space="preserve"> infringers to deduct income taxes and management fees actually paid on infringing profits, but not on Net Operating Loss Carry-forward (NOL) because NOL did not have “concrete financial impact”).</w:t>
      </w: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1B453486" w14:textId="34ED66C0" w:rsidR="00317DA8" w:rsidRDefault="006A4CD7" w:rsidP="00D057F8">
      <w:pPr>
        <w:pStyle w:val="Heading2"/>
      </w:pPr>
      <w:r w:rsidRPr="006A4CD7">
        <w:br w:type="page"/>
      </w:r>
      <w:bookmarkStart w:id="348" w:name="_Toc117512625"/>
      <w:r w:rsidRPr="006A4CD7">
        <w:t xml:space="preserve">17.35 </w:t>
      </w:r>
      <w:r w:rsidR="008B5FFD" w:rsidRPr="008B5FFD">
        <w:t>Copyright—Damages—Statutory Damages</w:t>
      </w:r>
      <w:bookmarkEnd w:id="348"/>
      <w:r w:rsidR="008B5FFD" w:rsidRPr="008B5FFD">
        <w:t xml:space="preserve"> </w:t>
      </w:r>
    </w:p>
    <w:p w14:paraId="0811C11B" w14:textId="11673A4C" w:rsidR="006A4CD7" w:rsidRPr="006A4CD7" w:rsidRDefault="006A4CD7" w:rsidP="00D057F8">
      <w:pPr>
        <w:pStyle w:val="Heading2"/>
      </w:pPr>
      <w:bookmarkStart w:id="349" w:name="_Toc117512626"/>
      <w:r w:rsidRPr="006A4CD7">
        <w:t>(17 U.S.C. § 504(c))</w:t>
      </w:r>
      <w:bookmarkEnd w:id="349"/>
    </w:p>
    <w:p w14:paraId="2C29CFEC" w14:textId="77777777" w:rsidR="006A4CD7" w:rsidRPr="006A4CD7" w:rsidRDefault="006A4CD7" w:rsidP="0060759C">
      <w:pPr>
        <w:numPr>
          <w:ilvl w:val="12"/>
          <w:numId w:val="0"/>
        </w:numPr>
        <w:autoSpaceDE w:val="0"/>
        <w:autoSpaceDN w:val="0"/>
        <w:adjustRightInd w:val="0"/>
        <w:rPr>
          <w:rFonts w:cs="Times New Roman"/>
          <w:szCs w:val="24"/>
        </w:rPr>
      </w:pPr>
    </w:p>
    <w:p w14:paraId="03D8F818" w14:textId="62DA0AC4" w:rsidR="005721C4" w:rsidRPr="0018306A" w:rsidRDefault="005721C4" w:rsidP="005721C4">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35B260E6" w14:textId="77777777" w:rsidR="005721C4" w:rsidRPr="0018306A" w:rsidRDefault="005721C4" w:rsidP="005721C4">
      <w:pPr>
        <w:pStyle w:val="BodyText"/>
        <w:spacing w:before="2"/>
      </w:pPr>
    </w:p>
    <w:p w14:paraId="173C2987" w14:textId="77777777" w:rsidR="005721C4" w:rsidRPr="0018306A" w:rsidRDefault="005721C4" w:rsidP="005721C4">
      <w:pPr>
        <w:pStyle w:val="BodyText"/>
        <w:ind w:left="820"/>
      </w:pPr>
      <w:r w:rsidRPr="0018306A">
        <w:t>The amount you may award as statutory damages is not less than $750, nor more than</w:t>
      </w:r>
    </w:p>
    <w:p w14:paraId="7A11EEF0" w14:textId="77777777" w:rsidR="005721C4" w:rsidRPr="0018306A" w:rsidRDefault="005721C4" w:rsidP="005721C4">
      <w:pPr>
        <w:pStyle w:val="BodyText"/>
        <w:spacing w:before="7"/>
        <w:ind w:left="100"/>
      </w:pPr>
      <w:r w:rsidRPr="0018306A">
        <w:t>$30,000 for each work you conclude was infringed.</w:t>
      </w:r>
    </w:p>
    <w:p w14:paraId="1D0877A8" w14:textId="77777777" w:rsidR="005721C4" w:rsidRPr="0018306A" w:rsidRDefault="005721C4" w:rsidP="005721C4">
      <w:pPr>
        <w:pStyle w:val="BodyText"/>
        <w:spacing w:before="3"/>
      </w:pPr>
    </w:p>
    <w:p w14:paraId="68E33548" w14:textId="77777777" w:rsidR="005721C4" w:rsidRPr="0018306A" w:rsidRDefault="005721C4" w:rsidP="005721C4">
      <w:pPr>
        <w:pStyle w:val="BodyText"/>
        <w:spacing w:line="247" w:lineRule="auto"/>
        <w:ind w:left="100" w:right="129" w:firstLine="720"/>
      </w:pPr>
      <w:r w:rsidRPr="0018306A">
        <w:t>[However, if you find the infringement was innocent, you may award as little as $200 for each work innocently infringed.]</w:t>
      </w:r>
    </w:p>
    <w:p w14:paraId="6F7FEF68" w14:textId="77777777" w:rsidR="005721C4" w:rsidRPr="0018306A" w:rsidRDefault="005721C4" w:rsidP="005721C4">
      <w:pPr>
        <w:pStyle w:val="BodyText"/>
        <w:spacing w:before="5"/>
      </w:pPr>
    </w:p>
    <w:p w14:paraId="1A106A56" w14:textId="77777777" w:rsidR="005721C4" w:rsidRPr="0018306A" w:rsidRDefault="005721C4" w:rsidP="005721C4">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02CC1AF8" w14:textId="77777777" w:rsidR="005721C4" w:rsidRPr="0018306A" w:rsidRDefault="005721C4" w:rsidP="005721C4">
      <w:pPr>
        <w:pStyle w:val="BodyText"/>
        <w:spacing w:before="4"/>
      </w:pPr>
    </w:p>
    <w:p w14:paraId="6B3358A2" w14:textId="163EEE03" w:rsidR="005721C4" w:rsidRDefault="005721C4" w:rsidP="005721C4">
      <w:pPr>
        <w:spacing w:before="59" w:line="247" w:lineRule="auto"/>
        <w:ind w:left="100" w:right="662" w:firstLine="720"/>
        <w:rPr>
          <w:rFonts w:cs="Times New Roman"/>
          <w:szCs w:val="24"/>
        </w:rPr>
      </w:pPr>
      <w:r w:rsidRPr="0018306A">
        <w:rPr>
          <w:rFonts w:cs="Times New Roman"/>
          <w:szCs w:val="24"/>
        </w:rPr>
        <w:t xml:space="preserve">[Instruction[s] </w:t>
      </w:r>
      <w:r w:rsidRPr="0018306A">
        <w:rPr>
          <w:rFonts w:cs="Times New Roman"/>
          <w:szCs w:val="24"/>
          <w:u w:val="single"/>
        </w:rPr>
        <w:t>[</w:t>
      </w:r>
      <w:r w:rsidRPr="0018306A">
        <w:rPr>
          <w:rFonts w:cs="Times New Roman"/>
          <w:i/>
          <w:szCs w:val="24"/>
          <w:u w:val="single"/>
        </w:rPr>
        <w:t>insert number of pertinent instruction, e.g., Instruction 17.36</w:t>
      </w:r>
      <w:r w:rsidRPr="0018306A">
        <w:rPr>
          <w:rFonts w:cs="Times New Roman"/>
          <w:i/>
          <w:szCs w:val="24"/>
        </w:rPr>
        <w:t xml:space="preserve"> </w:t>
      </w:r>
      <w:r w:rsidRPr="0018306A">
        <w:rPr>
          <w:rFonts w:cs="Times New Roman"/>
          <w:i/>
          <w:szCs w:val="24"/>
          <w:u w:val="single"/>
        </w:rPr>
        <w:t>(Copyright—Damages—Innocent Infringement), Instruction 17.37</w:t>
      </w:r>
      <w:r w:rsidRPr="0018306A">
        <w:rPr>
          <w:rFonts w:cs="Times New Roman"/>
          <w:i/>
          <w:spacing w:val="-28"/>
          <w:szCs w:val="24"/>
          <w:u w:val="single"/>
        </w:rPr>
        <w:t xml:space="preserve"> </w:t>
      </w:r>
      <w:r w:rsidRPr="0018306A">
        <w:rPr>
          <w:rFonts w:cs="Times New Roman"/>
          <w:i/>
          <w:szCs w:val="24"/>
          <w:u w:val="single"/>
        </w:rPr>
        <w:t>(Copyright—Damages—</w:t>
      </w:r>
      <w:r w:rsidRPr="0018306A">
        <w:rPr>
          <w:rFonts w:cs="Times New Roman"/>
          <w:i/>
          <w:szCs w:val="24"/>
        </w:rPr>
        <w:t xml:space="preserve"> </w:t>
      </w:r>
      <w:r w:rsidRPr="0018306A">
        <w:rPr>
          <w:rFonts w:cs="Times New Roman"/>
          <w:i/>
          <w:szCs w:val="24"/>
          <w:u w:val="single"/>
        </w:rPr>
        <w:t>Willful Infringement)</w:t>
      </w:r>
      <w:r w:rsidRPr="0018306A">
        <w:rPr>
          <w:rFonts w:cs="Times New Roman"/>
          <w:szCs w:val="24"/>
          <w:u w:val="single"/>
        </w:rPr>
        <w:t>]</w:t>
      </w:r>
      <w:r w:rsidRPr="0018306A">
        <w:rPr>
          <w:rFonts w:cs="Times New Roman"/>
          <w:szCs w:val="24"/>
        </w:rPr>
        <w:t xml:space="preserve"> will tell you [what constitutes innocent infringement] [and] [what constitutes willful</w:t>
      </w:r>
      <w:r w:rsidRPr="0018306A">
        <w:rPr>
          <w:rFonts w:cs="Times New Roman"/>
          <w:spacing w:val="-1"/>
          <w:szCs w:val="24"/>
        </w:rPr>
        <w:t xml:space="preserve"> </w:t>
      </w:r>
      <w:r w:rsidRPr="0018306A">
        <w:rPr>
          <w:rFonts w:cs="Times New Roman"/>
          <w:szCs w:val="24"/>
        </w:rPr>
        <w:t>infringement]].</w:t>
      </w:r>
    </w:p>
    <w:p w14:paraId="073DA470" w14:textId="77777777" w:rsidR="005721C4" w:rsidRPr="009876AE" w:rsidRDefault="005721C4" w:rsidP="009876AE">
      <w:pPr>
        <w:jc w:val="center"/>
        <w:rPr>
          <w:b/>
          <w:bCs/>
        </w:rPr>
      </w:pPr>
    </w:p>
    <w:p w14:paraId="2BDC3611" w14:textId="77777777" w:rsidR="005721C4" w:rsidRPr="009876AE" w:rsidRDefault="005721C4" w:rsidP="009876AE">
      <w:pPr>
        <w:jc w:val="center"/>
        <w:rPr>
          <w:b/>
          <w:bCs/>
        </w:rPr>
      </w:pPr>
      <w:r w:rsidRPr="009876AE">
        <w:rPr>
          <w:b/>
          <w:bCs/>
        </w:rPr>
        <w:t>Comment</w:t>
      </w:r>
    </w:p>
    <w:p w14:paraId="3A12F448" w14:textId="77777777" w:rsidR="005721C4" w:rsidRPr="0018306A" w:rsidRDefault="005721C4" w:rsidP="00BF5CD7">
      <w:pPr>
        <w:pStyle w:val="Heading1"/>
      </w:pPr>
    </w:p>
    <w:p w14:paraId="04323A4A" w14:textId="77777777" w:rsidR="005721C4" w:rsidRPr="00821CC0" w:rsidRDefault="005721C4" w:rsidP="005721C4">
      <w:pPr>
        <w:pStyle w:val="BodyText"/>
        <w:spacing w:line="247" w:lineRule="auto"/>
        <w:ind w:left="101" w:right="389" w:firstLine="720"/>
      </w:pPr>
      <w:r w:rsidRPr="0018306A">
        <w:t>The jury should be provided with a special interrogatory form in order to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t>s</w:t>
      </w:r>
      <w:r w:rsidRPr="00821CC0">
        <w:t xml:space="preserve"> is $150,000.  17 U.S.C. § 504(c)(2).</w:t>
      </w:r>
    </w:p>
    <w:p w14:paraId="15F2CAFA" w14:textId="77777777" w:rsidR="005721C4" w:rsidRPr="00821CC0" w:rsidRDefault="005721C4" w:rsidP="005721C4">
      <w:pPr>
        <w:pStyle w:val="BodyText"/>
        <w:spacing w:line="247" w:lineRule="auto"/>
        <w:ind w:left="101" w:right="389" w:firstLine="720"/>
      </w:pPr>
    </w:p>
    <w:p w14:paraId="1E61A51A" w14:textId="77777777" w:rsidR="005721C4" w:rsidRPr="00821CC0" w:rsidRDefault="005721C4" w:rsidP="005721C4">
      <w:pPr>
        <w:spacing w:line="247" w:lineRule="auto"/>
        <w:ind w:left="101" w:right="173" w:firstLine="720"/>
        <w:jc w:val="both"/>
        <w:rPr>
          <w:rFonts w:cs="Times New Roman"/>
          <w:szCs w:val="24"/>
        </w:rPr>
      </w:pPr>
      <w:r w:rsidRPr="00821CC0">
        <w:rPr>
          <w:rFonts w:cs="Times New Roman"/>
          <w:szCs w:val="24"/>
        </w:rPr>
        <w:t xml:space="preserve">The Seventh Amendment provides for the right to a jury trial on statutory damage issues, including the amount of such award. </w:t>
      </w:r>
      <w:r w:rsidRPr="00821CC0">
        <w:rPr>
          <w:rFonts w:cs="Times New Roman"/>
          <w:i/>
          <w:szCs w:val="24"/>
        </w:rPr>
        <w:t>See Feltner v. Columbia Pictures Television, Inc</w:t>
      </w:r>
      <w:r w:rsidRPr="00821CC0">
        <w:rPr>
          <w:rFonts w:cs="Times New Roman"/>
          <w:szCs w:val="24"/>
        </w:rPr>
        <w:t>., 523 U.S. 340, 355 (1998).</w:t>
      </w:r>
    </w:p>
    <w:p w14:paraId="2307867A" w14:textId="77777777" w:rsidR="005721C4" w:rsidRPr="00821CC0" w:rsidRDefault="005721C4" w:rsidP="005721C4">
      <w:pPr>
        <w:spacing w:line="247" w:lineRule="auto"/>
        <w:ind w:left="101" w:right="173" w:firstLine="720"/>
        <w:jc w:val="both"/>
        <w:rPr>
          <w:rFonts w:cs="Times New Roman"/>
          <w:szCs w:val="24"/>
        </w:rPr>
      </w:pPr>
    </w:p>
    <w:p w14:paraId="72BEBA5A" w14:textId="7138FC38" w:rsidR="005721C4" w:rsidRDefault="005721C4" w:rsidP="005721C4">
      <w:pPr>
        <w:spacing w:line="247" w:lineRule="auto"/>
        <w:ind w:left="100" w:right="171" w:firstLine="720"/>
        <w:jc w:val="both"/>
        <w:rPr>
          <w:rFonts w:cs="Times New Roman"/>
          <w:szCs w:val="24"/>
        </w:rPr>
      </w:pPr>
      <w:r w:rsidRPr="00821CC0">
        <w:rPr>
          <w:rFonts w:cs="Times New Roman"/>
          <w:szCs w:val="24"/>
        </w:rPr>
        <w:t xml:space="preserve">There is wide discretion in determining the amount of statutory damages, constrained only by the specified statutory maximum and minimum. </w:t>
      </w:r>
      <w:r w:rsidRPr="00821CC0">
        <w:rPr>
          <w:rFonts w:cs="Times New Roman"/>
          <w:i/>
          <w:szCs w:val="24"/>
        </w:rPr>
        <w:t>See Dream Games of Ariz., Inc. v. PC Onsite</w:t>
      </w:r>
      <w:r w:rsidRPr="00821CC0">
        <w:rPr>
          <w:rFonts w:cs="Times New Roman"/>
          <w:szCs w:val="24"/>
        </w:rPr>
        <w:t xml:space="preserve">, 561 F.3d 983, 992 (9th Cir. 2009); </w:t>
      </w:r>
      <w:r w:rsidRPr="00821CC0">
        <w:rPr>
          <w:rFonts w:cs="Times New Roman"/>
          <w:i/>
          <w:szCs w:val="24"/>
        </w:rPr>
        <w:t>L.A. News Serv. v. Reuters Television Int’l</w:t>
      </w:r>
      <w:r w:rsidRPr="00821CC0">
        <w:rPr>
          <w:rFonts w:cs="Times New Roman"/>
          <w:szCs w:val="24"/>
        </w:rPr>
        <w:t xml:space="preserve">, 149 F.3d 987, 996 (9th Cir. 1998); </w:t>
      </w:r>
      <w:r w:rsidRPr="00821CC0">
        <w:rPr>
          <w:rFonts w:cs="Times New Roman"/>
          <w:i/>
          <w:szCs w:val="24"/>
        </w:rPr>
        <w:t>Harris v. Emus Records Corp.</w:t>
      </w:r>
      <w:r w:rsidRPr="00821CC0">
        <w:rPr>
          <w:rFonts w:cs="Times New Roman"/>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3230D3ED" w14:textId="77777777" w:rsidR="005721C4" w:rsidRPr="00821CC0" w:rsidRDefault="005721C4" w:rsidP="005721C4">
      <w:pPr>
        <w:spacing w:line="247" w:lineRule="auto"/>
        <w:ind w:left="100" w:right="171" w:firstLine="720"/>
        <w:jc w:val="both"/>
        <w:rPr>
          <w:rFonts w:cs="Times New Roman"/>
          <w:szCs w:val="24"/>
        </w:rPr>
      </w:pPr>
    </w:p>
    <w:p w14:paraId="1A000C34" w14:textId="77777777" w:rsidR="005721C4" w:rsidRPr="00821CC0" w:rsidRDefault="005721C4" w:rsidP="005721C4">
      <w:pPr>
        <w:pStyle w:val="BodyText"/>
        <w:spacing w:line="247" w:lineRule="auto"/>
        <w:ind w:left="100" w:right="120" w:firstLine="720"/>
      </w:pPr>
      <w:r w:rsidRPr="00821CC0">
        <w:t xml:space="preserve">Because statutory damages serve both compensatory and punitive purposes, plaintiff can recover statutory damages whether or not there is adequate evidence of the actual damage suffered by plaintiff or the profits reaped by the defendant. </w:t>
      </w:r>
      <w:r w:rsidRPr="00821CC0">
        <w:rPr>
          <w:i/>
        </w:rPr>
        <w:t>See L.A. News Serv.</w:t>
      </w:r>
      <w:r w:rsidRPr="00821CC0">
        <w:t xml:space="preserve">, 149 F.3d at 996; </w:t>
      </w:r>
      <w:r w:rsidRPr="00821CC0">
        <w:rPr>
          <w:i/>
        </w:rPr>
        <w:t xml:space="preserve">Peer Int’l Corp. v. </w:t>
      </w:r>
      <w:proofErr w:type="spellStart"/>
      <w:r w:rsidRPr="00821CC0">
        <w:rPr>
          <w:i/>
        </w:rPr>
        <w:t>Pausa</w:t>
      </w:r>
      <w:proofErr w:type="spellEnd"/>
      <w:r w:rsidRPr="00821CC0">
        <w:rPr>
          <w:i/>
        </w:rPr>
        <w:t xml:space="preserve">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0EE0E3F6" w14:textId="77777777" w:rsidR="005721C4" w:rsidRPr="00821CC0" w:rsidRDefault="005721C4" w:rsidP="005721C4">
      <w:pPr>
        <w:pStyle w:val="BodyText"/>
        <w:spacing w:before="1"/>
      </w:pPr>
    </w:p>
    <w:p w14:paraId="64960944" w14:textId="4E7EAFC3" w:rsidR="005721C4" w:rsidRDefault="005721C4" w:rsidP="005721C4">
      <w:pPr>
        <w:spacing w:line="247" w:lineRule="auto"/>
        <w:ind w:left="100" w:right="182" w:firstLine="720"/>
        <w:rPr>
          <w:rFonts w:cs="Times New Roman"/>
          <w:szCs w:val="24"/>
        </w:rPr>
      </w:pPr>
      <w:r w:rsidRPr="00821CC0">
        <w:rPr>
          <w:rFonts w:cs="Times New Roman"/>
          <w:szCs w:val="24"/>
        </w:rPr>
        <w:t xml:space="preserve">Statutory damages are precluded when the copyright holder does not register the copyright before commencement of the infringement. </w:t>
      </w:r>
      <w:r w:rsidRPr="00821CC0">
        <w:rPr>
          <w:rFonts w:cs="Times New Roman"/>
          <w:i/>
          <w:szCs w:val="24"/>
        </w:rPr>
        <w:t>See Derek Andrew, Inc. v. Poof Apparel Corp.</w:t>
      </w:r>
      <w:r w:rsidRPr="00821CC0">
        <w:rPr>
          <w:rFonts w:cs="Times New Roman"/>
          <w:szCs w:val="24"/>
        </w:rPr>
        <w:t xml:space="preserve">, 528 F.3d 696, 699 (9th Cir. 2008); </w:t>
      </w:r>
      <w:r w:rsidRPr="00821CC0">
        <w:rPr>
          <w:rFonts w:cs="Times New Roman"/>
          <w:i/>
          <w:szCs w:val="24"/>
        </w:rPr>
        <w:t>Polar Bear Prods., Inc. v. Timex Corp</w:t>
      </w:r>
      <w:r w:rsidRPr="00821CC0">
        <w:rPr>
          <w:rFonts w:cs="Times New Roman"/>
          <w:szCs w:val="24"/>
        </w:rPr>
        <w:t xml:space="preserve">., 384 F.3d 700, 707 n.5 (9th Cir. 2004); </w:t>
      </w:r>
      <w:r w:rsidRPr="00821CC0">
        <w:rPr>
          <w:rFonts w:cs="Times New Roman"/>
          <w:i/>
          <w:szCs w:val="24"/>
        </w:rPr>
        <w:t xml:space="preserve">Mackie v. </w:t>
      </w:r>
      <w:proofErr w:type="spellStart"/>
      <w:r w:rsidRPr="00821CC0">
        <w:rPr>
          <w:rFonts w:cs="Times New Roman"/>
          <w:i/>
          <w:szCs w:val="24"/>
        </w:rPr>
        <w:t>Rieser</w:t>
      </w:r>
      <w:proofErr w:type="spellEnd"/>
      <w:r w:rsidRPr="00821CC0">
        <w:rPr>
          <w:rFonts w:cs="Times New Roman"/>
          <w:szCs w:val="24"/>
        </w:rPr>
        <w:t>, 296 F.3d 909, 912 n.3 (9th Cir. 2002). Nor are statutory damages awarded if the infringing activity started after the date of first publication but before the effective date of registration of the work, unless the copyright for the infringed work was registered within three months after the work was first published. 17 U.S.C. § 412.</w:t>
      </w:r>
    </w:p>
    <w:p w14:paraId="6D29A201" w14:textId="77777777" w:rsidR="005721C4" w:rsidRPr="00821CC0" w:rsidRDefault="005721C4" w:rsidP="005721C4">
      <w:pPr>
        <w:spacing w:line="247" w:lineRule="auto"/>
        <w:ind w:left="100" w:right="182" w:firstLine="720"/>
        <w:rPr>
          <w:rFonts w:cs="Times New Roman"/>
          <w:szCs w:val="24"/>
        </w:rPr>
      </w:pPr>
    </w:p>
    <w:p w14:paraId="6AEE58AE" w14:textId="77777777" w:rsidR="005721C4" w:rsidRPr="00821CC0" w:rsidRDefault="005721C4" w:rsidP="005721C4">
      <w:pPr>
        <w:spacing w:line="247" w:lineRule="auto"/>
        <w:ind w:left="100" w:right="182" w:firstLine="720"/>
        <w:rPr>
          <w:rFonts w:cs="Times New Roman"/>
          <w:szCs w:val="24"/>
        </w:rPr>
      </w:pPr>
      <w:r w:rsidRPr="00821CC0">
        <w:rPr>
          <w:rFonts w:cs="Times New Roman"/>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cs="Times New Roman"/>
          <w:i/>
          <w:szCs w:val="24"/>
        </w:rPr>
        <w:t>See L.A. News Serv.</w:t>
      </w:r>
      <w:r w:rsidRPr="00821CC0">
        <w:rPr>
          <w:rFonts w:cs="Times New Roman"/>
          <w:szCs w:val="24"/>
        </w:rPr>
        <w:t xml:space="preserve">, 149 F.3d at 995 &amp; n.8. However, the converse is not true. Once the copyright owner elects to recover statutory damages, the owner may not recover actual damages as well. </w:t>
      </w:r>
      <w:r w:rsidRPr="00821CC0">
        <w:rPr>
          <w:rFonts w:cs="Times New Roman"/>
          <w:i/>
          <w:szCs w:val="24"/>
        </w:rPr>
        <w:t>See Nintendo of America, Inc. v. Dragon Pac. Int’l</w:t>
      </w:r>
      <w:r w:rsidRPr="00821CC0">
        <w:rPr>
          <w:rFonts w:cs="Times New Roman"/>
          <w:szCs w:val="24"/>
        </w:rPr>
        <w:t xml:space="preserve">., 40 F.3d 1007, 1010 (9th Cir. 1994). Apportionment of damages to reflect profits other than those derived from the infringement is not available when the plaintiff elects statutory damages. </w:t>
      </w:r>
      <w:r w:rsidRPr="00821CC0">
        <w:rPr>
          <w:rFonts w:cs="Times New Roman"/>
          <w:i/>
          <w:szCs w:val="24"/>
        </w:rPr>
        <w:t>See id</w:t>
      </w:r>
      <w:r w:rsidRPr="00821CC0">
        <w:rPr>
          <w:rFonts w:cs="Times New Roman"/>
          <w:szCs w:val="24"/>
        </w:rPr>
        <w:t>. at 1012.</w:t>
      </w:r>
    </w:p>
    <w:p w14:paraId="58EE16AC" w14:textId="17A73C86" w:rsidR="005721C4" w:rsidRPr="0018306A" w:rsidRDefault="005721C4" w:rsidP="009262BE">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 xml:space="preserve">See Louis Vuitton Malletier, S.A. v. </w:t>
      </w:r>
      <w:proofErr w:type="spellStart"/>
      <w:r w:rsidRPr="00821CC0">
        <w:rPr>
          <w:i/>
        </w:rPr>
        <w:t>Akanoc</w:t>
      </w:r>
      <w:proofErr w:type="spellEnd"/>
      <w:r w:rsidRPr="00821CC0">
        <w:rPr>
          <w:i/>
        </w:rPr>
        <w:t xml:space="preserve">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xml:space="preserve">, </w:t>
      </w:r>
      <w:proofErr w:type="spellStart"/>
      <w:r w:rsidRPr="00821CC0">
        <w:rPr>
          <w:i/>
        </w:rPr>
        <w:t>rev’d</w:t>
      </w:r>
      <w:proofErr w:type="spellEnd"/>
      <w:r w:rsidRPr="00821CC0">
        <w:rPr>
          <w:i/>
        </w:rPr>
        <w:t xml:space="preserve">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Pr="005D12FE">
        <w:t>986 F.3d 1253, 1265 (9th Cir. 2021) (</w:t>
      </w:r>
      <w:r w:rsidRPr="00821CC0">
        <w:t>holding that only one statutory award was available whe</w:t>
      </w:r>
      <w:r>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40E89A0E" w14:textId="77777777" w:rsidR="005721C4" w:rsidRDefault="005721C4" w:rsidP="005721C4">
      <w:pPr>
        <w:pStyle w:val="BodyText"/>
        <w:spacing w:line="247" w:lineRule="auto"/>
        <w:ind w:left="100" w:right="523" w:firstLine="720"/>
      </w:pPr>
      <w:r w:rsidRPr="0018306A">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366ACF32" w14:textId="77777777" w:rsidR="005721C4" w:rsidRPr="005D12FE" w:rsidRDefault="005721C4" w:rsidP="005721C4">
      <w:pPr>
        <w:jc w:val="right"/>
        <w:rPr>
          <w:rFonts w:cs="Times New Roman"/>
          <w:i/>
          <w:iCs/>
          <w:szCs w:val="24"/>
        </w:rPr>
      </w:pPr>
    </w:p>
    <w:p w14:paraId="239B794E" w14:textId="77777777" w:rsidR="009262BE" w:rsidRDefault="009262BE" w:rsidP="005721C4">
      <w:pPr>
        <w:jc w:val="right"/>
        <w:rPr>
          <w:rFonts w:cs="Times New Roman"/>
          <w:i/>
          <w:iCs/>
          <w:szCs w:val="24"/>
        </w:rPr>
      </w:pPr>
    </w:p>
    <w:p w14:paraId="3A9B8F46" w14:textId="05C9A3BF" w:rsidR="005721C4" w:rsidRPr="005D12FE" w:rsidRDefault="005721C4" w:rsidP="005721C4">
      <w:pPr>
        <w:jc w:val="right"/>
        <w:rPr>
          <w:rFonts w:cs="Times New Roman"/>
          <w:i/>
          <w:iCs/>
          <w:szCs w:val="24"/>
        </w:rPr>
      </w:pPr>
      <w:r w:rsidRPr="005D12FE">
        <w:rPr>
          <w:rFonts w:cs="Times New Roman"/>
          <w:i/>
          <w:iCs/>
          <w:szCs w:val="24"/>
        </w:rPr>
        <w:t>Approved Mar. 2021</w:t>
      </w:r>
    </w:p>
    <w:p w14:paraId="3C5C4C3A" w14:textId="47DEEEDF" w:rsidR="006A4CD7" w:rsidRDefault="006A4CD7" w:rsidP="005721C4">
      <w:pPr>
        <w:numPr>
          <w:ilvl w:val="12"/>
          <w:numId w:val="0"/>
        </w:numPr>
        <w:autoSpaceDE w:val="0"/>
        <w:autoSpaceDN w:val="0"/>
        <w:adjustRightInd w:val="0"/>
        <w:rPr>
          <w:rFonts w:cs="Times New Roman"/>
          <w:szCs w:val="24"/>
        </w:rPr>
      </w:pP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225F3572" w14:textId="3E22A817" w:rsidR="00317DA8" w:rsidRDefault="006A4CD7" w:rsidP="00D23843">
      <w:pPr>
        <w:pStyle w:val="Heading2"/>
      </w:pPr>
      <w:r w:rsidRPr="006A4CD7">
        <w:br w:type="page"/>
      </w:r>
      <w:bookmarkStart w:id="350" w:name="_Toc117512627"/>
      <w:r w:rsidRPr="006A4CD7">
        <w:t xml:space="preserve">17.36 </w:t>
      </w:r>
      <w:r w:rsidR="008B5FFD" w:rsidRPr="008B5FFD">
        <w:t>Copyright—Damages—Innocent Infringemen</w:t>
      </w:r>
      <w:r w:rsidR="00D057F8">
        <w:t>t</w:t>
      </w:r>
      <w:bookmarkEnd w:id="350"/>
      <w:r w:rsidR="00D057F8">
        <w:t xml:space="preserve"> </w:t>
      </w:r>
    </w:p>
    <w:p w14:paraId="5E01CD9F" w14:textId="77F0694B" w:rsidR="006A4CD7" w:rsidRPr="006A4CD7" w:rsidRDefault="006A4CD7" w:rsidP="00D23843">
      <w:pPr>
        <w:pStyle w:val="Heading2"/>
      </w:pPr>
      <w:bookmarkStart w:id="351" w:name="_Toc117512628"/>
      <w:r w:rsidRPr="006A4CD7">
        <w:t>(17 U.S.C. § 504(c)(2))</w:t>
      </w:r>
      <w:bookmarkEnd w:id="351"/>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01B67E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innocent when the defendant has proved both of the following elements by a preponderance of the evidence:</w:t>
      </w:r>
    </w:p>
    <w:p w14:paraId="512B262F" w14:textId="77777777" w:rsidR="006A4CD7" w:rsidRPr="006A4CD7" w:rsidRDefault="006A4CD7" w:rsidP="0060759C">
      <w:pPr>
        <w:numPr>
          <w:ilvl w:val="12"/>
          <w:numId w:val="0"/>
        </w:numPr>
        <w:autoSpaceDE w:val="0"/>
        <w:autoSpaceDN w:val="0"/>
        <w:adjustRightInd w:val="0"/>
        <w:rPr>
          <w:rFonts w:cs="Times New Roman"/>
          <w:szCs w:val="24"/>
        </w:rPr>
      </w:pPr>
    </w:p>
    <w:p w14:paraId="7F64BD4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was not aware that [his] [her] [its] acts constituted infringement of the copyright; and </w:t>
      </w:r>
    </w:p>
    <w:p w14:paraId="56BD51D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7F955E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had no reason to believe that [his] [her] [its] acts constituted an infringement of the copyright.</w:t>
      </w:r>
    </w:p>
    <w:p w14:paraId="7360A274" w14:textId="77777777" w:rsidR="006A4CD7" w:rsidRPr="006A4CD7" w:rsidRDefault="006A4CD7" w:rsidP="0060759C">
      <w:pPr>
        <w:numPr>
          <w:ilvl w:val="12"/>
          <w:numId w:val="0"/>
        </w:numPr>
        <w:autoSpaceDE w:val="0"/>
        <w:autoSpaceDN w:val="0"/>
        <w:adjustRightInd w:val="0"/>
        <w:rPr>
          <w:rFonts w:cs="Times New Roman"/>
          <w:szCs w:val="24"/>
        </w:rPr>
      </w:pPr>
    </w:p>
    <w:p w14:paraId="5D4536CC"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3541749" w14:textId="77777777" w:rsidR="006A4CD7" w:rsidRPr="006A4CD7" w:rsidRDefault="006A4CD7" w:rsidP="0060759C">
      <w:pPr>
        <w:numPr>
          <w:ilvl w:val="12"/>
          <w:numId w:val="0"/>
        </w:numPr>
        <w:autoSpaceDE w:val="0"/>
        <w:autoSpaceDN w:val="0"/>
        <w:adjustRightInd w:val="0"/>
        <w:rPr>
          <w:rFonts w:cs="Times New Roman"/>
          <w:szCs w:val="24"/>
        </w:rPr>
      </w:pPr>
    </w:p>
    <w:p w14:paraId="0C0E29E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minimum for innocent infringement is $200.  17 U.S.C. § 504(c)(2).</w:t>
      </w:r>
    </w:p>
    <w:p w14:paraId="166B6435" w14:textId="77777777" w:rsidR="006A4CD7" w:rsidRPr="006A4CD7" w:rsidRDefault="006A4CD7" w:rsidP="0060759C">
      <w:pPr>
        <w:numPr>
          <w:ilvl w:val="12"/>
          <w:numId w:val="0"/>
        </w:numPr>
        <w:autoSpaceDE w:val="0"/>
        <w:autoSpaceDN w:val="0"/>
        <w:adjustRightInd w:val="0"/>
        <w:rPr>
          <w:rFonts w:cs="Times New Roman"/>
          <w:szCs w:val="24"/>
        </w:rPr>
      </w:pPr>
    </w:p>
    <w:p w14:paraId="30F00971"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Whether defendant’s infringement was innocent is a factual determination. </w:t>
      </w:r>
      <w:r w:rsidRPr="006A4CD7">
        <w:rPr>
          <w:rFonts w:cs="Times New Roman"/>
          <w:i/>
          <w:iCs/>
          <w:szCs w:val="24"/>
        </w:rPr>
        <w:t xml:space="preserve"> See L.A. News Serv. v. Reuters Television Int’l</w:t>
      </w:r>
      <w:r w:rsidRPr="006A4CD7">
        <w:rPr>
          <w:rFonts w:cs="Times New Roman"/>
          <w:szCs w:val="24"/>
        </w:rPr>
        <w:t xml:space="preserve">, 149 F.3d 987, 995 (9th Cir. 1998).  But even if the trier of fact finds that an infringement was innocent, this finding does not mandate a reduction in the statutory damages.  </w:t>
      </w:r>
      <w:r w:rsidRPr="006A4CD7">
        <w:rPr>
          <w:rFonts w:cs="Times New Roman"/>
          <w:i/>
          <w:iCs/>
          <w:szCs w:val="24"/>
        </w:rPr>
        <w:t xml:space="preserve">See L.A. News Serv. v. </w:t>
      </w:r>
      <w:proofErr w:type="spellStart"/>
      <w:r w:rsidRPr="006A4CD7">
        <w:rPr>
          <w:rFonts w:cs="Times New Roman"/>
          <w:i/>
          <w:iCs/>
          <w:szCs w:val="24"/>
        </w:rPr>
        <w:t>Tullo</w:t>
      </w:r>
      <w:proofErr w:type="spellEnd"/>
      <w:r w:rsidRPr="006A4CD7">
        <w:rPr>
          <w:rFonts w:cs="Times New Roman"/>
          <w:szCs w:val="24"/>
        </w:rPr>
        <w:t>, 973 F.2d 791, 800 (9th Cir. 1992).</w:t>
      </w:r>
    </w:p>
    <w:p w14:paraId="03A6F2C5" w14:textId="77777777" w:rsidR="00D23843" w:rsidRPr="006A4CD7" w:rsidRDefault="00D23843" w:rsidP="0060759C">
      <w:pPr>
        <w:numPr>
          <w:ilvl w:val="12"/>
          <w:numId w:val="0"/>
        </w:numPr>
        <w:autoSpaceDE w:val="0"/>
        <w:autoSpaceDN w:val="0"/>
        <w:adjustRightInd w:val="0"/>
        <w:rPr>
          <w:rFonts w:cs="Times New Roman"/>
          <w:szCs w:val="24"/>
        </w:rPr>
      </w:pPr>
    </w:p>
    <w:p w14:paraId="36BC2451" w14:textId="668462FB" w:rsidR="00D23843" w:rsidRPr="006A4CD7" w:rsidRDefault="006A4CD7" w:rsidP="00D057F8">
      <w:pPr>
        <w:pStyle w:val="Heading2"/>
      </w:pPr>
      <w:r w:rsidRPr="006A4CD7">
        <w:br w:type="page"/>
      </w:r>
      <w:bookmarkStart w:id="352" w:name="_Toc117512629"/>
      <w:r w:rsidRPr="006A4CD7">
        <w:t xml:space="preserve">17.37 </w:t>
      </w:r>
      <w:r w:rsidR="008B5FFD" w:rsidRPr="008B5FFD">
        <w:t xml:space="preserve">Copyright—Damages—Willful Infringement </w:t>
      </w:r>
      <w:r w:rsidRPr="006A4CD7">
        <w:t>(17 U.S.C. § 504(c)(2))</w:t>
      </w:r>
      <w:bookmarkEnd w:id="352"/>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644D37A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willful when the plaintiff has proved both of the following elements by a preponderance of the evidence:</w:t>
      </w:r>
    </w:p>
    <w:p w14:paraId="015CD66B" w14:textId="77777777" w:rsidR="006A4CD7" w:rsidRPr="006A4CD7" w:rsidRDefault="006A4CD7" w:rsidP="0060759C">
      <w:pPr>
        <w:numPr>
          <w:ilvl w:val="12"/>
          <w:numId w:val="0"/>
        </w:numPr>
        <w:autoSpaceDE w:val="0"/>
        <w:autoSpaceDN w:val="0"/>
        <w:adjustRightInd w:val="0"/>
        <w:rPr>
          <w:rFonts w:cs="Times New Roman"/>
          <w:szCs w:val="24"/>
        </w:rPr>
      </w:pPr>
    </w:p>
    <w:p w14:paraId="619A64B1" w14:textId="77777777" w:rsidR="00D23843"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engaged in acts that infringed the copyright; and </w:t>
      </w:r>
    </w:p>
    <w:p w14:paraId="7B15BF60" w14:textId="77777777" w:rsidR="00D23843" w:rsidRDefault="00D23843" w:rsidP="00BD703F">
      <w:pPr>
        <w:numPr>
          <w:ilvl w:val="12"/>
          <w:numId w:val="0"/>
        </w:numPr>
        <w:autoSpaceDE w:val="0"/>
        <w:autoSpaceDN w:val="0"/>
        <w:adjustRightInd w:val="0"/>
        <w:ind w:left="1440" w:right="720" w:hanging="720"/>
        <w:rPr>
          <w:rFonts w:cs="Times New Roman"/>
          <w:szCs w:val="24"/>
        </w:rPr>
      </w:pPr>
    </w:p>
    <w:p w14:paraId="0C5BD2D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knew that those acts infringed the copyright, or the defendant acted with reckless disregard for, or willful blindness to, the copyright holder’s rights.</w:t>
      </w:r>
    </w:p>
    <w:p w14:paraId="39B36907" w14:textId="77777777" w:rsidR="006A4CD7" w:rsidRPr="006A4CD7" w:rsidRDefault="006A4CD7" w:rsidP="0060759C">
      <w:pPr>
        <w:numPr>
          <w:ilvl w:val="12"/>
          <w:numId w:val="0"/>
        </w:numPr>
        <w:autoSpaceDE w:val="0"/>
        <w:autoSpaceDN w:val="0"/>
        <w:adjustRightInd w:val="0"/>
        <w:rPr>
          <w:rFonts w:cs="Times New Roman"/>
          <w:szCs w:val="24"/>
        </w:rPr>
      </w:pPr>
    </w:p>
    <w:p w14:paraId="32D107D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827665B" w14:textId="77777777" w:rsidR="006A4CD7" w:rsidRPr="006A4CD7" w:rsidRDefault="006A4CD7" w:rsidP="0060759C">
      <w:pPr>
        <w:numPr>
          <w:ilvl w:val="12"/>
          <w:numId w:val="0"/>
        </w:numPr>
        <w:autoSpaceDE w:val="0"/>
        <w:autoSpaceDN w:val="0"/>
        <w:adjustRightInd w:val="0"/>
        <w:rPr>
          <w:rFonts w:cs="Times New Roman"/>
          <w:szCs w:val="24"/>
        </w:rPr>
      </w:pPr>
    </w:p>
    <w:p w14:paraId="3A8E65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maximum for willful infringement is $150,000.  17 U.S.C. § 504(c)(2).</w:t>
      </w:r>
    </w:p>
    <w:p w14:paraId="03EA4AFD" w14:textId="77777777" w:rsidR="006A4CD7" w:rsidRPr="006A4CD7" w:rsidRDefault="006A4CD7" w:rsidP="0060759C">
      <w:pPr>
        <w:numPr>
          <w:ilvl w:val="12"/>
          <w:numId w:val="0"/>
        </w:numPr>
        <w:autoSpaceDE w:val="0"/>
        <w:autoSpaceDN w:val="0"/>
        <w:adjustRightInd w:val="0"/>
        <w:rPr>
          <w:rFonts w:cs="Times New Roman"/>
          <w:szCs w:val="24"/>
        </w:rPr>
      </w:pPr>
    </w:p>
    <w:p w14:paraId="4E4B7D5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Since at least 2008, the Ninth Circuit has recognized that “a finding of ‘willfulness’ can be based on either ‘intentional’ behavior, or merely ‘reckless’ behavior.”  </w:t>
      </w:r>
      <w:r w:rsidRPr="006A4CD7">
        <w:rPr>
          <w:rFonts w:cs="Times New Roman"/>
          <w:i/>
          <w:iCs/>
          <w:szCs w:val="24"/>
        </w:rPr>
        <w:t>In re Barboza</w:t>
      </w:r>
      <w:r w:rsidRPr="006A4CD7">
        <w:rPr>
          <w:rFonts w:cs="Times New Roman"/>
          <w:szCs w:val="24"/>
        </w:rPr>
        <w:t xml:space="preserve">, 545 F.3d 702, 707 (9th Cir. 2008); </w:t>
      </w:r>
      <w:r w:rsidRPr="006A4CD7">
        <w:rPr>
          <w:rFonts w:cs="Times New Roman"/>
          <w:i/>
          <w:iCs/>
          <w:szCs w:val="24"/>
        </w:rPr>
        <w:t>see also</w:t>
      </w:r>
      <w:r w:rsidRPr="006A4CD7">
        <w:rPr>
          <w:rFonts w:cs="Times New Roman"/>
          <w:szCs w:val="24"/>
        </w:rPr>
        <w:t xml:space="preserve"> </w:t>
      </w:r>
      <w:r w:rsidRPr="006A4CD7">
        <w:rPr>
          <w:rFonts w:cs="Times New Roman"/>
          <w:i/>
          <w:iCs/>
          <w:szCs w:val="24"/>
        </w:rPr>
        <w:t>Wash. Shoe Co. v. A-Z Sporting Goods Inc.</w:t>
      </w:r>
      <w:r w:rsidRPr="006A4CD7">
        <w:rPr>
          <w:rFonts w:cs="Times New Roman"/>
          <w:szCs w:val="24"/>
        </w:rPr>
        <w:t xml:space="preserve">, 704 F.3d 668, 674 (9th Cir. 2012) (“[T]o prove ‘willfulness’ under the Copyright Act, the plaintiff must show (1) that the defendant was actually aware of the infringing activity, or (2) that the defendant’s actions were the result of ‘reckless disregard’ for, or ‘willful blindness’ to, the copyright holder’s rights.” (quoting </w:t>
      </w:r>
      <w:r w:rsidRPr="006A4CD7">
        <w:rPr>
          <w:rFonts w:cs="Times New Roman"/>
          <w:i/>
          <w:iCs/>
          <w:szCs w:val="24"/>
        </w:rPr>
        <w:t xml:space="preserve">Louis Vuitton Malletier, S.A. v. </w:t>
      </w:r>
      <w:proofErr w:type="spellStart"/>
      <w:r w:rsidRPr="006A4CD7">
        <w:rPr>
          <w:rFonts w:cs="Times New Roman"/>
          <w:i/>
          <w:iCs/>
          <w:szCs w:val="24"/>
        </w:rPr>
        <w:t>Akanoc</w:t>
      </w:r>
      <w:proofErr w:type="spellEnd"/>
      <w:r w:rsidRPr="006A4CD7">
        <w:rPr>
          <w:rFonts w:cs="Times New Roman"/>
          <w:i/>
          <w:iCs/>
          <w:szCs w:val="24"/>
        </w:rPr>
        <w:t xml:space="preserve"> Solutions, Inc.</w:t>
      </w:r>
      <w:r w:rsidRPr="006A4CD7">
        <w:rPr>
          <w:rFonts w:cs="Times New Roman"/>
          <w:szCs w:val="24"/>
        </w:rPr>
        <w:t xml:space="preserve">, 658 F.3d 936, 944 (9th Cir. 2011))).  </w:t>
      </w:r>
      <w:r w:rsidRPr="006A4CD7">
        <w:rPr>
          <w:rFonts w:cs="Times New Roman"/>
          <w:i/>
          <w:iCs/>
          <w:szCs w:val="24"/>
        </w:rPr>
        <w:t>see also Erickson Prods., Inc. v. Kast</w:t>
      </w:r>
      <w:r w:rsidRPr="006A4CD7">
        <w:rPr>
          <w:rFonts w:cs="Times New Roman"/>
          <w:szCs w:val="24"/>
        </w:rPr>
        <w:t>, 921 F.3d 822, 833 (9th</w:t>
      </w:r>
    </w:p>
    <w:p w14:paraId="41152E2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Cir. 2019) (“Negligence is a less culpable mental state than actual knowledge, willful blindness,</w:t>
      </w:r>
    </w:p>
    <w:p w14:paraId="64977D8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or recklessness, the three mental states that properly support a finding of willfulness.”).</w:t>
      </w:r>
    </w:p>
    <w:p w14:paraId="22B89B10" w14:textId="77777777" w:rsidR="006A4CD7" w:rsidRPr="006A4CD7" w:rsidRDefault="006A4CD7" w:rsidP="0060759C">
      <w:pPr>
        <w:numPr>
          <w:ilvl w:val="12"/>
          <w:numId w:val="0"/>
        </w:numPr>
        <w:autoSpaceDE w:val="0"/>
        <w:autoSpaceDN w:val="0"/>
        <w:adjustRightInd w:val="0"/>
        <w:rPr>
          <w:rFonts w:cs="Times New Roman"/>
          <w:szCs w:val="24"/>
        </w:rPr>
      </w:pPr>
    </w:p>
    <w:p w14:paraId="1F216C9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To refute evidence of willful infringement, the defendant must “not only establish its good faith belief in the innocence of its conduct, it must also show that it was reasonable in holding such a belief.”  </w:t>
      </w:r>
      <w:r w:rsidRPr="006A4CD7">
        <w:rPr>
          <w:rFonts w:cs="Times New Roman"/>
          <w:i/>
          <w:iCs/>
          <w:szCs w:val="24"/>
        </w:rPr>
        <w:t xml:space="preserve">Peer Int’l Corp. v. </w:t>
      </w:r>
      <w:proofErr w:type="spellStart"/>
      <w:r w:rsidRPr="006A4CD7">
        <w:rPr>
          <w:rFonts w:cs="Times New Roman"/>
          <w:i/>
          <w:iCs/>
          <w:szCs w:val="24"/>
        </w:rPr>
        <w:t>Pausa</w:t>
      </w:r>
      <w:proofErr w:type="spellEnd"/>
      <w:r w:rsidRPr="006A4CD7">
        <w:rPr>
          <w:rFonts w:cs="Times New Roman"/>
          <w:i/>
          <w:iCs/>
          <w:szCs w:val="24"/>
        </w:rPr>
        <w:t xml:space="preserve"> Records, Inc</w:t>
      </w:r>
      <w:r w:rsidRPr="006A4CD7">
        <w:rPr>
          <w:rFonts w:cs="Times New Roman"/>
          <w:szCs w:val="24"/>
        </w:rPr>
        <w:t xml:space="preserve">., 909 F.2d 1332, 1336 (holding that defendant who ignored revocation of its license to copyrighted work, and continued to use work after revocation, willfully infringed that work); </w:t>
      </w:r>
      <w:r w:rsidRPr="006A4CD7">
        <w:rPr>
          <w:rFonts w:cs="Times New Roman"/>
          <w:i/>
          <w:iCs/>
          <w:szCs w:val="24"/>
        </w:rPr>
        <w:t>see also</w:t>
      </w:r>
      <w:r w:rsidRPr="006A4CD7">
        <w:rPr>
          <w:rFonts w:cs="Times New Roman"/>
          <w:szCs w:val="24"/>
        </w:rPr>
        <w:t xml:space="preserve"> </w:t>
      </w:r>
      <w:r w:rsidRPr="006A4CD7">
        <w:rPr>
          <w:rFonts w:cs="Times New Roman"/>
          <w:i/>
          <w:iCs/>
          <w:szCs w:val="24"/>
        </w:rPr>
        <w:t>Evergreen Safety Council v. RSA Network Inc.</w:t>
      </w:r>
      <w:r w:rsidRPr="006A4CD7">
        <w:rPr>
          <w:rFonts w:cs="Times New Roman"/>
          <w:szCs w:val="24"/>
        </w:rPr>
        <w:t>, 697 F.3d 1221, 1228 (9th Cir. 2012) (“Continued use of a work even after one has been notified of his or her alleged infringement does not constitute willfulness so long as one believes reasonably, and in good faith, that he or she is not infringing.”);</w:t>
      </w:r>
      <w:r w:rsidRPr="006A4CD7">
        <w:rPr>
          <w:rFonts w:cs="Times New Roman"/>
          <w:i/>
          <w:iCs/>
          <w:szCs w:val="24"/>
        </w:rPr>
        <w:t xml:space="preserve"> see also VHT, Inc. v. Zillow Grp</w:t>
      </w:r>
      <w:r w:rsidRPr="006A4CD7">
        <w:rPr>
          <w:rFonts w:cs="Times New Roman"/>
          <w:szCs w:val="24"/>
        </w:rPr>
        <w:t xml:space="preserve">., 918 F.3d 723, 748 (9th Cir. 2019) (same).  </w:t>
      </w:r>
    </w:p>
    <w:p w14:paraId="604E892E" w14:textId="77777777" w:rsidR="006A4CD7" w:rsidRPr="006A4CD7" w:rsidRDefault="006A4CD7" w:rsidP="0060759C">
      <w:pPr>
        <w:numPr>
          <w:ilvl w:val="12"/>
          <w:numId w:val="0"/>
        </w:numPr>
        <w:autoSpaceDE w:val="0"/>
        <w:autoSpaceDN w:val="0"/>
        <w:adjustRightInd w:val="0"/>
        <w:rPr>
          <w:rFonts w:cs="Times New Roman"/>
          <w:szCs w:val="24"/>
        </w:rPr>
      </w:pPr>
    </w:p>
    <w:p w14:paraId="487DC6DA" w14:textId="622BBDF2"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Generally, deductions of defendant’s expenses are denied where the defendant’s infringement is willful or deliberate.  </w:t>
      </w:r>
      <w:r w:rsidRPr="006A4CD7">
        <w:rPr>
          <w:rFonts w:cs="Times New Roman"/>
          <w:i/>
          <w:iCs/>
          <w:szCs w:val="24"/>
        </w:rPr>
        <w:t xml:space="preserve">See Kamar Int’l, Inc. v. Russ </w:t>
      </w:r>
      <w:proofErr w:type="spellStart"/>
      <w:r w:rsidRPr="006A4CD7">
        <w:rPr>
          <w:rFonts w:cs="Times New Roman"/>
          <w:i/>
          <w:iCs/>
          <w:szCs w:val="24"/>
        </w:rPr>
        <w:t>Berrie</w:t>
      </w:r>
      <w:proofErr w:type="spellEnd"/>
      <w:r w:rsidRPr="006A4CD7">
        <w:rPr>
          <w:rFonts w:cs="Times New Roman"/>
          <w:i/>
          <w:iCs/>
          <w:szCs w:val="24"/>
        </w:rPr>
        <w:t xml:space="preserve"> &amp; Co.</w:t>
      </w:r>
      <w:r w:rsidRPr="006A4CD7">
        <w:rPr>
          <w:rFonts w:cs="Times New Roman"/>
          <w:szCs w:val="24"/>
        </w:rPr>
        <w:t xml:space="preserve">, 752 F.2d 1326, 1331-32 (9th Cir. 1984).  Apparently, a finding of willfulness can also be made in connection with an assessment of defendant’s profits, even though reference to willful infringement is made only in connection with statutory damages.  </w:t>
      </w:r>
      <w:r w:rsidRPr="006A4CD7">
        <w:rPr>
          <w:rFonts w:cs="Times New Roman"/>
          <w:i/>
          <w:iCs/>
          <w:szCs w:val="24"/>
        </w:rPr>
        <w:t>See, e.g.</w:t>
      </w:r>
      <w:r w:rsidRPr="006A4CD7">
        <w:rPr>
          <w:rFonts w:cs="Times New Roman"/>
          <w:szCs w:val="24"/>
        </w:rPr>
        <w:t>,</w:t>
      </w:r>
      <w:r w:rsidRPr="006A4CD7">
        <w:rPr>
          <w:rFonts w:cs="Times New Roman"/>
          <w:i/>
          <w:iCs/>
          <w:szCs w:val="24"/>
        </w:rPr>
        <w:t xml:space="preserve"> Three Boys Music Corp. v. Bolton</w:t>
      </w:r>
      <w:r w:rsidRPr="006A4CD7">
        <w:rPr>
          <w:rFonts w:cs="Times New Roman"/>
          <w:szCs w:val="24"/>
        </w:rPr>
        <w:t xml:space="preserve">, 212 F.3d 477, 487-88 (9th Cir. 2000) (noting, in case </w:t>
      </w:r>
      <w:r w:rsidR="009262BE" w:rsidRPr="006A4CD7">
        <w:rPr>
          <w:rFonts w:cs="Times New Roman"/>
          <w:szCs w:val="24"/>
        </w:rPr>
        <w:t>involving allocation</w:t>
      </w:r>
      <w:r w:rsidRPr="006A4CD7">
        <w:rPr>
          <w:rFonts w:cs="Times New Roman"/>
          <w:szCs w:val="24"/>
        </w:rPr>
        <w:t xml:space="preserve"> of defendant’s profits </w:t>
      </w:r>
    </w:p>
    <w:p w14:paraId="3FF1A4BE" w14:textId="735396A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under 17 U.S.C.§ 504(b), that “non-willful infringers” were entitled to deduct from damage assessment income taxes and management fees actually paid).</w:t>
      </w:r>
    </w:p>
    <w:p w14:paraId="3F071221" w14:textId="77777777" w:rsidR="0013409D" w:rsidRDefault="0013409D" w:rsidP="00D057F8">
      <w:pPr>
        <w:numPr>
          <w:ilvl w:val="12"/>
          <w:numId w:val="0"/>
        </w:numPr>
        <w:autoSpaceDE w:val="0"/>
        <w:autoSpaceDN w:val="0"/>
        <w:adjustRightInd w:val="0"/>
        <w:rPr>
          <w:rFonts w:cs="Times New Roman"/>
          <w:i/>
          <w:iCs/>
          <w:szCs w:val="24"/>
        </w:rPr>
      </w:pPr>
    </w:p>
    <w:p w14:paraId="13A02D26" w14:textId="1C428578" w:rsidR="006A4CD7" w:rsidRPr="006A4CD7" w:rsidRDefault="006A4CD7" w:rsidP="00D23843">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02F0BF2F" w14:textId="3EC7CDBB" w:rsidR="006A4CD7" w:rsidRPr="006A4CD7" w:rsidRDefault="006A4CD7" w:rsidP="00BF5CD7">
      <w:pPr>
        <w:pStyle w:val="Heading1"/>
      </w:pPr>
      <w:r w:rsidRPr="006A4CD7">
        <w:br w:type="page"/>
      </w:r>
      <w:bookmarkStart w:id="353" w:name="_Toc117512630"/>
      <w:r w:rsidRPr="006A4CD7">
        <w:t>18.  SECURITIES EXCHANGE ACT</w:t>
      </w:r>
      <w:bookmarkEnd w:id="353"/>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0F1393">
      <w:pPr>
        <w:numPr>
          <w:ilvl w:val="12"/>
          <w:numId w:val="0"/>
        </w:numPr>
        <w:tabs>
          <w:tab w:val="left" w:pos="900"/>
        </w:tabs>
        <w:autoSpaceDE w:val="0"/>
        <w:autoSpaceDN w:val="0"/>
        <w:adjustRightInd w:val="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65A8E6C0"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r>
      <w:r w:rsidR="000F1393">
        <w:rPr>
          <w:rFonts w:cs="Times New Roman"/>
          <w:szCs w:val="24"/>
        </w:rPr>
        <w:tab/>
      </w:r>
      <w:r w:rsidRPr="006A4CD7">
        <w:rPr>
          <w:rFonts w:cs="Times New Roman"/>
          <w:szCs w:val="24"/>
        </w:rPr>
        <w:t>Securities—Rule 10b-5 Claim</w:t>
      </w:r>
    </w:p>
    <w:p w14:paraId="0952B2E1" w14:textId="1BA93084"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r>
      <w:r w:rsidR="000F1393">
        <w:rPr>
          <w:rFonts w:cs="Times New Roman"/>
          <w:szCs w:val="24"/>
        </w:rPr>
        <w:tab/>
      </w:r>
      <w:r w:rsidRPr="006A4CD7">
        <w:rPr>
          <w:rFonts w:cs="Times New Roman"/>
          <w:szCs w:val="24"/>
        </w:rPr>
        <w:t>Securities—Misrepresentations or Omissions—Materiality</w:t>
      </w:r>
    </w:p>
    <w:p w14:paraId="44A508ED" w14:textId="44B6E67C"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r>
      <w:r w:rsidR="000F1393">
        <w:rPr>
          <w:rFonts w:cs="Times New Roman"/>
          <w:szCs w:val="24"/>
        </w:rPr>
        <w:tab/>
      </w:r>
      <w:r w:rsidRPr="006A4CD7">
        <w:rPr>
          <w:rFonts w:cs="Times New Roman"/>
          <w:szCs w:val="24"/>
        </w:rPr>
        <w:t>Securities—Forward-Looking Statements</w:t>
      </w:r>
    </w:p>
    <w:p w14:paraId="0A5445DE" w14:textId="37B4F52B"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r>
      <w:r w:rsidR="000F1393">
        <w:rPr>
          <w:rFonts w:cs="Times New Roman"/>
          <w:szCs w:val="24"/>
        </w:rPr>
        <w:tab/>
      </w:r>
      <w:r w:rsidRPr="006A4CD7">
        <w:rPr>
          <w:rFonts w:cs="Times New Roman"/>
          <w:szCs w:val="24"/>
        </w:rPr>
        <w:t>Securities—Knowingly</w:t>
      </w:r>
    </w:p>
    <w:p w14:paraId="5E08F9FD" w14:textId="342E4F75"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r>
      <w:r w:rsidR="000F1393">
        <w:rPr>
          <w:rFonts w:cs="Times New Roman"/>
          <w:szCs w:val="24"/>
        </w:rPr>
        <w:tab/>
      </w:r>
      <w:r w:rsidRPr="006A4CD7">
        <w:rPr>
          <w:rFonts w:cs="Times New Roman"/>
          <w:szCs w:val="24"/>
        </w:rPr>
        <w:t>Securities—Justifiable Reliance Generally</w:t>
      </w:r>
    </w:p>
    <w:p w14:paraId="196B3C6C" w14:textId="6FAB175D"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r>
      <w:r w:rsidR="000F1393">
        <w:rPr>
          <w:rFonts w:cs="Times New Roman"/>
          <w:szCs w:val="24"/>
        </w:rPr>
        <w:tab/>
      </w:r>
      <w:r w:rsidRPr="006A4CD7">
        <w:rPr>
          <w:rFonts w:cs="Times New Roman"/>
          <w:szCs w:val="24"/>
        </w:rPr>
        <w:t>Securities—Justifiable Reliance—Fraud-on-the-Market Case</w:t>
      </w:r>
    </w:p>
    <w:p w14:paraId="41F9C916" w14:textId="11AC3F27"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r>
      <w:r w:rsidR="000F1393">
        <w:rPr>
          <w:rFonts w:cs="Times New Roman"/>
          <w:szCs w:val="24"/>
        </w:rPr>
        <w:tab/>
      </w:r>
      <w:r w:rsidRPr="006A4CD7">
        <w:rPr>
          <w:rFonts w:cs="Times New Roman"/>
          <w:szCs w:val="24"/>
        </w:rPr>
        <w:t>Securities—Causation</w:t>
      </w:r>
    </w:p>
    <w:p w14:paraId="26A42045" w14:textId="17FF7218"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r>
      <w:r w:rsidR="000F1393">
        <w:rPr>
          <w:rFonts w:cs="Times New Roman"/>
          <w:szCs w:val="24"/>
        </w:rPr>
        <w:tab/>
      </w:r>
      <w:r w:rsidRPr="006A4CD7">
        <w:rPr>
          <w:rFonts w:cs="Times New Roman"/>
          <w:szCs w:val="24"/>
        </w:rPr>
        <w:t>Securities—Damages</w:t>
      </w:r>
    </w:p>
    <w:p w14:paraId="0176B14A" w14:textId="3DC8BBAA"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r>
      <w:r w:rsidR="000F1393">
        <w:rPr>
          <w:rFonts w:cs="Times New Roman"/>
          <w:szCs w:val="24"/>
        </w:rPr>
        <w:tab/>
      </w:r>
      <w:r w:rsidRPr="006A4CD7">
        <w:rPr>
          <w:rFonts w:cs="Times New Roman"/>
          <w:szCs w:val="24"/>
        </w:rPr>
        <w:t>Securities—Controlling Person Liability</w:t>
      </w:r>
    </w:p>
    <w:p w14:paraId="417C1C87" w14:textId="4D68B961"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r>
      <w:r w:rsidR="000F1393">
        <w:rPr>
          <w:rFonts w:cs="Times New Roman"/>
          <w:szCs w:val="24"/>
        </w:rPr>
        <w:tab/>
      </w:r>
      <w:r w:rsidRPr="006A4CD7">
        <w:rPr>
          <w:rFonts w:cs="Times New Roman"/>
          <w:szCs w:val="24"/>
        </w:rPr>
        <w:t>Securities—Good Faith Defense to Controlling Person Liability</w:t>
      </w:r>
    </w:p>
    <w:p w14:paraId="5C45E743" w14:textId="77777777" w:rsidR="0092739B" w:rsidRPr="006A4CD7" w:rsidRDefault="0092739B" w:rsidP="00E357F3"/>
    <w:p w14:paraId="50206607" w14:textId="0237DEDF" w:rsidR="006A4CD7" w:rsidRDefault="0013409D" w:rsidP="0060759C">
      <w:pPr>
        <w:numPr>
          <w:ilvl w:val="12"/>
          <w:numId w:val="0"/>
        </w:numPr>
        <w:autoSpaceDE w:val="0"/>
        <w:autoSpaceDN w:val="0"/>
        <w:adjustRightInd w:val="0"/>
        <w:jc w:val="center"/>
        <w:rPr>
          <w:rFonts w:cs="Times New Roman"/>
          <w:szCs w:val="24"/>
        </w:rPr>
      </w:pPr>
      <w:r>
        <w:rPr>
          <w:rFonts w:cs="Times New Roman"/>
          <w:szCs w:val="24"/>
        </w:rPr>
        <w:t>____________________</w:t>
      </w:r>
    </w:p>
    <w:p w14:paraId="7CC9D39C" w14:textId="77777777" w:rsidR="0092739B" w:rsidRPr="006A4CD7" w:rsidRDefault="0092739B" w:rsidP="0060759C">
      <w:pPr>
        <w:numPr>
          <w:ilvl w:val="12"/>
          <w:numId w:val="0"/>
        </w:numPr>
        <w:autoSpaceDE w:val="0"/>
        <w:autoSpaceDN w:val="0"/>
        <w:adjustRightInd w:val="0"/>
        <w:jc w:val="center"/>
        <w:rPr>
          <w:rFonts w:cs="Times New Roman"/>
          <w:b/>
          <w:bCs/>
          <w:szCs w:val="24"/>
        </w:rPr>
      </w:pPr>
    </w:p>
    <w:p w14:paraId="05F6FA9B" w14:textId="765861D3" w:rsidR="006A4CD7" w:rsidRPr="006A4CD7" w:rsidRDefault="006A4CD7" w:rsidP="00BF5CD7">
      <w:pPr>
        <w:pStyle w:val="Heading1"/>
      </w:pPr>
      <w:bookmarkStart w:id="354" w:name="_Toc117512631"/>
      <w:r w:rsidRPr="006A4CD7">
        <w:t>Introductory Comment</w:t>
      </w:r>
      <w:bookmarkEnd w:id="354"/>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 xml:space="preserve">Dura Pharmaceuticals, Inc. v. </w:t>
      </w:r>
      <w:proofErr w:type="spellStart"/>
      <w:r w:rsidRPr="006A4CD7">
        <w:rPr>
          <w:rFonts w:cs="Times New Roman"/>
          <w:i/>
          <w:iCs/>
          <w:szCs w:val="24"/>
        </w:rPr>
        <w:t>Broudo</w:t>
      </w:r>
      <w:proofErr w:type="spellEnd"/>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22886AB5"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w:t>
      </w:r>
      <w:proofErr w:type="spellStart"/>
      <w:r w:rsidRPr="006A4CD7">
        <w:rPr>
          <w:rFonts w:cs="Times New Roman"/>
          <w:szCs w:val="24"/>
        </w:rPr>
        <w:t>ment</w:t>
      </w:r>
      <w:proofErr w:type="spellEnd"/>
      <w:r w:rsidRPr="006A4CD7">
        <w:rPr>
          <w:rFonts w:cs="Times New Roman"/>
          <w:szCs w:val="24"/>
        </w:rPr>
        <w:t>] . . . of any . . . deceptive device</w:t>
      </w:r>
      <w:r w:rsidR="00372617" w:rsidRPr="006A4CD7">
        <w:rPr>
          <w:rFonts w:cs="Times New Roman"/>
          <w:szCs w:val="24"/>
        </w:rPr>
        <w:t>,” (</w:t>
      </w:r>
      <w:r w:rsidRPr="006A4CD7">
        <w:rPr>
          <w:rFonts w:cs="Times New Roman"/>
          <w:szCs w:val="24"/>
        </w:rPr>
        <w:t>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in order to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2963E821"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 xml:space="preserve">The courts have implied from these statutes and Rule a private damages action, which resembles, but is not identical to, common-law tort actions for deceit and misrepresentation. . . . </w:t>
      </w:r>
      <w:r w:rsidR="0092739B">
        <w:rPr>
          <w:rFonts w:cs="Times New Roman"/>
          <w:szCs w:val="24"/>
        </w:rPr>
        <w:t>a</w:t>
      </w:r>
      <w:r w:rsidRPr="006A4CD7">
        <w:rPr>
          <w:rFonts w:cs="Times New Roman"/>
          <w:szCs w:val="24"/>
        </w:rPr>
        <w:t>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617B928B" w14:textId="77777777" w:rsidR="0092739B"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 xml:space="preserve">Merrill Lynch, Pierce, </w:t>
      </w:r>
      <w:proofErr w:type="spellStart"/>
      <w:r w:rsidRPr="006A4CD7">
        <w:rPr>
          <w:rFonts w:cs="Times New Roman"/>
          <w:i/>
          <w:iCs/>
          <w:szCs w:val="24"/>
        </w:rPr>
        <w:t>Fenner</w:t>
      </w:r>
      <w:proofErr w:type="spellEnd"/>
      <w:r w:rsidRPr="006A4CD7">
        <w:rPr>
          <w:rFonts w:cs="Times New Roman"/>
          <w:i/>
          <w:iCs/>
          <w:szCs w:val="24"/>
        </w:rPr>
        <w:t xml:space="preserve"> &amp; Smith Inc. v. </w:t>
      </w:r>
      <w:proofErr w:type="spellStart"/>
      <w:r w:rsidRPr="006A4CD7">
        <w:rPr>
          <w:rFonts w:cs="Times New Roman"/>
          <w:i/>
          <w:iCs/>
          <w:szCs w:val="24"/>
        </w:rPr>
        <w:t>Dabit</w:t>
      </w:r>
      <w:proofErr w:type="spellEnd"/>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was that “[c]</w:t>
      </w:r>
      <w:proofErr w:type="spellStart"/>
      <w:r w:rsidRPr="006A4CD7">
        <w:rPr>
          <w:rFonts w:cs="Times New Roman"/>
          <w:szCs w:val="24"/>
        </w:rPr>
        <w:t>abining</w:t>
      </w:r>
      <w:proofErr w:type="spellEnd"/>
      <w:r w:rsidRPr="006A4CD7">
        <w:rPr>
          <w:rFonts w:cs="Times New Roman"/>
          <w:szCs w:val="24"/>
        </w:rPr>
        <w:t xml:space="preserve"> the private cause of action by means of the purchaser-seller limitation” minimizes the ill effects of vexatious private litigation brought to compel a substantial settlement.  This limitation does not apply to government enforcement actions </w:t>
      </w:r>
    </w:p>
    <w:p w14:paraId="3B9CB193" w14:textId="3D8990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511 U.S. 164, 176-78 (1994), that Section 10(b) does not allow recovery for aiding and abetting because the text of the Act “does not . . . reach those who aid and abet a § 10(b) violation</w:t>
      </w:r>
      <w:r w:rsidR="00372617" w:rsidRPr="006A4CD7">
        <w:rPr>
          <w:rFonts w:cs="Times New Roman"/>
          <w:szCs w:val="24"/>
        </w:rPr>
        <w:t>. . .. The</w:t>
      </w:r>
      <w:r w:rsidRPr="006A4CD7">
        <w:rPr>
          <w:rFonts w:cs="Times New Roman"/>
          <w:szCs w:val="24"/>
        </w:rPr>
        <w:t xml:space="preserv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w:t>
      </w:r>
      <w:proofErr w:type="spellStart"/>
      <w:r w:rsidRPr="006A4CD7">
        <w:rPr>
          <w:rFonts w:cs="Times New Roman"/>
          <w:szCs w:val="24"/>
        </w:rPr>
        <w:t>omi</w:t>
      </w:r>
      <w:proofErr w:type="spellEnd"/>
      <w:r w:rsidRPr="006A4CD7">
        <w:rPr>
          <w:rFonts w:cs="Times New Roman"/>
          <w:szCs w:val="24"/>
        </w:rPr>
        <w:t>[</w:t>
      </w:r>
      <w:proofErr w:type="spellStart"/>
      <w:r w:rsidRPr="006A4CD7">
        <w:rPr>
          <w:rFonts w:cs="Times New Roman"/>
          <w:szCs w:val="24"/>
        </w:rPr>
        <w:t>ssion</w:t>
      </w:r>
      <w:proofErr w:type="spellEnd"/>
      <w:r w:rsidRPr="006A4CD7">
        <w:rPr>
          <w:rFonts w:cs="Times New Roman"/>
          <w:szCs w:val="24"/>
        </w:rPr>
        <w:t>] to state a material fact necessary in order to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29E85D61" w14:textId="77777777" w:rsidR="00C923F6"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Khoja v. </w:t>
      </w:r>
      <w:proofErr w:type="spellStart"/>
      <w:r w:rsidRPr="006A4CD7">
        <w:rPr>
          <w:rFonts w:cs="Times New Roman"/>
          <w:i/>
          <w:iCs/>
          <w:szCs w:val="24"/>
        </w:rPr>
        <w:t>Orexigen</w:t>
      </w:r>
      <w:proofErr w:type="spellEnd"/>
      <w:r w:rsidRPr="006A4CD7">
        <w:rPr>
          <w:rFonts w:cs="Times New Roman"/>
          <w:i/>
          <w:iCs/>
          <w:szCs w:val="24"/>
        </w:rPr>
        <w:t xml:space="preserve"> Therapeutics, Inc</w:t>
      </w:r>
      <w:r w:rsidRPr="006A4CD7">
        <w:rPr>
          <w:rFonts w:cs="Times New Roman"/>
          <w:szCs w:val="24"/>
        </w:rPr>
        <w:t xml:space="preserve">., 899 F.3d 988 (9th Cir. 2018), the Ninth Circuit thoroughly discussed and applied many of the key concepts that appear in securities cases, such </w:t>
      </w:r>
    </w:p>
    <w:p w14:paraId="568D8976" w14:textId="77777777" w:rsidR="00C923F6" w:rsidRDefault="00C923F6" w:rsidP="0060759C">
      <w:pPr>
        <w:numPr>
          <w:ilvl w:val="12"/>
          <w:numId w:val="0"/>
        </w:numPr>
        <w:autoSpaceDE w:val="0"/>
        <w:autoSpaceDN w:val="0"/>
        <w:adjustRightInd w:val="0"/>
        <w:rPr>
          <w:rFonts w:cs="Times New Roman"/>
          <w:szCs w:val="24"/>
        </w:rPr>
      </w:pPr>
    </w:p>
    <w:p w14:paraId="0E5AF89A" w14:textId="0EDF57C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as falsity, omissions, and materiality.  The case also clarifies the circumstances for correctly applying the doctrine of incorporation-by-reference.</w:t>
      </w:r>
    </w:p>
    <w:p w14:paraId="29361919" w14:textId="77777777" w:rsidR="00C923F6" w:rsidRPr="006A4CD7" w:rsidRDefault="00C923F6"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in order to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32CD69F3" w:rsidR="006A4CD7" w:rsidRPr="006A4CD7" w:rsidRDefault="006A4CD7" w:rsidP="0035216F">
      <w:pPr>
        <w:pStyle w:val="Heading2"/>
      </w:pPr>
      <w:r w:rsidRPr="006A4CD7">
        <w:br w:type="page"/>
      </w:r>
      <w:bookmarkStart w:id="355" w:name="_Toc117512632"/>
      <w:r w:rsidRPr="006A4CD7">
        <w:t xml:space="preserve">18.1 </w:t>
      </w:r>
      <w:r w:rsidR="009B4915" w:rsidRPr="009B4915">
        <w:t>Securities—Definitions of Recurring Terms</w:t>
      </w:r>
      <w:bookmarkEnd w:id="355"/>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3660E9E"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 buying and selling of securities </w:t>
      </w:r>
      <w:r w:rsidR="00372617" w:rsidRPr="000D51E3">
        <w:rPr>
          <w:rFonts w:cs="Times New Roman"/>
          <w:szCs w:val="24"/>
        </w:rPr>
        <w:t>are</w:t>
      </w:r>
      <w:r w:rsidRPr="000D51E3">
        <w:rPr>
          <w:rFonts w:cs="Times New Roman"/>
          <w:szCs w:val="24"/>
        </w:rPr>
        <w:t xml:space="preserve">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misrepresentation is a statement of material fact that is false or misleading when it is made.  [A statement may be misleading even if it is literally true if the context where the statement was made caused the listener or reader to remain unaware of the actual state of affairs.]]</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controlling person is [an individual who] [a company that] possesses the power to direct the management or policies of a business enterprise or of another person involved in the management or policy-making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7228DD83" w14:textId="77777777" w:rsidR="003320CA" w:rsidRDefault="000D51E3" w:rsidP="000D51E3">
      <w:pPr>
        <w:autoSpaceDE w:val="0"/>
        <w:autoSpaceDN w:val="0"/>
        <w:adjustRightInd w:val="0"/>
        <w:rPr>
          <w:rFonts w:cs="Times New Roman"/>
          <w:szCs w:val="24"/>
        </w:rPr>
      </w:pPr>
      <w:r w:rsidRPr="000D51E3">
        <w:rPr>
          <w:rFonts w:cs="Times New Roman"/>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actually </w:t>
      </w:r>
    </w:p>
    <w:p w14:paraId="7D4A0994" w14:textId="77777777" w:rsidR="003320CA" w:rsidRDefault="003320CA" w:rsidP="000D51E3">
      <w:pPr>
        <w:autoSpaceDE w:val="0"/>
        <w:autoSpaceDN w:val="0"/>
        <w:adjustRightInd w:val="0"/>
        <w:rPr>
          <w:rFonts w:cs="Times New Roman"/>
          <w:szCs w:val="24"/>
        </w:rPr>
      </w:pPr>
    </w:p>
    <w:p w14:paraId="2876AD55" w14:textId="1C5E61A9" w:rsidR="000D51E3" w:rsidRDefault="000D51E3" w:rsidP="000D51E3">
      <w:pPr>
        <w:autoSpaceDE w:val="0"/>
        <w:autoSpaceDN w:val="0"/>
        <w:adjustRightInd w:val="0"/>
        <w:rPr>
          <w:rFonts w:cs="Times New Roman"/>
          <w:szCs w:val="24"/>
        </w:rPr>
      </w:pPr>
      <w:r w:rsidRPr="000D51E3">
        <w:rPr>
          <w:rFonts w:cs="Times New Roman"/>
          <w:szCs w:val="24"/>
        </w:rPr>
        <w:t>participate in any securities transaction.]]</w:t>
      </w:r>
    </w:p>
    <w:p w14:paraId="6BD563A3" w14:textId="77777777" w:rsidR="003320CA" w:rsidRPr="000D51E3" w:rsidRDefault="003320CA"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 xml:space="preserve">See Retail Wholesale &amp; </w:t>
      </w:r>
      <w:proofErr w:type="spellStart"/>
      <w:r w:rsidRPr="000D51E3">
        <w:rPr>
          <w:rFonts w:cs="Times New Roman"/>
          <w:i/>
          <w:iCs/>
          <w:szCs w:val="24"/>
        </w:rPr>
        <w:t>Dep’t</w:t>
      </w:r>
      <w:proofErr w:type="spellEnd"/>
      <w:r w:rsidRPr="000D51E3">
        <w:rPr>
          <w:rFonts w:cs="Times New Roman"/>
          <w:i/>
          <w:iCs/>
          <w:szCs w:val="24"/>
        </w:rPr>
        <w:t xml:space="preserve">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see also In re Alphabet, Inc. Sec. Litig</w:t>
      </w:r>
      <w:r w:rsidRPr="000D51E3">
        <w:rPr>
          <w:rFonts w:cs="Times New Roman"/>
          <w:szCs w:val="24"/>
        </w:rPr>
        <w:t xml:space="preserve">., 1 F.4th 687, 699 (9th Cir. 2021).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2D4BC7CC" w:rsid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proofErr w:type="spellStart"/>
      <w:r w:rsidRPr="000D51E3">
        <w:rPr>
          <w:rFonts w:cs="Times New Roman"/>
          <w:i/>
          <w:iCs/>
          <w:szCs w:val="24"/>
        </w:rPr>
        <w:t>Matrixx</w:t>
      </w:r>
      <w:proofErr w:type="spellEnd"/>
      <w:r w:rsidRPr="000D51E3">
        <w:rPr>
          <w:rFonts w:cs="Times New Roman"/>
          <w:i/>
          <w:iCs/>
          <w:szCs w:val="24"/>
        </w:rPr>
        <w:t xml:space="preserve"> Initiatives, Inc. v. </w:t>
      </w:r>
      <w:proofErr w:type="spellStart"/>
      <w:r w:rsidRPr="000D51E3">
        <w:rPr>
          <w:rFonts w:cs="Times New Roman"/>
          <w:i/>
          <w:iCs/>
          <w:szCs w:val="24"/>
        </w:rPr>
        <w:t>Siracusano</w:t>
      </w:r>
      <w:proofErr w:type="spellEnd"/>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F3CB573" w14:textId="77777777" w:rsidR="00372617" w:rsidRPr="000D51E3" w:rsidRDefault="00372617" w:rsidP="000D51E3">
      <w:pPr>
        <w:autoSpaceDE w:val="0"/>
        <w:autoSpaceDN w:val="0"/>
        <w:adjustRightInd w:val="0"/>
        <w:rPr>
          <w:rFonts w:cs="Times New Roman"/>
          <w:szCs w:val="24"/>
        </w:rPr>
      </w:pPr>
    </w:p>
    <w:p w14:paraId="37DEC5C3" w14:textId="77777777" w:rsidR="00AA1CF0" w:rsidRDefault="000D51E3" w:rsidP="000D51E3">
      <w:pPr>
        <w:autoSpaceDE w:val="0"/>
        <w:autoSpaceDN w:val="0"/>
        <w:adjustRightInd w:val="0"/>
        <w:rPr>
          <w:rFonts w:cs="Times New Roman"/>
          <w:szCs w:val="24"/>
        </w:rPr>
      </w:pPr>
      <w:r w:rsidRPr="000D51E3">
        <w:rPr>
          <w:rFonts w:cs="Times New Roman"/>
          <w:szCs w:val="24"/>
        </w:rPr>
        <w:tab/>
        <w:t xml:space="preserve">A duty of disclosure may also arise when the parties have “a fiduciary or agency relationship, prior dealings or circumstances such that one party has placed trust and confidence </w:t>
      </w:r>
    </w:p>
    <w:p w14:paraId="4BF0C0BE" w14:textId="571E5381" w:rsidR="000D51E3" w:rsidRPr="000D51E3" w:rsidRDefault="000D51E3" w:rsidP="000D51E3">
      <w:pPr>
        <w:autoSpaceDE w:val="0"/>
        <w:autoSpaceDN w:val="0"/>
        <w:adjustRightInd w:val="0"/>
        <w:rPr>
          <w:rFonts w:cs="Times New Roman"/>
          <w:szCs w:val="24"/>
        </w:rPr>
      </w:pPr>
      <w:r w:rsidRPr="000D51E3">
        <w:rPr>
          <w:rFonts w:cs="Times New Roman"/>
          <w:szCs w:val="24"/>
        </w:rPr>
        <w:t xml:space="preserve">in the other.”  </w:t>
      </w:r>
      <w:proofErr w:type="spellStart"/>
      <w:r w:rsidRPr="000D51E3">
        <w:rPr>
          <w:rFonts w:cs="Times New Roman"/>
          <w:i/>
          <w:iCs/>
          <w:szCs w:val="24"/>
        </w:rPr>
        <w:t>Paracor</w:t>
      </w:r>
      <w:proofErr w:type="spellEnd"/>
      <w:r w:rsidRPr="000D51E3">
        <w:rPr>
          <w:rFonts w:cs="Times New Roman"/>
          <w:i/>
          <w:iCs/>
          <w:szCs w:val="24"/>
        </w:rPr>
        <w:t xml:space="preserve">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 xml:space="preserve">See </w:t>
      </w:r>
      <w:proofErr w:type="spellStart"/>
      <w:r w:rsidRPr="000D51E3">
        <w:rPr>
          <w:rFonts w:cs="Times New Roman"/>
          <w:i/>
          <w:iCs/>
          <w:szCs w:val="24"/>
        </w:rPr>
        <w:t>Chiarella</w:t>
      </w:r>
      <w:proofErr w:type="spellEnd"/>
      <w:r w:rsidRPr="000D51E3">
        <w:rPr>
          <w:rFonts w:cs="Times New Roman"/>
          <w:i/>
          <w:iCs/>
          <w:szCs w:val="24"/>
        </w:rPr>
        <w:t xml:space="preserve"> v. United States</w:t>
      </w:r>
      <w:r w:rsidRPr="000D51E3">
        <w:rPr>
          <w:rFonts w:cs="Times New Roman"/>
          <w:szCs w:val="24"/>
        </w:rPr>
        <w:t>,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w:t>
      </w:r>
      <w:proofErr w:type="spellStart"/>
      <w:r w:rsidRPr="000D51E3">
        <w:rPr>
          <w:rFonts w:cs="Times New Roman"/>
          <w:szCs w:val="24"/>
        </w:rPr>
        <w:t>ing</w:t>
      </w:r>
      <w:proofErr w:type="spellEnd"/>
      <w:r w:rsidRPr="000D51E3">
        <w:rPr>
          <w:rFonts w:cs="Times New Roman"/>
          <w:szCs w:val="24"/>
        </w:rPr>
        <w:t xml:space="preserve">] a misleading half-truth about a material fact to a potential </w:t>
      </w:r>
      <w:r w:rsidR="00AA1CF0" w:rsidRPr="000D51E3">
        <w:rPr>
          <w:rFonts w:cs="Times New Roman"/>
          <w:szCs w:val="24"/>
        </w:rPr>
        <w:t>investor [</w:t>
      </w:r>
      <w:r w:rsidRPr="000D51E3">
        <w:rPr>
          <w:rFonts w:cs="Times New Roman"/>
          <w:szCs w:val="24"/>
        </w:rPr>
        <w:t xml:space="preserve">,] . . . independent of any responsibilities arising from a trust relationship.”  </w:t>
      </w:r>
      <w:r w:rsidRPr="000D51E3">
        <w:rPr>
          <w:rFonts w:cs="Times New Roman"/>
          <w:i/>
          <w:iCs/>
          <w:szCs w:val="24"/>
        </w:rPr>
        <w:t xml:space="preserve">United States v. </w:t>
      </w:r>
      <w:proofErr w:type="spellStart"/>
      <w:r w:rsidRPr="000D51E3">
        <w:rPr>
          <w:rFonts w:cs="Times New Roman"/>
          <w:i/>
          <w:iCs/>
          <w:szCs w:val="24"/>
        </w:rPr>
        <w:t>Laurienti</w:t>
      </w:r>
      <w:proofErr w:type="spellEnd"/>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security;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salary;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issuers;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investors;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w:t>
      </w:r>
      <w:proofErr w:type="spellStart"/>
      <w:r w:rsidRPr="000D51E3">
        <w:rPr>
          <w:rFonts w:cs="Times New Roman"/>
          <w:szCs w:val="24"/>
        </w:rPr>
        <w:t>advertis</w:t>
      </w:r>
      <w:proofErr w:type="spellEnd"/>
      <w:r w:rsidRPr="000D51E3">
        <w:rPr>
          <w:rFonts w:cs="Times New Roman"/>
          <w:szCs w:val="24"/>
        </w:rPr>
        <w:t xml:space="preserve">[ed] for clients;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investment;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43FE631"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 xml:space="preserve">To show a Rule 10b-5 violation, a private plaintiff must prove a “causal connection between a defendant’s misrepresentation and [the] plaintiff’s </w:t>
      </w:r>
      <w:r w:rsidR="00AA1CF0" w:rsidRPr="000D51E3">
        <w:rPr>
          <w:rFonts w:cs="Times New Roman"/>
          <w:szCs w:val="24"/>
          <w:highlight w:val="white"/>
        </w:rPr>
        <w:t>injury [</w:t>
      </w:r>
      <w:r w:rsidRPr="000D51E3">
        <w:rPr>
          <w:rFonts w:cs="Times New Roman"/>
          <w:szCs w:val="24"/>
          <w:highlight w:val="white"/>
        </w:rPr>
        <w:t>,]” . . . a proximate relationship between the plaintiff’s injury and the purchase or sale of a security[,]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6E929CC8" w14:textId="77777777" w:rsidR="0092739B"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 xml:space="preserve">Levine v. </w:t>
      </w:r>
      <w:proofErr w:type="spellStart"/>
      <w:r w:rsidRPr="000D51E3">
        <w:rPr>
          <w:rFonts w:cs="Times New Roman"/>
          <w:i/>
          <w:iCs/>
          <w:szCs w:val="24"/>
          <w:highlight w:val="white"/>
        </w:rPr>
        <w:t>Diamanthuset</w:t>
      </w:r>
      <w:proofErr w:type="spellEnd"/>
      <w:r w:rsidRPr="000D51E3">
        <w:rPr>
          <w:rFonts w:cs="Times New Roman"/>
          <w:i/>
          <w:iCs/>
          <w:szCs w:val="24"/>
          <w:highlight w:val="white"/>
        </w:rPr>
        <w:t>, Inc.</w:t>
      </w:r>
      <w:r w:rsidRPr="000D51E3">
        <w:rPr>
          <w:rFonts w:cs="Times New Roman"/>
          <w:szCs w:val="24"/>
          <w:highlight w:val="white"/>
        </w:rPr>
        <w:t xml:space="preserve">, 950 F.2d 1478, 1485-86 (9th Cir. 1991) (citations omitted) (first alteration in original).  The defendant need not, however, have actually participated in any securities transaction so long as the defendant was engaged in fraudulent conduct that was “in 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xml:space="preserve">, 404 U.S. 6, 12 (1971) (holding that fraudulent conduct is “in connection with” a purchase or sale if </w:t>
      </w:r>
    </w:p>
    <w:p w14:paraId="4881501B" w14:textId="77777777" w:rsidR="0092739B" w:rsidRDefault="0092739B" w:rsidP="000D51E3">
      <w:pPr>
        <w:autoSpaceDE w:val="0"/>
        <w:autoSpaceDN w:val="0"/>
        <w:adjustRightInd w:val="0"/>
        <w:rPr>
          <w:rFonts w:cs="Times New Roman"/>
          <w:szCs w:val="24"/>
          <w:highlight w:val="white"/>
        </w:rPr>
      </w:pPr>
    </w:p>
    <w:p w14:paraId="092A5744" w14:textId="23EAF81F" w:rsidR="000D51E3" w:rsidRDefault="000D51E3" w:rsidP="000D51E3">
      <w:pPr>
        <w:autoSpaceDE w:val="0"/>
        <w:autoSpaceDN w:val="0"/>
        <w:adjustRightInd w:val="0"/>
        <w:rPr>
          <w:rFonts w:cs="Times New Roman"/>
          <w:szCs w:val="24"/>
          <w:highlight w:val="white"/>
        </w:rPr>
      </w:pPr>
      <w:r w:rsidRPr="000D51E3">
        <w:rPr>
          <w:rFonts w:cs="Times New Roman"/>
          <w:szCs w:val="24"/>
          <w:highlight w:val="white"/>
        </w:rPr>
        <w:t>the alleged fraudulent conduct is found to be “touching” the securities transaction).</w:t>
      </w:r>
    </w:p>
    <w:p w14:paraId="083D8EB6" w14:textId="77777777" w:rsidR="0092739B" w:rsidRPr="00AA1CF0" w:rsidRDefault="0092739B" w:rsidP="000D51E3">
      <w:pPr>
        <w:autoSpaceDE w:val="0"/>
        <w:autoSpaceDN w:val="0"/>
        <w:adjustRightInd w:val="0"/>
        <w:rPr>
          <w:rFonts w:cs="Times New Roman"/>
          <w:szCs w:val="24"/>
          <w:highlight w:val="white"/>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proofErr w:type="spellStart"/>
      <w:r w:rsidRPr="000D51E3">
        <w:rPr>
          <w:rFonts w:cs="Times New Roman"/>
          <w:i/>
          <w:iCs/>
          <w:szCs w:val="24"/>
        </w:rPr>
        <w:t>Spilker</w:t>
      </w:r>
      <w:proofErr w:type="spellEnd"/>
      <w:r w:rsidRPr="000D51E3">
        <w:rPr>
          <w:rFonts w:cs="Times New Roman"/>
          <w:i/>
          <w:iCs/>
          <w:szCs w:val="24"/>
        </w:rPr>
        <w:t xml:space="preserve">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77777777"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Revised Sept. 2021</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7C51DF36" w:rsidR="006A4CD7" w:rsidRPr="006A4CD7" w:rsidRDefault="006A4CD7" w:rsidP="0035216F">
      <w:pPr>
        <w:pStyle w:val="Heading2"/>
      </w:pPr>
      <w:r w:rsidRPr="006A4CD7">
        <w:br w:type="page"/>
      </w:r>
      <w:bookmarkStart w:id="356" w:name="_Toc117512633"/>
      <w:r w:rsidRPr="006A4CD7">
        <w:t xml:space="preserve">18.2 </w:t>
      </w:r>
      <w:r w:rsidR="009B4915" w:rsidRPr="009B4915">
        <w:t>Securities—Rule 10b-5 Claim</w:t>
      </w:r>
      <w:bookmarkEnd w:id="356"/>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[made an untrue statement of a material fact] [omitted a material fact necessary under the circumstances to keep the statements that were made from being misleading] in connection with the [purchase] [sale] of securities;</w:t>
      </w:r>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acted knowingly;</w:t>
      </w:r>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omission;</w:t>
      </w:r>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Retail Wholesale &amp; </w:t>
      </w:r>
      <w:proofErr w:type="spellStart"/>
      <w:r w:rsidRPr="006A4CD7">
        <w:rPr>
          <w:rFonts w:cs="Times New Roman"/>
          <w:i/>
          <w:iCs/>
          <w:szCs w:val="24"/>
        </w:rPr>
        <w:t>Dep’t</w:t>
      </w:r>
      <w:proofErr w:type="spellEnd"/>
      <w:r w:rsidRPr="006A4CD7">
        <w:rPr>
          <w:rFonts w:cs="Times New Roman"/>
          <w:i/>
          <w:iCs/>
          <w:szCs w:val="24"/>
        </w:rPr>
        <w:t xml:space="preserve">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005E52DC"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w:t>
      </w:r>
      <w:r w:rsidR="00372617" w:rsidRPr="006A4CD7">
        <w:rPr>
          <w:rFonts w:cs="Times New Roman"/>
          <w:szCs w:val="24"/>
        </w:rPr>
        <w:t>of security</w:t>
      </w:r>
      <w:r w:rsidRPr="006A4CD7">
        <w:rPr>
          <w:rFonts w:cs="Times New Roman"/>
          <w:szCs w:val="24"/>
        </w:rPr>
        <w:t xml:space="preserve">).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391D1BA8" w:rsidR="006A4CD7" w:rsidRPr="006A4CD7" w:rsidRDefault="006A4CD7" w:rsidP="0035216F">
      <w:pPr>
        <w:pStyle w:val="Heading2"/>
      </w:pPr>
      <w:r w:rsidRPr="006A4CD7">
        <w:br w:type="page"/>
      </w:r>
      <w:bookmarkStart w:id="357" w:name="_Toc117512634"/>
      <w:r w:rsidRPr="006A4CD7">
        <w:t xml:space="preserve">18.3 </w:t>
      </w:r>
      <w:r w:rsidR="009B4915" w:rsidRPr="009B4915">
        <w:t>Securities—Misrepresentations or Omissions—Materiality</w:t>
      </w:r>
      <w:bookmarkEnd w:id="357"/>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1DCF9AEE" w14:textId="77777777" w:rsidR="009519FE" w:rsidRPr="001932D6" w:rsidRDefault="006A4CD7" w:rsidP="009519FE">
      <w:pPr>
        <w:autoSpaceDE w:val="0"/>
        <w:autoSpaceDN w:val="0"/>
        <w:adjustRightInd w:val="0"/>
        <w:rPr>
          <w:rFonts w:cs="Times New Roman"/>
          <w:szCs w:val="24"/>
        </w:rPr>
      </w:pPr>
      <w:r w:rsidRPr="006A4CD7">
        <w:rPr>
          <w:rFonts w:cs="Times New Roman"/>
          <w:szCs w:val="24"/>
        </w:rPr>
        <w:tab/>
      </w:r>
      <w:bookmarkStart w:id="358" w:name="_Hlk105589843"/>
      <w:r w:rsidR="009519FE" w:rsidRPr="001932D6">
        <w:rPr>
          <w:rFonts w:cs="Times New Roman"/>
          <w:szCs w:val="24"/>
        </w:rPr>
        <w:t>The plaintiff must prove by a preponderance of the evidence that the defendant’s misrepresentation or omission was material.</w:t>
      </w:r>
    </w:p>
    <w:p w14:paraId="407752B6" w14:textId="77777777" w:rsidR="009519FE" w:rsidRPr="001932D6" w:rsidRDefault="009519FE" w:rsidP="009519FE">
      <w:pPr>
        <w:autoSpaceDE w:val="0"/>
        <w:autoSpaceDN w:val="0"/>
        <w:adjustRightInd w:val="0"/>
        <w:rPr>
          <w:rFonts w:cs="Times New Roman"/>
          <w:szCs w:val="24"/>
        </w:rPr>
      </w:pPr>
    </w:p>
    <w:p w14:paraId="3CACD713"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A factual representation concerning a security is material if there is a substantial likelihood a reasonable investor would consider the fact important in deciding whether to buy or sell that security.</w:t>
      </w:r>
    </w:p>
    <w:p w14:paraId="4DC3CE44" w14:textId="77777777" w:rsidR="009519FE" w:rsidRPr="001932D6" w:rsidRDefault="009519FE" w:rsidP="009519FE">
      <w:pPr>
        <w:autoSpaceDE w:val="0"/>
        <w:autoSpaceDN w:val="0"/>
        <w:adjustRightInd w:val="0"/>
        <w:rPr>
          <w:rFonts w:cs="Times New Roman"/>
          <w:szCs w:val="24"/>
        </w:rPr>
      </w:pPr>
    </w:p>
    <w:p w14:paraId="6BCCE2C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An omission concerning a security is material if a reasonable investor would have regarded what was not disclosed to [him] [her] [it] as having significantly altered the total mix of information [he] [she] [it] took into account in deciding whether to buy or sell the security.</w:t>
      </w:r>
    </w:p>
    <w:p w14:paraId="2E25424A" w14:textId="77777777" w:rsidR="009519FE" w:rsidRPr="001932D6" w:rsidRDefault="009519FE" w:rsidP="009519FE">
      <w:pPr>
        <w:autoSpaceDE w:val="0"/>
        <w:autoSpaceDN w:val="0"/>
        <w:adjustRightInd w:val="0"/>
        <w:rPr>
          <w:rFonts w:cs="Times New Roman"/>
          <w:szCs w:val="24"/>
        </w:rPr>
      </w:pPr>
    </w:p>
    <w:p w14:paraId="666CE1BA" w14:textId="77777777" w:rsidR="009519FE" w:rsidRPr="001932D6" w:rsidRDefault="009519FE" w:rsidP="009519FE">
      <w:pPr>
        <w:autoSpaceDE w:val="0"/>
        <w:autoSpaceDN w:val="0"/>
        <w:adjustRightInd w:val="0"/>
        <w:rPr>
          <w:rFonts w:cs="Times New Roman"/>
          <w:szCs w:val="24"/>
        </w:rPr>
      </w:pPr>
      <w:r w:rsidRPr="001932D6">
        <w:rPr>
          <w:rFonts w:cs="Times New Roman"/>
          <w:szCs w:val="24"/>
        </w:rPr>
        <w:tab/>
        <w:t>You must decide whether something was material based on the circumstances as they existed at the time of the statement or omission.</w:t>
      </w:r>
    </w:p>
    <w:p w14:paraId="7A1C9C65" w14:textId="77777777" w:rsidR="009519FE" w:rsidRPr="001932D6" w:rsidRDefault="009519FE" w:rsidP="009519FE">
      <w:pPr>
        <w:autoSpaceDE w:val="0"/>
        <w:autoSpaceDN w:val="0"/>
        <w:adjustRightInd w:val="0"/>
        <w:jc w:val="center"/>
        <w:rPr>
          <w:rFonts w:ascii="CG Times" w:hAnsi="CG Times" w:cs="CG Times"/>
          <w:b/>
          <w:bCs/>
          <w:szCs w:val="24"/>
        </w:rPr>
      </w:pPr>
    </w:p>
    <w:p w14:paraId="36A8CA40" w14:textId="77777777" w:rsidR="009519FE" w:rsidRPr="001932D6" w:rsidRDefault="009519FE" w:rsidP="009519FE">
      <w:pPr>
        <w:autoSpaceDE w:val="0"/>
        <w:autoSpaceDN w:val="0"/>
        <w:adjustRightInd w:val="0"/>
        <w:jc w:val="center"/>
        <w:rPr>
          <w:rFonts w:ascii="CG Times" w:hAnsi="CG Times" w:cs="CG Times"/>
          <w:szCs w:val="24"/>
        </w:rPr>
      </w:pPr>
      <w:r w:rsidRPr="001932D6">
        <w:rPr>
          <w:rFonts w:ascii="CG Times" w:hAnsi="CG Times" w:cs="CG Times"/>
          <w:b/>
          <w:bCs/>
          <w:szCs w:val="24"/>
        </w:rPr>
        <w:t>Comment</w:t>
      </w:r>
    </w:p>
    <w:p w14:paraId="0463C0F6" w14:textId="77777777" w:rsidR="009519FE" w:rsidRPr="001932D6" w:rsidRDefault="009519FE" w:rsidP="009519FE">
      <w:pPr>
        <w:autoSpaceDE w:val="0"/>
        <w:autoSpaceDN w:val="0"/>
        <w:adjustRightInd w:val="0"/>
        <w:rPr>
          <w:rFonts w:ascii="CG Times" w:hAnsi="CG Times" w:cs="CG Times"/>
          <w:szCs w:val="24"/>
        </w:rPr>
      </w:pPr>
    </w:p>
    <w:p w14:paraId="01EE4A54"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w:t>
      </w:r>
      <w:r w:rsidRPr="001932D6">
        <w:rPr>
          <w:rFonts w:ascii="CG Times" w:hAnsi="CG Times" w:cs="CG Times"/>
          <w:i/>
          <w:iCs/>
          <w:szCs w:val="24"/>
        </w:rPr>
        <w:t>Basic Inc. v. Levinson</w:t>
      </w:r>
      <w:r w:rsidRPr="001932D6">
        <w:rPr>
          <w:rFonts w:ascii="CG Times" w:hAnsi="CG Times" w:cs="CG Times"/>
          <w:szCs w:val="24"/>
        </w:rPr>
        <w:t xml:space="preserve">, 485 U.S. 224, 231 (1988), the Supreme Court adopted the standard for materiality developed in </w:t>
      </w:r>
      <w:r w:rsidRPr="001932D6">
        <w:rPr>
          <w:rFonts w:ascii="CG Times" w:hAnsi="CG Times" w:cs="CG Times"/>
          <w:i/>
          <w:iCs/>
          <w:szCs w:val="24"/>
        </w:rPr>
        <w:t>TSC Industries, Inc. v. Northway, Inc.</w:t>
      </w:r>
      <w:r w:rsidRPr="001932D6">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1932D6">
        <w:rPr>
          <w:rFonts w:cs="Times New Roman"/>
          <w:szCs w:val="24"/>
        </w:rPr>
        <w:t xml:space="preserve">15 U.S.C. </w:t>
      </w:r>
      <w:r w:rsidRPr="001932D6">
        <w:rPr>
          <w:rFonts w:ascii="CG Times" w:hAnsi="CG Times" w:cs="CG Times"/>
          <w:szCs w:val="24"/>
        </w:rPr>
        <w:t xml:space="preserve">§ 78j(b).  The Ninth Circuit describes this standard as “objective materiality.”  </w:t>
      </w:r>
      <w:r w:rsidRPr="001932D6">
        <w:rPr>
          <w:rFonts w:cs="Times New Roman"/>
          <w:i/>
          <w:iCs/>
          <w:szCs w:val="24"/>
        </w:rPr>
        <w:t>In re Alphabet, Inc. Sec. Litig</w:t>
      </w:r>
      <w:r w:rsidRPr="001932D6">
        <w:rPr>
          <w:rFonts w:cs="Times New Roman"/>
          <w:szCs w:val="24"/>
        </w:rPr>
        <w:t>., 1 F.4th 687, 705 (9th Cir. 2021).</w:t>
      </w:r>
    </w:p>
    <w:p w14:paraId="2DA62B65"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r>
      <w:r w:rsidRPr="001932D6">
        <w:rPr>
          <w:rFonts w:ascii="CG Times" w:hAnsi="CG Times" w:cs="CG Times"/>
          <w:szCs w:val="24"/>
        </w:rPr>
        <w:tab/>
      </w:r>
    </w:p>
    <w:p w14:paraId="5ADB81FB"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In discussing materiality, the Ninth Circuit has applied </w:t>
      </w:r>
      <w:r w:rsidRPr="001932D6">
        <w:rPr>
          <w:rFonts w:ascii="CG Times" w:hAnsi="CG Times" w:cs="CG Times"/>
          <w:i/>
          <w:iCs/>
          <w:szCs w:val="24"/>
        </w:rPr>
        <w:t>TSC Industries</w:t>
      </w:r>
      <w:r w:rsidRPr="001932D6">
        <w:rPr>
          <w:rFonts w:ascii="CG Times" w:hAnsi="CG Times" w:cs="CG Times"/>
          <w:szCs w:val="24"/>
        </w:rPr>
        <w:t xml:space="preserve"> and </w:t>
      </w:r>
      <w:r w:rsidRPr="001932D6">
        <w:rPr>
          <w:rFonts w:ascii="CG Times" w:hAnsi="CG Times" w:cs="CG Times"/>
          <w:i/>
          <w:iCs/>
          <w:szCs w:val="24"/>
        </w:rPr>
        <w:t xml:space="preserve">Basic Inc. </w:t>
      </w:r>
      <w:r w:rsidRPr="001932D6">
        <w:rPr>
          <w:rFonts w:ascii="CG Times" w:hAnsi="CG Times" w:cs="CG Times"/>
          <w:szCs w:val="24"/>
        </w:rPr>
        <w:t xml:space="preserve">in various formulations. </w:t>
      </w:r>
      <w:r w:rsidRPr="001932D6">
        <w:rPr>
          <w:rFonts w:ascii="CG Times" w:hAnsi="CG Times" w:cs="CG Times"/>
          <w:i/>
          <w:iCs/>
          <w:szCs w:val="24"/>
        </w:rPr>
        <w:t xml:space="preserve"> See, e.g.</w:t>
      </w:r>
      <w:r w:rsidRPr="001932D6">
        <w:rPr>
          <w:rFonts w:ascii="CG Times" w:hAnsi="CG Times" w:cs="CG Times"/>
          <w:szCs w:val="24"/>
        </w:rPr>
        <w:t>,</w:t>
      </w:r>
      <w:r w:rsidRPr="001932D6">
        <w:rPr>
          <w:rFonts w:ascii="CG Times" w:hAnsi="CG Times" w:cs="CG Times"/>
          <w:i/>
          <w:iCs/>
          <w:szCs w:val="24"/>
        </w:rPr>
        <w:t xml:space="preserve"> SEC v. Hui Feng</w:t>
      </w:r>
      <w:r w:rsidRPr="001932D6">
        <w:rPr>
          <w:rFonts w:ascii="CG Times" w:hAnsi="CG Times" w:cs="CG Times"/>
          <w:szCs w:val="24"/>
        </w:rPr>
        <w:t>, 935 F.3d 721, 736 (9th Cir. 2019) (applying</w:t>
      </w:r>
    </w:p>
    <w:p w14:paraId="3216652F"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i/>
          <w:iCs/>
          <w:szCs w:val="24"/>
        </w:rPr>
        <w:t xml:space="preserve">TSC </w:t>
      </w:r>
      <w:r w:rsidRPr="001932D6">
        <w:rPr>
          <w:rFonts w:ascii="CG Times" w:hAnsi="CG Times" w:cs="CG Times"/>
          <w:szCs w:val="24"/>
        </w:rPr>
        <w:t>materiality test);</w:t>
      </w:r>
      <w:r w:rsidRPr="001932D6">
        <w:rPr>
          <w:rFonts w:cs="Times New Roman"/>
          <w:i/>
          <w:iCs/>
          <w:szCs w:val="24"/>
        </w:rPr>
        <w:t xml:space="preserve"> Livid Holdings Ltd. v. Salomon Smith Barney, Inc.</w:t>
      </w:r>
      <w:r w:rsidRPr="001932D6">
        <w:rPr>
          <w:rFonts w:cs="Times New Roman"/>
          <w:szCs w:val="24"/>
        </w:rPr>
        <w:t>, 416 F.3d 940, 946-48 (9th Cir. 2005)</w:t>
      </w:r>
      <w:r w:rsidRPr="001932D6">
        <w:rPr>
          <w:rFonts w:ascii="CG Times" w:hAnsi="CG Times" w:cs="CG Times"/>
          <w:szCs w:val="24"/>
        </w:rPr>
        <w:t xml:space="preserve"> (applying </w:t>
      </w:r>
      <w:r w:rsidRPr="001932D6">
        <w:rPr>
          <w:rFonts w:ascii="CG Times" w:hAnsi="CG Times" w:cs="CG Times"/>
          <w:i/>
          <w:iCs/>
          <w:szCs w:val="24"/>
        </w:rPr>
        <w:t>Basic Inc.</w:t>
      </w:r>
      <w:r w:rsidRPr="001932D6">
        <w:rPr>
          <w:rFonts w:ascii="CG Times" w:hAnsi="CG Times" w:cs="CG Times"/>
          <w:szCs w:val="24"/>
        </w:rPr>
        <w:t xml:space="preserve"> materiality test)</w:t>
      </w:r>
      <w:r w:rsidRPr="001932D6">
        <w:rPr>
          <w:rFonts w:cs="Times New Roman"/>
          <w:szCs w:val="24"/>
        </w:rPr>
        <w:t xml:space="preserve">; </w:t>
      </w:r>
      <w:r w:rsidRPr="001932D6">
        <w:rPr>
          <w:rFonts w:cs="Times New Roman"/>
          <w:i/>
          <w:iCs/>
          <w:szCs w:val="24"/>
        </w:rPr>
        <w:t>No. 84 Emp’r-Teamster Joint Council Pension Trust Fund v. Am. W. Holding Corp</w:t>
      </w:r>
      <w:r w:rsidRPr="001932D6">
        <w:rPr>
          <w:rFonts w:cs="Times New Roman"/>
          <w:szCs w:val="24"/>
        </w:rPr>
        <w:t xml:space="preserve">., 320 F.3d 920, 934 (9th Cir. 2003) (declining to adopt bright line rule for materiality that would require immediate change in stock price and instead engaging in  “fact-specific inquiry” under </w:t>
      </w:r>
      <w:r w:rsidRPr="001932D6">
        <w:rPr>
          <w:rFonts w:cs="Times New Roman"/>
          <w:i/>
          <w:iCs/>
          <w:szCs w:val="24"/>
        </w:rPr>
        <w:t>Basic Inc.</w:t>
      </w:r>
      <w:r w:rsidRPr="001932D6">
        <w:rPr>
          <w:rFonts w:cs="Times New Roman"/>
          <w:szCs w:val="24"/>
        </w:rPr>
        <w:t>)</w:t>
      </w:r>
      <w:r w:rsidRPr="001932D6">
        <w:rPr>
          <w:rFonts w:ascii="CG Times" w:hAnsi="CG Times" w:cs="CG Times"/>
          <w:szCs w:val="24"/>
        </w:rPr>
        <w:t xml:space="preserve">; </w:t>
      </w:r>
      <w:r w:rsidRPr="001932D6">
        <w:rPr>
          <w:rFonts w:ascii="CG Times" w:hAnsi="CG Times" w:cs="CG Times"/>
          <w:i/>
          <w:iCs/>
          <w:szCs w:val="24"/>
        </w:rPr>
        <w:t xml:space="preserve">In re </w:t>
      </w:r>
      <w:proofErr w:type="spellStart"/>
      <w:r w:rsidRPr="001932D6">
        <w:rPr>
          <w:rFonts w:ascii="CG Times" w:hAnsi="CG Times" w:cs="CG Times"/>
          <w:i/>
          <w:iCs/>
          <w:szCs w:val="24"/>
        </w:rPr>
        <w:t>Stac</w:t>
      </w:r>
      <w:proofErr w:type="spellEnd"/>
      <w:r w:rsidRPr="001932D6">
        <w:rPr>
          <w:rFonts w:ascii="CG Times" w:hAnsi="CG Times" w:cs="CG Times"/>
          <w:i/>
          <w:iCs/>
          <w:szCs w:val="24"/>
        </w:rPr>
        <w:t xml:space="preserve"> </w:t>
      </w:r>
      <w:proofErr w:type="spellStart"/>
      <w:r w:rsidRPr="001932D6">
        <w:rPr>
          <w:rFonts w:ascii="CG Times" w:hAnsi="CG Times" w:cs="CG Times"/>
          <w:i/>
          <w:iCs/>
          <w:szCs w:val="24"/>
        </w:rPr>
        <w:t>Electrs</w:t>
      </w:r>
      <w:proofErr w:type="spellEnd"/>
      <w:r w:rsidRPr="001932D6">
        <w:rPr>
          <w:rFonts w:ascii="CG Times" w:hAnsi="CG Times" w:cs="CG Times"/>
          <w:i/>
          <w:iCs/>
          <w:szCs w:val="24"/>
        </w:rPr>
        <w:t>. Sec. Litig.</w:t>
      </w:r>
      <w:r w:rsidRPr="001932D6">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1932D6">
        <w:rPr>
          <w:rFonts w:ascii="CG Times" w:hAnsi="CG Times" w:cs="CG Times"/>
          <w:i/>
          <w:iCs/>
          <w:szCs w:val="24"/>
        </w:rPr>
        <w:t>Kaplan v. Rose</w:t>
      </w:r>
      <w:r w:rsidRPr="001932D6">
        <w:rPr>
          <w:rFonts w:ascii="CG Times" w:hAnsi="CG Times" w:cs="CG Times"/>
          <w:szCs w:val="24"/>
        </w:rPr>
        <w:t xml:space="preserve">, 49 F.3d 1363, 1371 (9th Cir. 1994) (applying test of whether omission or misrepresentation would have misled reasonable investor about nature of his or her investment); </w:t>
      </w:r>
      <w:r w:rsidRPr="001932D6">
        <w:rPr>
          <w:rFonts w:ascii="CG Times" w:hAnsi="CG Times" w:cs="CG Times"/>
          <w:i/>
          <w:iCs/>
          <w:szCs w:val="24"/>
        </w:rPr>
        <w:t>McGonigle v. Combs</w:t>
      </w:r>
      <w:r w:rsidRPr="001932D6">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1932D6">
        <w:rPr>
          <w:rFonts w:ascii="CG Times" w:hAnsi="CG Times" w:cs="CG Times"/>
          <w:i/>
          <w:iCs/>
          <w:szCs w:val="24"/>
        </w:rPr>
        <w:t xml:space="preserve"> see also In re </w:t>
      </w:r>
      <w:proofErr w:type="spellStart"/>
      <w:r w:rsidRPr="001932D6">
        <w:rPr>
          <w:rFonts w:ascii="CG Times" w:hAnsi="CG Times" w:cs="CG Times"/>
          <w:i/>
          <w:iCs/>
          <w:szCs w:val="24"/>
        </w:rPr>
        <w:t>Atossa</w:t>
      </w:r>
      <w:proofErr w:type="spellEnd"/>
      <w:r w:rsidRPr="001932D6">
        <w:rPr>
          <w:rFonts w:ascii="CG Times" w:hAnsi="CG Times" w:cs="CG Times"/>
          <w:i/>
          <w:iCs/>
          <w:szCs w:val="24"/>
        </w:rPr>
        <w:t xml:space="preserve"> Genetics Inc. Sec. Litig.</w:t>
      </w:r>
      <w:r w:rsidRPr="001932D6">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20347E3D" w14:textId="77777777" w:rsidR="009519FE" w:rsidRPr="001932D6" w:rsidRDefault="009519FE" w:rsidP="009519FE">
      <w:pPr>
        <w:autoSpaceDE w:val="0"/>
        <w:autoSpaceDN w:val="0"/>
        <w:adjustRightInd w:val="0"/>
        <w:rPr>
          <w:rFonts w:ascii="CG Times" w:hAnsi="CG Times" w:cs="CG Times"/>
          <w:szCs w:val="24"/>
        </w:rPr>
      </w:pPr>
    </w:p>
    <w:p w14:paraId="18DBAC8D"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ab/>
        <w:t xml:space="preserve">For a discussion of the distinction between mere puffery, which is not material, and a statement that is materially misleading, </w:t>
      </w:r>
      <w:r w:rsidRPr="001932D6">
        <w:rPr>
          <w:rFonts w:ascii="CG Times" w:hAnsi="CG Times" w:cs="CG Times"/>
          <w:i/>
          <w:iCs/>
          <w:szCs w:val="24"/>
        </w:rPr>
        <w:t>see In re Quality Systems, Inc. Sec. Litig.</w:t>
      </w:r>
      <w:r w:rsidRPr="001932D6">
        <w:rPr>
          <w:rFonts w:ascii="CG Times" w:hAnsi="CG Times" w:cs="CG Times"/>
          <w:szCs w:val="24"/>
        </w:rPr>
        <w:t xml:space="preserve">, 865 F.3d 1130, 1143-44 (9th Cir. 2017).  In evaluating materiality, courts may consider SEC interpretive </w:t>
      </w:r>
    </w:p>
    <w:p w14:paraId="3E774E27" w14:textId="77777777" w:rsidR="009519FE" w:rsidRPr="001932D6" w:rsidRDefault="009519FE" w:rsidP="009519FE">
      <w:pPr>
        <w:autoSpaceDE w:val="0"/>
        <w:autoSpaceDN w:val="0"/>
        <w:adjustRightInd w:val="0"/>
        <w:rPr>
          <w:rFonts w:ascii="CG Times" w:hAnsi="CG Times" w:cs="CG Times"/>
          <w:szCs w:val="24"/>
        </w:rPr>
      </w:pPr>
      <w:r w:rsidRPr="001932D6">
        <w:rPr>
          <w:rFonts w:ascii="CG Times" w:hAnsi="CG Times" w:cs="CG Times"/>
          <w:szCs w:val="24"/>
        </w:rPr>
        <w:t xml:space="preserve">guidance.  </w:t>
      </w:r>
      <w:r w:rsidRPr="001932D6">
        <w:rPr>
          <w:rFonts w:ascii="CG Times" w:hAnsi="CG Times" w:cs="CG Times"/>
          <w:i/>
          <w:iCs/>
          <w:szCs w:val="24"/>
        </w:rPr>
        <w:t xml:space="preserve">See </w:t>
      </w:r>
      <w:r w:rsidRPr="001932D6">
        <w:rPr>
          <w:rFonts w:cs="Times New Roman"/>
          <w:i/>
          <w:iCs/>
          <w:szCs w:val="24"/>
        </w:rPr>
        <w:t>In re Alphabet, Inc. Sec. Litig</w:t>
      </w:r>
      <w:r w:rsidRPr="001932D6">
        <w:rPr>
          <w:rFonts w:cs="Times New Roman"/>
          <w:szCs w:val="24"/>
        </w:rPr>
        <w:t>.</w:t>
      </w:r>
      <w:r w:rsidRPr="001932D6">
        <w:rPr>
          <w:rFonts w:ascii="CG Times" w:hAnsi="CG Times" w:cs="CG Times"/>
          <w:szCs w:val="24"/>
        </w:rPr>
        <w:t>, 1 F.4th at 700.</w:t>
      </w:r>
    </w:p>
    <w:p w14:paraId="074A0023" w14:textId="77777777" w:rsidR="009519FE" w:rsidRPr="001932D6" w:rsidRDefault="009519FE" w:rsidP="009519FE">
      <w:pPr>
        <w:autoSpaceDE w:val="0"/>
        <w:autoSpaceDN w:val="0"/>
        <w:adjustRightInd w:val="0"/>
        <w:rPr>
          <w:rFonts w:cs="Times New Roman"/>
          <w:szCs w:val="24"/>
        </w:rPr>
      </w:pPr>
      <w:r w:rsidRPr="001932D6">
        <w:rPr>
          <w:rFonts w:ascii="CG Times" w:hAnsi="CG Times" w:cs="CG Times"/>
          <w:szCs w:val="24"/>
        </w:rPr>
        <w:tab/>
      </w:r>
      <w:r w:rsidRPr="001932D6">
        <w:rPr>
          <w:rFonts w:cs="Times New Roman"/>
          <w:szCs w:val="24"/>
        </w:rPr>
        <w:t xml:space="preserve">The Ninth Circuit has held that stock price movements are relevant to reliance, and not to materiality.  </w:t>
      </w:r>
      <w:r w:rsidRPr="001932D6">
        <w:rPr>
          <w:rFonts w:cs="Times New Roman"/>
          <w:i/>
          <w:iCs/>
          <w:szCs w:val="24"/>
        </w:rPr>
        <w:t xml:space="preserve">See Retail Wholesale &amp; </w:t>
      </w:r>
      <w:proofErr w:type="spellStart"/>
      <w:r w:rsidRPr="001932D6">
        <w:rPr>
          <w:rFonts w:cs="Times New Roman"/>
          <w:i/>
          <w:iCs/>
          <w:szCs w:val="24"/>
        </w:rPr>
        <w:t>Dep’t</w:t>
      </w:r>
      <w:proofErr w:type="spellEnd"/>
      <w:r w:rsidRPr="001932D6">
        <w:rPr>
          <w:rFonts w:cs="Times New Roman"/>
          <w:i/>
          <w:iCs/>
          <w:szCs w:val="24"/>
        </w:rPr>
        <w:t xml:space="preserve"> Store Union Local 338 Retirement Fund v. Hewlett-Packard Co.</w:t>
      </w:r>
      <w:r w:rsidRPr="001932D6">
        <w:rPr>
          <w:rFonts w:cs="Times New Roman"/>
          <w:szCs w:val="24"/>
        </w:rPr>
        <w:t>, 845 F.3d 1268, 1277 (9th Cir. 2017).</w:t>
      </w:r>
    </w:p>
    <w:p w14:paraId="3CF40034" w14:textId="77777777" w:rsidR="009519FE" w:rsidRPr="001932D6" w:rsidRDefault="009519FE" w:rsidP="009519FE">
      <w:pPr>
        <w:autoSpaceDE w:val="0"/>
        <w:autoSpaceDN w:val="0"/>
        <w:adjustRightInd w:val="0"/>
        <w:rPr>
          <w:rFonts w:cs="Times New Roman"/>
          <w:szCs w:val="24"/>
        </w:rPr>
      </w:pPr>
    </w:p>
    <w:p w14:paraId="77B8B247" w14:textId="77777777" w:rsidR="009519FE" w:rsidRPr="001932D6" w:rsidRDefault="009519FE" w:rsidP="009519FE">
      <w:pPr>
        <w:autoSpaceDE w:val="0"/>
        <w:autoSpaceDN w:val="0"/>
        <w:adjustRightInd w:val="0"/>
        <w:ind w:firstLine="720"/>
        <w:rPr>
          <w:rFonts w:ascii="TimesNewRomanPSMT" w:hAnsi="TimesNewRomanPSMT" w:cs="TimesNewRomanPSMT"/>
          <w:szCs w:val="24"/>
        </w:rPr>
      </w:pPr>
      <w:r w:rsidRPr="001932D6">
        <w:rPr>
          <w:rFonts w:ascii="TimesNewRomanPSMT" w:hAnsi="TimesNewRomanPSMT" w:cs="TimesNewRomanPSMT"/>
          <w:szCs w:val="24"/>
        </w:rPr>
        <w:t>The Ninth Circuit has also held that when plaintiffs make claims about the impact of</w:t>
      </w:r>
    </w:p>
    <w:p w14:paraId="039C5831"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highly technical information on investment decisions, they must provide enough context to make</w:t>
      </w:r>
    </w:p>
    <w:p w14:paraId="1FEFEFCC"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clear why investors would find one set of technical information meaningfully different from</w:t>
      </w:r>
    </w:p>
    <w:p w14:paraId="52CF2E17" w14:textId="77777777" w:rsidR="009519FE" w:rsidRPr="001932D6" w:rsidRDefault="009519FE" w:rsidP="009519FE">
      <w:pPr>
        <w:autoSpaceDE w:val="0"/>
        <w:autoSpaceDN w:val="0"/>
        <w:adjustRightInd w:val="0"/>
        <w:rPr>
          <w:rFonts w:ascii="TimesNewRomanPSMT" w:hAnsi="TimesNewRomanPSMT" w:cs="TimesNewRomanPSMT"/>
          <w:szCs w:val="24"/>
        </w:rPr>
      </w:pPr>
      <w:r w:rsidRPr="001932D6">
        <w:rPr>
          <w:rFonts w:ascii="TimesNewRomanPSMT" w:hAnsi="TimesNewRomanPSMT" w:cs="TimesNewRomanPSMT"/>
          <w:szCs w:val="24"/>
        </w:rPr>
        <w:t xml:space="preserve">another set of technical information.  </w:t>
      </w:r>
      <w:r w:rsidRPr="001932D6">
        <w:rPr>
          <w:rFonts w:ascii="TimesNewRomanPS-ItalicMT" w:hAnsi="TimesNewRomanPS-ItalicMT" w:cs="TimesNewRomanPS-ItalicMT"/>
          <w:i/>
          <w:iCs/>
          <w:szCs w:val="24"/>
        </w:rPr>
        <w:t xml:space="preserve">See In re </w:t>
      </w:r>
      <w:proofErr w:type="spellStart"/>
      <w:r w:rsidRPr="001932D6">
        <w:rPr>
          <w:rFonts w:ascii="TimesNewRomanPS-ItalicMT" w:hAnsi="TimesNewRomanPS-ItalicMT" w:cs="TimesNewRomanPS-ItalicMT"/>
          <w:i/>
          <w:iCs/>
          <w:szCs w:val="24"/>
        </w:rPr>
        <w:t>Nektar</w:t>
      </w:r>
      <w:proofErr w:type="spellEnd"/>
      <w:r w:rsidRPr="001932D6">
        <w:rPr>
          <w:rFonts w:ascii="TimesNewRomanPS-ItalicMT" w:hAnsi="TimesNewRomanPS-ItalicMT" w:cs="TimesNewRomanPS-ItalicMT"/>
          <w:i/>
          <w:iCs/>
          <w:szCs w:val="24"/>
        </w:rPr>
        <w:t xml:space="preserve"> Therapeutics Securities Litigation</w:t>
      </w:r>
      <w:r w:rsidRPr="001932D6">
        <w:rPr>
          <w:rFonts w:ascii="TimesNewRomanPSMT" w:hAnsi="TimesNewRomanPSMT" w:cs="TimesNewRomanPSMT"/>
          <w:szCs w:val="24"/>
        </w:rPr>
        <w:t>, 34 F.4th 828, 837 (9th</w:t>
      </w:r>
      <w:r w:rsidRPr="001932D6">
        <w:rPr>
          <w:rFonts w:ascii="TimesNewRomanPSMT" w:hAnsi="TimesNewRomanPSMT" w:cs="TimesNewRomanPSMT"/>
          <w:sz w:val="16"/>
          <w:szCs w:val="16"/>
        </w:rPr>
        <w:t xml:space="preserve"> </w:t>
      </w:r>
      <w:r w:rsidRPr="001932D6">
        <w:rPr>
          <w:rFonts w:ascii="TimesNewRomanPSMT" w:hAnsi="TimesNewRomanPSMT" w:cs="TimesNewRomanPSMT"/>
          <w:szCs w:val="24"/>
        </w:rPr>
        <w:t xml:space="preserve">Cir. 2022).  </w:t>
      </w:r>
    </w:p>
    <w:p w14:paraId="7127FF0B" w14:textId="77777777" w:rsidR="009519FE" w:rsidRPr="001932D6" w:rsidRDefault="009519FE" w:rsidP="009519FE">
      <w:pPr>
        <w:autoSpaceDE w:val="0"/>
        <w:autoSpaceDN w:val="0"/>
        <w:adjustRightInd w:val="0"/>
        <w:rPr>
          <w:rFonts w:ascii="CG Times" w:hAnsi="CG Times" w:cs="CG Times"/>
          <w:szCs w:val="24"/>
        </w:rPr>
      </w:pPr>
    </w:p>
    <w:p w14:paraId="26704F45" w14:textId="77777777" w:rsidR="009519FE" w:rsidRPr="001932D6" w:rsidRDefault="009519FE" w:rsidP="009519FE">
      <w:pPr>
        <w:autoSpaceDE w:val="0"/>
        <w:autoSpaceDN w:val="0"/>
        <w:adjustRightInd w:val="0"/>
        <w:jc w:val="right"/>
        <w:rPr>
          <w:rFonts w:ascii="CG Times" w:hAnsi="CG Times" w:cs="CG Times"/>
          <w:i/>
          <w:iCs/>
          <w:szCs w:val="24"/>
        </w:rPr>
      </w:pPr>
      <w:r w:rsidRPr="001932D6">
        <w:rPr>
          <w:rFonts w:ascii="CG Times" w:hAnsi="CG Times" w:cs="CG Times"/>
          <w:i/>
          <w:iCs/>
          <w:szCs w:val="24"/>
        </w:rPr>
        <w:t>Revised June 2022</w:t>
      </w:r>
    </w:p>
    <w:bookmarkEnd w:id="358"/>
    <w:p w14:paraId="2E6F34B7" w14:textId="3D9DD0B9" w:rsidR="000D51E3" w:rsidRPr="000D51E3" w:rsidRDefault="000D51E3" w:rsidP="009519FE">
      <w:pPr>
        <w:autoSpaceDE w:val="0"/>
        <w:autoSpaceDN w:val="0"/>
        <w:adjustRightInd w:val="0"/>
        <w:rPr>
          <w:rFonts w:ascii="CG Times" w:hAnsi="CG Times" w:cs="CG Times"/>
          <w:i/>
          <w:iCs/>
          <w:szCs w:val="24"/>
        </w:rPr>
      </w:pP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36DE25D3" w:rsidR="006A4CD7" w:rsidRPr="006A4CD7" w:rsidRDefault="006A4CD7" w:rsidP="0035216F">
      <w:pPr>
        <w:pStyle w:val="Heading2"/>
      </w:pPr>
      <w:r w:rsidRPr="006A4CD7">
        <w:br w:type="page"/>
      </w:r>
      <w:bookmarkStart w:id="359" w:name="_Toc117512635"/>
      <w:r w:rsidRPr="006A4CD7">
        <w:t xml:space="preserve">18.4 </w:t>
      </w:r>
      <w:r w:rsidR="009B4915" w:rsidRPr="009B4915">
        <w:t>Securities—Forward-Looking Statements</w:t>
      </w:r>
      <w:bookmarkEnd w:id="359"/>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5311DB96"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Predictions, </w:t>
      </w:r>
      <w:r w:rsidR="00AA1CF0" w:rsidRPr="000A7C5A">
        <w:rPr>
          <w:rFonts w:cs="Times New Roman"/>
          <w:szCs w:val="24"/>
        </w:rPr>
        <w:t>projections,</w:t>
      </w:r>
      <w:r w:rsidRPr="000A7C5A">
        <w:rPr>
          <w:rFonts w:cs="Times New Roman"/>
          <w:szCs w:val="24"/>
        </w:rPr>
        <w:t xml:space="preserve">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w:t>
      </w:r>
      <w:proofErr w:type="spellStart"/>
      <w:r w:rsidRPr="000A7C5A">
        <w:rPr>
          <w:rFonts w:cs="Times New Roman"/>
          <w:i/>
          <w:iCs/>
          <w:szCs w:val="24"/>
        </w:rPr>
        <w:t>Dep’t</w:t>
      </w:r>
      <w:proofErr w:type="spellEnd"/>
      <w:r w:rsidRPr="000A7C5A">
        <w:rPr>
          <w:rFonts w:cs="Times New Roman"/>
          <w:i/>
          <w:iCs/>
          <w:szCs w:val="24"/>
        </w:rPr>
        <w:t xml:space="preserve">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 xml:space="preserve">In re </w:t>
      </w:r>
      <w:proofErr w:type="spellStart"/>
      <w:r w:rsidRPr="000A7C5A">
        <w:rPr>
          <w:rFonts w:ascii="CG Times" w:hAnsi="CG Times" w:cs="CG Times"/>
          <w:i/>
          <w:iCs/>
          <w:szCs w:val="24"/>
        </w:rPr>
        <w:t>Cutera</w:t>
      </w:r>
      <w:proofErr w:type="spellEnd"/>
      <w:r w:rsidRPr="000A7C5A">
        <w:rPr>
          <w:rFonts w:ascii="CG Times" w:hAnsi="CG Times" w:cs="CG Times"/>
          <w:i/>
          <w:iCs/>
          <w:szCs w:val="24"/>
        </w:rPr>
        <w:t xml:space="preserve">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revenue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 xml:space="preserve">No. 84 </w:t>
      </w:r>
      <w:proofErr w:type="spellStart"/>
      <w:r w:rsidRPr="000A7C5A">
        <w:rPr>
          <w:rFonts w:ascii="CG Times" w:hAnsi="CG Times" w:cs="CG Times"/>
          <w:i/>
          <w:iCs/>
          <w:szCs w:val="24"/>
        </w:rPr>
        <w:t>Empl’r</w:t>
      </w:r>
      <w:proofErr w:type="spellEnd"/>
      <w:r w:rsidRPr="000A7C5A">
        <w:rPr>
          <w:rFonts w:ascii="CG Times" w:hAnsi="CG Times" w:cs="CG Times"/>
          <w:i/>
          <w:iCs/>
          <w:szCs w:val="24"/>
        </w:rPr>
        <w:t>-Teamster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46560E89" w14:textId="77777777" w:rsidR="0092739B"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w:t>
      </w:r>
    </w:p>
    <w:p w14:paraId="55CE8C2A" w14:textId="3C98A09A" w:rsidR="000A7C5A" w:rsidRPr="000A7C5A" w:rsidRDefault="000A7C5A" w:rsidP="000A7C5A">
      <w:pPr>
        <w:autoSpaceDE w:val="0"/>
        <w:autoSpaceDN w:val="0"/>
        <w:adjustRightInd w:val="0"/>
        <w:rPr>
          <w:rFonts w:cs="Times New Roman"/>
          <w:szCs w:val="24"/>
        </w:rPr>
      </w:pPr>
      <w:r w:rsidRPr="000A7C5A">
        <w:rPr>
          <w:rFonts w:cs="Times New Roman"/>
          <w:szCs w:val="24"/>
        </w:rPr>
        <w:t xml:space="preserve">statements of ‘mere corporate puffery, vague statements of optimism . . . or other </w:t>
      </w:r>
      <w:r w:rsidR="00AA1CF0" w:rsidRPr="000A7C5A">
        <w:rPr>
          <w:rFonts w:cs="Times New Roman"/>
          <w:szCs w:val="24"/>
        </w:rPr>
        <w:t>feel-good</w:t>
      </w:r>
      <w:r w:rsidRPr="000A7C5A">
        <w:rPr>
          <w:rFonts w:cs="Times New Roman"/>
          <w:szCs w:val="24"/>
        </w:rPr>
        <w:t xml:space="preserve">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6CC94DE4"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In re Oracle</w:t>
      </w:r>
      <w:r w:rsidRPr="000A7C5A">
        <w:rPr>
          <w:rFonts w:cs="Times New Roman"/>
          <w:szCs w:val="24"/>
        </w:rPr>
        <w:t>, 627 F.3d at 388;</w:t>
      </w:r>
      <w:r w:rsidRPr="000A7C5A">
        <w:rPr>
          <w:rFonts w:cs="Times New Roman"/>
          <w:i/>
          <w:iCs/>
          <w:szCs w:val="24"/>
        </w:rPr>
        <w:t xml:space="preserve"> </w:t>
      </w:r>
      <w:proofErr w:type="spellStart"/>
      <w:r w:rsidRPr="000A7C5A">
        <w:rPr>
          <w:rFonts w:cs="Times New Roman"/>
          <w:i/>
          <w:iCs/>
          <w:szCs w:val="24"/>
        </w:rPr>
        <w:t>Provenz</w:t>
      </w:r>
      <w:proofErr w:type="spellEnd"/>
      <w:r w:rsidRPr="000A7C5A">
        <w:rPr>
          <w:rFonts w:cs="Times New Roman"/>
          <w:i/>
          <w:iCs/>
          <w:szCs w:val="24"/>
        </w:rPr>
        <w:t xml:space="preserve">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proofErr w:type="spellStart"/>
      <w:r w:rsidRPr="000A7C5A">
        <w:rPr>
          <w:rFonts w:cs="Times New Roman"/>
          <w:i/>
          <w:iCs/>
          <w:szCs w:val="24"/>
        </w:rPr>
        <w:t>Provenz</w:t>
      </w:r>
      <w:proofErr w:type="spellEnd"/>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w:t>
      </w:r>
      <w:r w:rsidR="00372617" w:rsidRPr="000A7C5A">
        <w:rPr>
          <w:rFonts w:cs="Times New Roman"/>
          <w:szCs w:val="24"/>
        </w:rPr>
        <w:t>speak [</w:t>
      </w:r>
      <w:r w:rsidRPr="000A7C5A">
        <w:rPr>
          <w:rFonts w:cs="Times New Roman"/>
          <w:szCs w:val="24"/>
        </w:rPr>
        <w:t>] entirely of as-yet-unrealized risks and contingencies’ and do not ‘</w:t>
      </w:r>
      <w:r w:rsidR="00AA1CF0" w:rsidRPr="000A7C5A">
        <w:rPr>
          <w:rFonts w:cs="Times New Roman"/>
          <w:szCs w:val="24"/>
        </w:rPr>
        <w:t>alert [</w:t>
      </w:r>
      <w:r w:rsidRPr="000A7C5A">
        <w:rPr>
          <w:rFonts w:cs="Times New Roman"/>
          <w:szCs w:val="24"/>
        </w:rPr>
        <w:t xml:space="preserve">]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59D09CB4"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 xml:space="preserve">A </w:t>
      </w:r>
      <w:r w:rsidR="00372617" w:rsidRPr="000A7C5A">
        <w:rPr>
          <w:rFonts w:cs="Times New Roman"/>
          <w:szCs w:val="24"/>
        </w:rPr>
        <w:t>forward-looking statement</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proofErr w:type="spellStart"/>
      <w:r w:rsidRPr="000A7C5A">
        <w:rPr>
          <w:rFonts w:cs="Times New Roman"/>
          <w:i/>
          <w:iCs/>
          <w:szCs w:val="24"/>
        </w:rPr>
        <w:t>Wochos</w:t>
      </w:r>
      <w:proofErr w:type="spellEnd"/>
      <w:r w:rsidRPr="000A7C5A">
        <w:rPr>
          <w:rFonts w:cs="Times New Roman"/>
          <w:i/>
          <w:iCs/>
          <w:szCs w:val="24"/>
        </w:rPr>
        <w:t xml:space="preserve">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 xml:space="preserve">See </w:t>
      </w:r>
      <w:proofErr w:type="spellStart"/>
      <w:r w:rsidRPr="000A7C5A">
        <w:rPr>
          <w:rFonts w:ascii="CG Times" w:hAnsi="CG Times" w:cs="CG Times"/>
          <w:i/>
          <w:iCs/>
          <w:szCs w:val="24"/>
        </w:rPr>
        <w:t>Empl’rs</w:t>
      </w:r>
      <w:proofErr w:type="spellEnd"/>
      <w:r w:rsidRPr="000A7C5A">
        <w:rPr>
          <w:rFonts w:ascii="CG Times" w:hAnsi="CG Times" w:cs="CG Times"/>
          <w:i/>
          <w:iCs/>
          <w:szCs w:val="24"/>
        </w:rPr>
        <w:t xml:space="preserve">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cause of action or a motion for summary judgment] that defendants’ forward-looking representations contained enough cautionary language or risk disclosure to protect the defendant against claims of securities fraud.”) (alteration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actually believed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 xml:space="preserve">In re </w:t>
      </w:r>
      <w:proofErr w:type="spellStart"/>
      <w:r w:rsidRPr="000A7C5A">
        <w:rPr>
          <w:rFonts w:ascii="CG Times" w:hAnsi="CG Times" w:cs="CG Times"/>
          <w:i/>
          <w:iCs/>
          <w:szCs w:val="24"/>
        </w:rPr>
        <w:t>Daou</w:t>
      </w:r>
      <w:proofErr w:type="spellEnd"/>
      <w:r w:rsidRPr="000A7C5A">
        <w:rPr>
          <w:rFonts w:ascii="CG Times" w:hAnsi="CG Times" w:cs="CG Times"/>
          <w:i/>
          <w:iCs/>
          <w:szCs w:val="24"/>
        </w:rPr>
        <w:t xml:space="preserve"> Sys., Inc., Sec. Litig.</w:t>
      </w:r>
      <w:r w:rsidRPr="000A7C5A">
        <w:rPr>
          <w:rFonts w:ascii="CG Times" w:hAnsi="CG Times" w:cs="CG Times"/>
          <w:szCs w:val="24"/>
        </w:rPr>
        <w:t xml:space="preserve">, 411 F.3d 1006, 1021 (9th Cir. 2005) (quoting </w:t>
      </w:r>
      <w:r w:rsidRPr="000A7C5A">
        <w:rPr>
          <w:rFonts w:cs="Times New Roman"/>
          <w:i/>
          <w:iCs/>
          <w:szCs w:val="24"/>
          <w:highlight w:val="white"/>
        </w:rPr>
        <w:t>In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proofErr w:type="spellStart"/>
      <w:r w:rsidRPr="000A7C5A">
        <w:rPr>
          <w:rFonts w:cs="Times New Roman"/>
          <w:i/>
          <w:iCs/>
          <w:szCs w:val="24"/>
        </w:rPr>
        <w:t>Empl’rs</w:t>
      </w:r>
      <w:proofErr w:type="spellEnd"/>
      <w:r w:rsidRPr="000A7C5A">
        <w:rPr>
          <w:rFonts w:cs="Times New Roman"/>
          <w:i/>
          <w:iCs/>
          <w:szCs w:val="24"/>
        </w:rPr>
        <w:t xml:space="preserve">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5D3BBFDA" w:rsidR="006A4CD7" w:rsidRPr="006A4CD7" w:rsidRDefault="006A4CD7" w:rsidP="0035216F">
      <w:pPr>
        <w:pStyle w:val="Heading2"/>
      </w:pPr>
      <w:r w:rsidRPr="006A4CD7">
        <w:br w:type="page"/>
      </w:r>
      <w:bookmarkStart w:id="360" w:name="_Toc117512636"/>
      <w:r w:rsidRPr="006A4CD7">
        <w:t xml:space="preserve">18.5 </w:t>
      </w:r>
      <w:r w:rsidR="009B4915" w:rsidRPr="009B4915">
        <w:t>Securities—Knowingly</w:t>
      </w:r>
      <w:bookmarkEnd w:id="360"/>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 xml:space="preserve">Ernst &amp; Ernst v. </w:t>
      </w:r>
      <w:proofErr w:type="spellStart"/>
      <w:r w:rsidRPr="006A4CD7">
        <w:rPr>
          <w:rFonts w:cs="Times New Roman"/>
          <w:i/>
          <w:iCs/>
          <w:szCs w:val="24"/>
        </w:rPr>
        <w:t>Hochfelder</w:t>
      </w:r>
      <w:proofErr w:type="spellEnd"/>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 xml:space="preserve">Nelson v. </w:t>
      </w:r>
      <w:proofErr w:type="spellStart"/>
      <w:r w:rsidRPr="006A4CD7">
        <w:rPr>
          <w:rFonts w:cs="Times New Roman"/>
          <w:i/>
          <w:iCs/>
          <w:szCs w:val="24"/>
        </w:rPr>
        <w:t>Serwold</w:t>
      </w:r>
      <w:proofErr w:type="spellEnd"/>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6F08896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914 F.2d 1564, 1569 (9th Cir. 1990) (</w:t>
      </w:r>
      <w:proofErr w:type="spellStart"/>
      <w:r w:rsidRPr="006A4CD7">
        <w:rPr>
          <w:rFonts w:cs="Times New Roman"/>
          <w:szCs w:val="24"/>
        </w:rPr>
        <w:t>en</w:t>
      </w:r>
      <w:proofErr w:type="spellEnd"/>
      <w:r w:rsidRPr="006A4CD7">
        <w:rPr>
          <w:rFonts w:cs="Times New Roman"/>
          <w:szCs w:val="24"/>
        </w:rPr>
        <w:t xml:space="preserve"> banc), and </w:t>
      </w:r>
      <w:r w:rsidRPr="006A4CD7">
        <w:rPr>
          <w:rFonts w:cs="Times New Roman"/>
          <w:i/>
          <w:iCs/>
          <w:szCs w:val="24"/>
        </w:rPr>
        <w:t xml:space="preserve">In re Software </w:t>
      </w:r>
      <w:proofErr w:type="spellStart"/>
      <w:r w:rsidRPr="006A4CD7">
        <w:rPr>
          <w:rFonts w:cs="Times New Roman"/>
          <w:i/>
          <w:iCs/>
          <w:szCs w:val="24"/>
        </w:rPr>
        <w:t>Toolworks</w:t>
      </w:r>
      <w:proofErr w:type="spellEnd"/>
      <w:r w:rsidRPr="006A4CD7">
        <w:rPr>
          <w:rFonts w:cs="Times New Roman"/>
          <w:i/>
          <w:iCs/>
          <w:szCs w:val="24"/>
        </w:rPr>
        <w:t xml:space="preserve">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t>
      </w:r>
      <w:r w:rsidR="00372617" w:rsidRPr="006A4CD7">
        <w:rPr>
          <w:rFonts w:ascii="CG Times" w:hAnsi="CG Times" w:cs="CG Times"/>
          <w:szCs w:val="24"/>
        </w:rPr>
        <w:t xml:space="preserve">which </w:t>
      </w:r>
      <w:r w:rsidR="00372617" w:rsidRPr="006A4CD7">
        <w:rPr>
          <w:rFonts w:cs="Times New Roman"/>
          <w:szCs w:val="24"/>
        </w:rPr>
        <w:t>actual</w:t>
      </w:r>
      <w:r w:rsidRPr="006A4CD7">
        <w:rPr>
          <w:rFonts w:cs="Times New Roman"/>
          <w:szCs w:val="24"/>
        </w:rPr>
        <w:t xml:space="preserve">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In re </w:t>
      </w:r>
      <w:proofErr w:type="spellStart"/>
      <w:r w:rsidRPr="006A4CD7">
        <w:rPr>
          <w:rFonts w:cs="Times New Roman"/>
          <w:i/>
          <w:iCs/>
          <w:szCs w:val="24"/>
        </w:rPr>
        <w:t>ChinaCast</w:t>
      </w:r>
      <w:proofErr w:type="spellEnd"/>
      <w:r w:rsidRPr="006A4CD7">
        <w:rPr>
          <w:rFonts w:cs="Times New Roman"/>
          <w:i/>
          <w:iCs/>
          <w:szCs w:val="24"/>
        </w:rPr>
        <w:t xml:space="preserve">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2018</w:t>
      </w:r>
    </w:p>
    <w:p w14:paraId="33D5B643" w14:textId="6AD0F931" w:rsidR="006A4CD7" w:rsidRPr="006A4CD7" w:rsidRDefault="006A4CD7" w:rsidP="0035216F">
      <w:pPr>
        <w:pStyle w:val="Heading2"/>
      </w:pPr>
      <w:r w:rsidRPr="006A4CD7">
        <w:br w:type="page"/>
      </w:r>
      <w:bookmarkStart w:id="361" w:name="_Toc117512637"/>
      <w:r w:rsidRPr="006A4CD7">
        <w:t xml:space="preserve">18.6 </w:t>
      </w:r>
      <w:r w:rsidR="009B4915" w:rsidRPr="009B4915">
        <w:t>Securities—Justifiable Reliance Generally</w:t>
      </w:r>
      <w:bookmarkEnd w:id="361"/>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xml:space="preserve">”  Dura Pharms., Inc. v. </w:t>
      </w:r>
      <w:proofErr w:type="spellStart"/>
      <w:r w:rsidRPr="006A4CD7">
        <w:rPr>
          <w:rFonts w:cs="Times New Roman"/>
          <w:i/>
          <w:iCs/>
          <w:szCs w:val="24"/>
        </w:rPr>
        <w:t>Broudo</w:t>
      </w:r>
      <w:proofErr w:type="spellEnd"/>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 xml:space="preserve">Atari Corp. v. Ernst &amp; </w:t>
      </w:r>
      <w:proofErr w:type="spellStart"/>
      <w:r w:rsidRPr="006A4CD7">
        <w:rPr>
          <w:rFonts w:cs="Times New Roman"/>
          <w:i/>
          <w:iCs/>
          <w:szCs w:val="24"/>
        </w:rPr>
        <w:t>Whinney</w:t>
      </w:r>
      <w:proofErr w:type="spellEnd"/>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184 F.3d 1059, 1063-64 (9th Cir. 1999) (involving case resolved on summary judgment).  Accordingly, at trial, the court will have to resolve whether the presumption is applicable in light of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whether the plaintiff was sophisticated and experienced in financial and securities matters;</w:t>
      </w:r>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whether the plaintiff and the defendant had a long-standing business or personal relationship, or a relationship in which the defendant owed a duty to the plaintiff to not interfere with or adversely affect the plaintiff’s interests;</w:t>
      </w:r>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transaction;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662DBC2" w14:textId="77777777" w:rsidR="003320CA" w:rsidRDefault="006A4CD7" w:rsidP="003320CA">
      <w:pPr>
        <w:numPr>
          <w:ilvl w:val="12"/>
          <w:numId w:val="0"/>
        </w:numPr>
        <w:autoSpaceDE w:val="0"/>
        <w:autoSpaceDN w:val="0"/>
        <w:adjustRightInd w:val="0"/>
        <w:ind w:right="720" w:firstLine="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 xml:space="preserve">whether the plaintiff disregarded risks so obvious that they should have </w:t>
      </w:r>
    </w:p>
    <w:p w14:paraId="7168580E" w14:textId="745C5CD9" w:rsidR="006A4CD7" w:rsidRPr="006A4CD7" w:rsidRDefault="006A4CD7" w:rsidP="003320CA">
      <w:pPr>
        <w:numPr>
          <w:ilvl w:val="12"/>
          <w:numId w:val="0"/>
        </w:numPr>
        <w:autoSpaceDE w:val="0"/>
        <w:autoSpaceDN w:val="0"/>
        <w:adjustRightInd w:val="0"/>
        <w:ind w:left="1440" w:right="720"/>
        <w:rPr>
          <w:rFonts w:cs="Times New Roman"/>
          <w:szCs w:val="24"/>
        </w:rPr>
      </w:pPr>
      <w:r w:rsidRPr="006A4CD7">
        <w:rPr>
          <w:rFonts w:cs="Times New Roman"/>
          <w:szCs w:val="24"/>
        </w:rPr>
        <w:t>been known or risks so great as to make it highly probable that harm would follow;</w:t>
      </w:r>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whether the defendant concealed the fraud;</w:t>
      </w:r>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whether the plaintiff had access to the relevant material information;</w:t>
      </w:r>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whether the misrepresentation was general or specific;</w:t>
      </w:r>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whether the plaintiff initiated or sought to expedite the transaction;</w:t>
      </w:r>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w:t>
      </w:r>
      <w:proofErr w:type="spellStart"/>
      <w:r w:rsidRPr="006A4CD7">
        <w:rPr>
          <w:i/>
          <w:iCs/>
        </w:rPr>
        <w:t>Jackvony</w:t>
      </w:r>
      <w:proofErr w:type="spellEnd"/>
      <w:r w:rsidRPr="006A4CD7">
        <w:rPr>
          <w:i/>
          <w:iCs/>
        </w:rPr>
        <w:t xml:space="preserve"> v. RIHT Fin. Corp.</w:t>
      </w:r>
      <w:r w:rsidRPr="006A4CD7">
        <w:t xml:space="preserve">, 873 F.2d 411, 416 (1st Cir.1989); </w:t>
      </w:r>
      <w:proofErr w:type="spellStart"/>
      <w:r w:rsidRPr="006A4CD7">
        <w:rPr>
          <w:i/>
          <w:iCs/>
        </w:rPr>
        <w:t>Bruschi</w:t>
      </w:r>
      <w:proofErr w:type="spellEnd"/>
      <w:r w:rsidRPr="006A4CD7">
        <w:rPr>
          <w:i/>
          <w:iCs/>
        </w:rPr>
        <w:t xml:space="preserve">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24F595AF" w:rsidR="006A4CD7" w:rsidRPr="006A4CD7" w:rsidRDefault="006A4CD7" w:rsidP="0035216F">
      <w:pPr>
        <w:pStyle w:val="Heading2"/>
      </w:pPr>
      <w:r w:rsidRPr="006A4CD7">
        <w:br w:type="page"/>
      </w:r>
      <w:bookmarkStart w:id="362" w:name="_Toc117512638"/>
      <w:r w:rsidRPr="006A4CD7">
        <w:t xml:space="preserve">18.7 </w:t>
      </w:r>
      <w:r w:rsidR="009B4915" w:rsidRPr="009B4915">
        <w:t>Securities—Justifiable Reliance—Fraud-on-the-Market Case</w:t>
      </w:r>
      <w:bookmarkEnd w:id="362"/>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a large number of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4046A90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publicly-traded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proofErr w:type="spellStart"/>
      <w:r w:rsidRPr="006A4CD7">
        <w:rPr>
          <w:rFonts w:cs="Times New Roman"/>
          <w:i/>
          <w:iCs/>
          <w:szCs w:val="24"/>
        </w:rPr>
        <w:t>Cammer</w:t>
      </w:r>
      <w:proofErr w:type="spellEnd"/>
      <w:r w:rsidRPr="006A4CD7">
        <w:rPr>
          <w:rFonts w:cs="Times New Roman"/>
          <w:i/>
          <w:iCs/>
          <w:szCs w:val="24"/>
        </w:rPr>
        <w:t xml:space="preserve">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proofErr w:type="spellStart"/>
      <w:r w:rsidRPr="006A4CD7">
        <w:rPr>
          <w:rFonts w:cs="Times New Roman"/>
          <w:i/>
          <w:iCs/>
          <w:szCs w:val="24"/>
        </w:rPr>
        <w:t>Cammer</w:t>
      </w:r>
      <w:proofErr w:type="spellEnd"/>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proofErr w:type="spellStart"/>
      <w:r w:rsidRPr="006A4CD7">
        <w:rPr>
          <w:rFonts w:cs="Times New Roman"/>
          <w:i/>
          <w:iCs/>
          <w:szCs w:val="24"/>
        </w:rPr>
        <w:t>Cammer</w:t>
      </w:r>
      <w:proofErr w:type="spellEnd"/>
      <w:r w:rsidRPr="006A4CD7">
        <w:rPr>
          <w:rFonts w:cs="Times New Roman"/>
          <w:i/>
          <w:iCs/>
          <w:szCs w:val="24"/>
        </w:rPr>
        <w:t xml:space="preserve">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w:t>
      </w:r>
      <w:r w:rsidR="00372617" w:rsidRPr="006A4CD7">
        <w:rPr>
          <w:rFonts w:cs="Times New Roman"/>
          <w:szCs w:val="24"/>
        </w:rPr>
        <w:t>cause-and-effect</w:t>
      </w:r>
      <w:r w:rsidRPr="006A4CD7">
        <w:rPr>
          <w:rFonts w:cs="Times New Roman"/>
          <w:szCs w:val="24"/>
        </w:rPr>
        <w:t xml:space="preserve">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2FF4F0D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w:t>
      </w:r>
      <w:r w:rsidR="00372617" w:rsidRPr="006A4CD7">
        <w:rPr>
          <w:rFonts w:ascii="CG Times" w:hAnsi="CG Times" w:cs="CG Times"/>
          <w:szCs w:val="24"/>
        </w:rPr>
        <w:t>instead,</w:t>
      </w:r>
      <w:r w:rsidRPr="006A4CD7">
        <w:rPr>
          <w:rFonts w:ascii="CG Times" w:hAnsi="CG Times" w:cs="CG Times"/>
          <w:szCs w:val="24"/>
        </w:rPr>
        <w:t xml:space="preserve">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poorly-circulated,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“[t]he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misrepresentation. </w:t>
      </w:r>
      <w:r w:rsidRPr="006A4CD7">
        <w:rPr>
          <w:rFonts w:cs="Times New Roman"/>
          <w:i/>
          <w:iCs/>
          <w:szCs w:val="24"/>
        </w:rPr>
        <w:t xml:space="preserve">See In re </w:t>
      </w:r>
      <w:proofErr w:type="spellStart"/>
      <w:r w:rsidRPr="006A4CD7">
        <w:rPr>
          <w:rFonts w:cs="Times New Roman"/>
          <w:i/>
          <w:iCs/>
          <w:szCs w:val="24"/>
        </w:rPr>
        <w:t>Atossa</w:t>
      </w:r>
      <w:proofErr w:type="spellEnd"/>
      <w:r w:rsidRPr="006A4CD7">
        <w:rPr>
          <w:rFonts w:cs="Times New Roman"/>
          <w:i/>
          <w:iCs/>
          <w:szCs w:val="24"/>
        </w:rPr>
        <w:t xml:space="preserve">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6577A1C7" w:rsidR="006A4CD7" w:rsidRPr="006A4CD7" w:rsidRDefault="006A4CD7" w:rsidP="0035216F">
      <w:pPr>
        <w:pStyle w:val="Heading2"/>
      </w:pPr>
      <w:r w:rsidRPr="006A4CD7">
        <w:br w:type="page"/>
      </w:r>
      <w:bookmarkStart w:id="363" w:name="_Toc117512639"/>
      <w:r w:rsidRPr="006A4CD7">
        <w:t xml:space="preserve">18.8 </w:t>
      </w:r>
      <w:r w:rsidR="009B4915" w:rsidRPr="009B4915">
        <w:t>Securities—Causation</w:t>
      </w:r>
      <w:bookmarkEnd w:id="363"/>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 xml:space="preserve">Dura Pharms., Inc. v. </w:t>
      </w:r>
      <w:proofErr w:type="spellStart"/>
      <w:r w:rsidRPr="006A4CD7">
        <w:rPr>
          <w:rFonts w:ascii="CG Times" w:hAnsi="CG Times" w:cs="CG Times"/>
          <w:i/>
          <w:iCs/>
          <w:szCs w:val="24"/>
        </w:rPr>
        <w:t>Broudo</w:t>
      </w:r>
      <w:proofErr w:type="spellEnd"/>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a number of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as a result of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1C49E799" w14:textId="77777777" w:rsidR="0092739B"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Ninth Circuit has stated that “[t]</w:t>
      </w:r>
      <w:proofErr w:type="spellStart"/>
      <w:r w:rsidRPr="006A4CD7">
        <w:rPr>
          <w:rFonts w:ascii="CG Times" w:hAnsi="CG Times" w:cs="CG Times"/>
          <w:szCs w:val="24"/>
        </w:rPr>
        <w:t>ypically</w:t>
      </w:r>
      <w:proofErr w:type="spellEnd"/>
      <w:r w:rsidRPr="006A4CD7">
        <w:rPr>
          <w:rFonts w:ascii="CG Times" w:hAnsi="CG Times" w:cs="CG Times"/>
          <w:szCs w:val="24"/>
        </w:rPr>
        <w:t xml:space="preserve">,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However, “[d]</w:t>
      </w:r>
      <w:proofErr w:type="spellStart"/>
      <w:r w:rsidRPr="006A4CD7">
        <w:rPr>
          <w:rFonts w:ascii="CG Times" w:hAnsi="CG Times" w:cs="CG Times"/>
          <w:szCs w:val="24"/>
        </w:rPr>
        <w:t>isclosure</w:t>
      </w:r>
      <w:proofErr w:type="spellEnd"/>
      <w:r w:rsidRPr="006A4CD7">
        <w:rPr>
          <w:rFonts w:ascii="CG Times" w:hAnsi="CG Times" w:cs="CG Times"/>
          <w:szCs w:val="24"/>
        </w:rPr>
        <w:t xml:space="preserv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loss </w:t>
      </w:r>
    </w:p>
    <w:p w14:paraId="46C851D6" w14:textId="6E786865"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 xml:space="preserve">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w:t>
      </w:r>
      <w:r w:rsidR="00372617" w:rsidRPr="006A4CD7">
        <w:rPr>
          <w:rFonts w:ascii="CG Times" w:hAnsi="CG Times" w:cs="CG Times"/>
          <w:szCs w:val="24"/>
        </w:rPr>
        <w:t>price but</w:t>
      </w:r>
      <w:r w:rsidRPr="006A4CD7">
        <w:rPr>
          <w:rFonts w:ascii="CG Times" w:hAnsi="CG Times" w:cs="CG Times"/>
          <w:szCs w:val="24"/>
        </w:rPr>
        <w:t xml:space="preserve"> pled that the [d]</w:t>
      </w:r>
      <w:proofErr w:type="spellStart"/>
      <w:r w:rsidRPr="006A4CD7">
        <w:rPr>
          <w:rFonts w:ascii="CG Times" w:hAnsi="CG Times" w:cs="CG Times"/>
          <w:szCs w:val="24"/>
        </w:rPr>
        <w:t>efendants</w:t>
      </w:r>
      <w:proofErr w:type="spellEnd"/>
      <w:r w:rsidRPr="006A4CD7">
        <w:rPr>
          <w:rFonts w:ascii="CG Times" w:hAnsi="CG Times" w:cs="CG Times"/>
          <w:szCs w:val="24"/>
        </w:rPr>
        <w:t>’ misrepresentation was causally related to the loss it sustained”).</w:t>
      </w:r>
      <w:r w:rsidRPr="00FF3E9C">
        <w:rPr>
          <w:i/>
          <w:iCs/>
          <w:color w:val="FF0000"/>
        </w:rPr>
        <w:t xml:space="preserve"> </w:t>
      </w:r>
      <w:r w:rsidRPr="004368B9">
        <w:rPr>
          <w:i/>
          <w:iCs/>
        </w:rPr>
        <w:t xml:space="preserve"> See also </w:t>
      </w:r>
      <w:proofErr w:type="spellStart"/>
      <w:r w:rsidRPr="004368B9">
        <w:rPr>
          <w:i/>
          <w:iCs/>
        </w:rPr>
        <w:t>Wochos</w:t>
      </w:r>
      <w:proofErr w:type="spellEnd"/>
      <w:r w:rsidRPr="004368B9">
        <w:rPr>
          <w:i/>
          <w:iCs/>
        </w:rPr>
        <w:t xml:space="preserve"> v. Tesla Motors, Inc.</w:t>
      </w:r>
      <w:r w:rsidRPr="004368B9">
        <w:t xml:space="preserve">, 985 F.3d 1180, 1198 (9th Cir. 2021) (upholding dismissal with prejudice when modest stock price </w:t>
      </w:r>
      <w:r w:rsidR="00372617" w:rsidRPr="004368B9">
        <w:t>drops</w:t>
      </w:r>
      <w:r w:rsidRPr="004368B9">
        <w:t xml:space="preserve"> quickly rebounded because “[t]o adequately plead loss causation . . . a plaintiff must allege that the ‘share price fell significantly after the truth became known’” (quoting </w:t>
      </w:r>
      <w:r w:rsidRPr="004368B9">
        <w:rPr>
          <w:i/>
          <w:iCs/>
        </w:rPr>
        <w:t>In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08CBFA40"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 xml:space="preserve">In re </w:t>
      </w:r>
      <w:proofErr w:type="spellStart"/>
      <w:r w:rsidRPr="004368B9">
        <w:rPr>
          <w:rFonts w:cs="Times New Roman"/>
          <w:i/>
          <w:iCs/>
          <w:szCs w:val="24"/>
        </w:rPr>
        <w:t>BofI</w:t>
      </w:r>
      <w:proofErr w:type="spellEnd"/>
      <w:r w:rsidRPr="004368B9">
        <w:rPr>
          <w:rFonts w:cs="Times New Roman"/>
          <w:i/>
          <w:iCs/>
          <w:szCs w:val="24"/>
        </w:rPr>
        <w:t xml:space="preserve">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w:t>
      </w:r>
      <w:proofErr w:type="spellStart"/>
      <w:r w:rsidRPr="004368B9">
        <w:rPr>
          <w:rFonts w:cs="Times New Roman"/>
          <w:i/>
          <w:iCs/>
          <w:szCs w:val="24"/>
        </w:rPr>
        <w:t>BofI</w:t>
      </w:r>
      <w:proofErr w:type="spellEnd"/>
      <w:r w:rsidRPr="004368B9">
        <w:rPr>
          <w:rFonts w:cs="Times New Roman"/>
          <w:i/>
          <w:iCs/>
          <w:szCs w:val="24"/>
        </w:rPr>
        <w:t xml:space="preserve">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r w:rsidRPr="004368B9">
        <w:rPr>
          <w:rFonts w:cs="Times New Roman"/>
          <w:i/>
          <w:iCs/>
          <w:szCs w:val="24"/>
        </w:rPr>
        <w:t xml:space="preserve">In re </w:t>
      </w:r>
      <w:proofErr w:type="spellStart"/>
      <w:r w:rsidRPr="004368B9">
        <w:rPr>
          <w:rFonts w:cs="Times New Roman"/>
          <w:i/>
          <w:iCs/>
          <w:szCs w:val="24"/>
        </w:rPr>
        <w:t>BofI</w:t>
      </w:r>
      <w:proofErr w:type="spellEnd"/>
      <w:r w:rsidRPr="004368B9">
        <w:rPr>
          <w:rFonts w:cs="Times New Roman"/>
          <w:i/>
          <w:iCs/>
          <w:szCs w:val="24"/>
        </w:rPr>
        <w:t xml:space="preserve">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xml:space="preserve">. (internal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4BC074ED" w14:textId="77777777" w:rsidR="00372617" w:rsidRDefault="00372617" w:rsidP="00781C62">
      <w:pPr>
        <w:numPr>
          <w:ilvl w:val="12"/>
          <w:numId w:val="0"/>
        </w:numPr>
        <w:autoSpaceDE w:val="0"/>
        <w:autoSpaceDN w:val="0"/>
        <w:adjustRightInd w:val="0"/>
        <w:jc w:val="right"/>
        <w:rPr>
          <w:rFonts w:cs="Times New Roman"/>
          <w:i/>
          <w:iCs/>
          <w:szCs w:val="24"/>
        </w:rPr>
      </w:pPr>
    </w:p>
    <w:p w14:paraId="40AC8946" w14:textId="5A46AAA1" w:rsidR="00AC3C72" w:rsidRPr="006A4CD7" w:rsidRDefault="00781C62" w:rsidP="0092739B">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5AD97D21" w14:textId="0D2D0C7A" w:rsidR="006A4CD7" w:rsidRPr="006A4CD7" w:rsidRDefault="006A4CD7" w:rsidP="0035216F">
      <w:pPr>
        <w:pStyle w:val="Heading2"/>
      </w:pPr>
      <w:r w:rsidRPr="006A4CD7">
        <w:br w:type="page"/>
      </w:r>
      <w:bookmarkStart w:id="364" w:name="_Toc117512640"/>
      <w:r w:rsidRPr="006A4CD7">
        <w:t xml:space="preserve">18.9 </w:t>
      </w:r>
      <w:r w:rsidR="009B4915" w:rsidRPr="009B4915">
        <w:t>Securities—Damages</w:t>
      </w:r>
      <w:bookmarkEnd w:id="364"/>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guesswork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 xml:space="preserve">see also Randall v. </w:t>
      </w:r>
      <w:proofErr w:type="spellStart"/>
      <w:r w:rsidRPr="006A4CD7">
        <w:rPr>
          <w:rFonts w:cs="Times New Roman"/>
          <w:i/>
          <w:iCs/>
          <w:szCs w:val="24"/>
        </w:rPr>
        <w:t>Loftsgaarden</w:t>
      </w:r>
      <w:proofErr w:type="spellEnd"/>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441933D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w:t>
      </w:r>
      <w:r w:rsidR="00372617" w:rsidRPr="006A4CD7">
        <w:rPr>
          <w:rFonts w:cs="Times New Roman"/>
          <w:szCs w:val="24"/>
        </w:rPr>
        <w:t>. . ..</w:t>
      </w:r>
      <w:r w:rsidRPr="006A4CD7">
        <w:rPr>
          <w:rFonts w:cs="Times New Roman"/>
          <w:szCs w:val="24"/>
        </w:rPr>
        <w:t xml:space="preserve"> The district court may apply a rescissory measure of damages in appropriate circumstances.” </w:t>
      </w:r>
      <w:r w:rsidRPr="006A4CD7">
        <w:rPr>
          <w:rFonts w:cs="Times New Roman"/>
          <w:i/>
          <w:iCs/>
          <w:szCs w:val="24"/>
        </w:rPr>
        <w:t xml:space="preserve"> Ambassador Hotel Co., Ltd. v. Wei-</w:t>
      </w:r>
      <w:proofErr w:type="spellStart"/>
      <w:r w:rsidRPr="006A4CD7">
        <w:rPr>
          <w:rFonts w:cs="Times New Roman"/>
          <w:i/>
          <w:iCs/>
          <w:szCs w:val="24"/>
        </w:rPr>
        <w:t>Chuan</w:t>
      </w:r>
      <w:proofErr w:type="spellEnd"/>
      <w:r w:rsidRPr="006A4CD7">
        <w:rPr>
          <w:rFonts w:cs="Times New Roman"/>
          <w:i/>
          <w:iCs/>
          <w:szCs w:val="24"/>
        </w:rPr>
        <w:t xml:space="preserve">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w:t>
      </w:r>
      <w:proofErr w:type="spellStart"/>
      <w:r w:rsidRPr="006A4CD7">
        <w:rPr>
          <w:rFonts w:cs="Times New Roman"/>
          <w:i/>
          <w:iCs/>
          <w:szCs w:val="24"/>
        </w:rPr>
        <w:t>Broudo</w:t>
      </w:r>
      <w:proofErr w:type="spellEnd"/>
      <w:r w:rsidRPr="006A4CD7">
        <w:rPr>
          <w:rFonts w:cs="Times New Roman"/>
          <w:i/>
          <w:iCs/>
          <w:szCs w:val="24"/>
        </w:rPr>
        <w:t xml:space="preserve">,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395ED509" w:rsidR="006A4CD7" w:rsidRPr="006A4CD7" w:rsidRDefault="006A4CD7" w:rsidP="0035216F">
      <w:pPr>
        <w:pStyle w:val="Heading2"/>
      </w:pPr>
      <w:r w:rsidRPr="006A4CD7">
        <w:br w:type="page"/>
      </w:r>
      <w:bookmarkStart w:id="365" w:name="_Toc117512641"/>
      <w:r w:rsidRPr="006A4CD7">
        <w:t xml:space="preserve">18.10 </w:t>
      </w:r>
      <w:r w:rsidR="009B4915" w:rsidRPr="009B4915">
        <w:t>Securities—Controlling Person Liability</w:t>
      </w:r>
      <w:bookmarkEnd w:id="365"/>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914 F.2d 1564, 1578 (9th Cir. 1990) (</w:t>
      </w:r>
      <w:proofErr w:type="spellStart"/>
      <w:r w:rsidRPr="006A4CD7">
        <w:rPr>
          <w:rFonts w:ascii="CG Times" w:hAnsi="CG Times" w:cs="CG Times"/>
          <w:szCs w:val="24"/>
        </w:rPr>
        <w:t>en</w:t>
      </w:r>
      <w:proofErr w:type="spellEnd"/>
      <w:r w:rsidRPr="006A4CD7">
        <w:rPr>
          <w:rFonts w:ascii="CG Times" w:hAnsi="CG Times" w:cs="CG Times"/>
          <w:szCs w:val="24"/>
        </w:rPr>
        <w:t xml:space="preserve">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 xml:space="preserve">No. 84 </w:t>
      </w:r>
      <w:proofErr w:type="spellStart"/>
      <w:r w:rsidRPr="006A4CD7">
        <w:rPr>
          <w:rFonts w:ascii="CG Times" w:hAnsi="CG Times" w:cs="CG Times"/>
          <w:i/>
          <w:iCs/>
          <w:szCs w:val="24"/>
        </w:rPr>
        <w:t>Empl’r</w:t>
      </w:r>
      <w:proofErr w:type="spellEnd"/>
      <w:r w:rsidRPr="006A4CD7">
        <w:rPr>
          <w:rFonts w:ascii="CG Times" w:hAnsi="CG Times" w:cs="CG Times"/>
          <w:i/>
          <w:iCs/>
          <w:szCs w:val="24"/>
        </w:rPr>
        <w:t>-Teamster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36EB6F64"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w:t>
      </w:r>
      <w:r w:rsidR="00372617" w:rsidRPr="006A4CD7">
        <w:rPr>
          <w:rFonts w:ascii="CG Times" w:hAnsi="CG Times" w:cs="CG Times"/>
          <w:szCs w:val="24"/>
        </w:rPr>
        <w:t>respondent</w:t>
      </w:r>
      <w:r w:rsidRPr="006A4CD7">
        <w:rPr>
          <w:rFonts w:ascii="CG Times" w:hAnsi="CG Times" w:cs="CG Times"/>
          <w:szCs w:val="24"/>
        </w:rPr>
        <w:t xml:space="preserve">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1CE151DF" w:rsidR="006A4CD7" w:rsidRPr="006A4CD7" w:rsidRDefault="006A4CD7" w:rsidP="0035216F">
      <w:pPr>
        <w:pStyle w:val="Heading2"/>
      </w:pPr>
      <w:r w:rsidRPr="006A4CD7">
        <w:br w:type="page"/>
      </w:r>
      <w:bookmarkStart w:id="366" w:name="_Toc117512642"/>
      <w:r w:rsidRPr="006A4CD7">
        <w:t xml:space="preserve">18.11 </w:t>
      </w:r>
      <w:r w:rsidR="009B4915" w:rsidRPr="009B4915">
        <w:t>Securities—Good Faith Defense to Controlling Person Liability</w:t>
      </w:r>
      <w:bookmarkEnd w:id="366"/>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If you find that the defendant has proved both of these elements, your verdict should be for the defendant.  The defendant can prove good faith only by establishing that [he] [she] [it] maintained and enforced a reasonable and proper system of supervision and internal control.  If you find that the defendant has failed to prove either or both of these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w:t>
      </w:r>
      <w:proofErr w:type="spellStart"/>
      <w:r w:rsidRPr="006A4CD7">
        <w:rPr>
          <w:rFonts w:ascii="CG Times" w:hAnsi="CG Times" w:cs="CG Times"/>
          <w:szCs w:val="24"/>
        </w:rPr>
        <w:t>en</w:t>
      </w:r>
      <w:proofErr w:type="spellEnd"/>
      <w:r w:rsidRPr="006A4CD7">
        <w:rPr>
          <w:rFonts w:ascii="CG Times" w:hAnsi="CG Times" w:cs="CG Times"/>
          <w:szCs w:val="24"/>
        </w:rPr>
        <w:t xml:space="preserve">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D37B" w14:textId="77777777" w:rsidR="00091376" w:rsidRDefault="00091376" w:rsidP="006A4CD7">
      <w:r>
        <w:separator/>
      </w:r>
    </w:p>
  </w:endnote>
  <w:endnote w:type="continuationSeparator" w:id="0">
    <w:p w14:paraId="5B884751" w14:textId="77777777" w:rsidR="00091376" w:rsidRDefault="00091376"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68744"/>
      <w:docPartObj>
        <w:docPartGallery w:val="Page Numbers (Bottom of Page)"/>
        <w:docPartUnique/>
      </w:docPartObj>
    </w:sdtPr>
    <w:sdtEndPr>
      <w:rPr>
        <w:noProof/>
      </w:rPr>
    </w:sdtEndPr>
    <w:sdtContent>
      <w:p w14:paraId="55CD39BE" w14:textId="77777777" w:rsidR="007476B8" w:rsidRDefault="00747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2D058A" w14:textId="77777777" w:rsidR="007476B8" w:rsidRDefault="007476B8">
    <w:pPr>
      <w:spacing w:line="19" w:lineRule="auto"/>
      <w:rPr>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06522"/>
      <w:docPartObj>
        <w:docPartGallery w:val="Page Numbers (Bottom of Page)"/>
        <w:docPartUnique/>
      </w:docPartObj>
    </w:sdtPr>
    <w:sdtEndPr>
      <w:rPr>
        <w:noProof/>
      </w:rPr>
    </w:sdtEndPr>
    <w:sdtContent>
      <w:p w14:paraId="143A94B9" w14:textId="77777777" w:rsidR="007476B8" w:rsidRDefault="007476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683F25" w14:textId="77777777" w:rsidR="007476B8" w:rsidRDefault="007476B8">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AEAC" w14:textId="77777777" w:rsidR="00091376" w:rsidRDefault="00091376" w:rsidP="006A4CD7">
      <w:r>
        <w:separator/>
      </w:r>
    </w:p>
  </w:footnote>
  <w:footnote w:type="continuationSeparator" w:id="0">
    <w:p w14:paraId="0626210C" w14:textId="77777777" w:rsidR="00091376" w:rsidRDefault="00091376"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4" w15:restartNumberingAfterBreak="0">
    <w:nsid w:val="46B3178F"/>
    <w:multiLevelType w:val="hybridMultilevel"/>
    <w:tmpl w:val="D7AC5CFA"/>
    <w:lvl w:ilvl="0" w:tplc="756082F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5"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6"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8"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1D7C48"/>
    <w:multiLevelType w:val="hybridMultilevel"/>
    <w:tmpl w:val="F4E82B84"/>
    <w:lvl w:ilvl="0" w:tplc="CD688B76">
      <w:start w:val="1"/>
      <w:numFmt w:val="decimal"/>
      <w:lvlText w:val="%1."/>
      <w:lvlJc w:val="left"/>
      <w:pPr>
        <w:ind w:left="2160" w:hanging="72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2" w15:restartNumberingAfterBreak="0">
    <w:nsid w:val="6EEB716F"/>
    <w:multiLevelType w:val="hybridMultilevel"/>
    <w:tmpl w:val="C8F4E2BE"/>
    <w:lvl w:ilvl="0" w:tplc="99F82B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807952">
    <w:abstractNumId w:val="6"/>
  </w:num>
  <w:num w:numId="2" w16cid:durableId="2112436109">
    <w:abstractNumId w:val="0"/>
  </w:num>
  <w:num w:numId="3" w16cid:durableId="1119107638">
    <w:abstractNumId w:val="2"/>
  </w:num>
  <w:num w:numId="4" w16cid:durableId="1307078575">
    <w:abstractNumId w:val="10"/>
  </w:num>
  <w:num w:numId="5" w16cid:durableId="690956781">
    <w:abstractNumId w:val="8"/>
  </w:num>
  <w:num w:numId="6" w16cid:durableId="1498035859">
    <w:abstractNumId w:val="1"/>
  </w:num>
  <w:num w:numId="7" w16cid:durableId="278412168">
    <w:abstractNumId w:val="14"/>
  </w:num>
  <w:num w:numId="8" w16cid:durableId="1491171852">
    <w:abstractNumId w:val="13"/>
  </w:num>
  <w:num w:numId="9" w16cid:durableId="97330965">
    <w:abstractNumId w:val="4"/>
  </w:num>
  <w:num w:numId="10" w16cid:durableId="1913736727">
    <w:abstractNumId w:val="5"/>
  </w:num>
  <w:num w:numId="11" w16cid:durableId="961571553">
    <w:abstractNumId w:val="3"/>
  </w:num>
  <w:num w:numId="12" w16cid:durableId="1148983626">
    <w:abstractNumId w:val="11"/>
  </w:num>
  <w:num w:numId="13" w16cid:durableId="1758209689">
    <w:abstractNumId w:val="7"/>
  </w:num>
  <w:num w:numId="14" w16cid:durableId="1025473959">
    <w:abstractNumId w:val="12"/>
  </w:num>
  <w:num w:numId="15" w16cid:durableId="14134292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13716"/>
    <w:rsid w:val="00026A7C"/>
    <w:rsid w:val="00030A67"/>
    <w:rsid w:val="000324A7"/>
    <w:rsid w:val="00033B9C"/>
    <w:rsid w:val="00033D65"/>
    <w:rsid w:val="00046A0C"/>
    <w:rsid w:val="00052E93"/>
    <w:rsid w:val="00057DBF"/>
    <w:rsid w:val="00060129"/>
    <w:rsid w:val="0006064C"/>
    <w:rsid w:val="00080483"/>
    <w:rsid w:val="00091376"/>
    <w:rsid w:val="00095C33"/>
    <w:rsid w:val="000A06FE"/>
    <w:rsid w:val="000A337A"/>
    <w:rsid w:val="000A7855"/>
    <w:rsid w:val="000A7C5A"/>
    <w:rsid w:val="000C514A"/>
    <w:rsid w:val="000C5EAE"/>
    <w:rsid w:val="000D51E3"/>
    <w:rsid w:val="000D6B73"/>
    <w:rsid w:val="000D6C1C"/>
    <w:rsid w:val="000E1173"/>
    <w:rsid w:val="000F1393"/>
    <w:rsid w:val="000F7DD8"/>
    <w:rsid w:val="001255DB"/>
    <w:rsid w:val="001279D1"/>
    <w:rsid w:val="0013409D"/>
    <w:rsid w:val="00135045"/>
    <w:rsid w:val="00137962"/>
    <w:rsid w:val="001426C9"/>
    <w:rsid w:val="00142840"/>
    <w:rsid w:val="00145D74"/>
    <w:rsid w:val="0015107E"/>
    <w:rsid w:val="0015267E"/>
    <w:rsid w:val="00177034"/>
    <w:rsid w:val="001940D2"/>
    <w:rsid w:val="0019446F"/>
    <w:rsid w:val="001973F3"/>
    <w:rsid w:val="00197473"/>
    <w:rsid w:val="00197C8B"/>
    <w:rsid w:val="001A2CD3"/>
    <w:rsid w:val="001B08B2"/>
    <w:rsid w:val="001B574A"/>
    <w:rsid w:val="001B65D2"/>
    <w:rsid w:val="001D04E0"/>
    <w:rsid w:val="001D64F2"/>
    <w:rsid w:val="0020002F"/>
    <w:rsid w:val="00203C7D"/>
    <w:rsid w:val="002213C7"/>
    <w:rsid w:val="00223463"/>
    <w:rsid w:val="00240080"/>
    <w:rsid w:val="00240C44"/>
    <w:rsid w:val="00250B52"/>
    <w:rsid w:val="0027387C"/>
    <w:rsid w:val="002779D0"/>
    <w:rsid w:val="00286FD6"/>
    <w:rsid w:val="002A1F13"/>
    <w:rsid w:val="002A2692"/>
    <w:rsid w:val="002B0859"/>
    <w:rsid w:val="002B1D90"/>
    <w:rsid w:val="002B66F3"/>
    <w:rsid w:val="002B728E"/>
    <w:rsid w:val="002C511B"/>
    <w:rsid w:val="002D3473"/>
    <w:rsid w:val="002D3E69"/>
    <w:rsid w:val="002E1434"/>
    <w:rsid w:val="002E554E"/>
    <w:rsid w:val="002E58ED"/>
    <w:rsid w:val="002F1CAD"/>
    <w:rsid w:val="00304C75"/>
    <w:rsid w:val="00304EF5"/>
    <w:rsid w:val="00305894"/>
    <w:rsid w:val="00307F19"/>
    <w:rsid w:val="00310AD7"/>
    <w:rsid w:val="00315B5D"/>
    <w:rsid w:val="00317DA8"/>
    <w:rsid w:val="003320CA"/>
    <w:rsid w:val="00340019"/>
    <w:rsid w:val="0035216F"/>
    <w:rsid w:val="00352D49"/>
    <w:rsid w:val="00363DDF"/>
    <w:rsid w:val="00365050"/>
    <w:rsid w:val="00366940"/>
    <w:rsid w:val="00372617"/>
    <w:rsid w:val="003810EF"/>
    <w:rsid w:val="003911DF"/>
    <w:rsid w:val="003964B4"/>
    <w:rsid w:val="003A5FFD"/>
    <w:rsid w:val="003A73CA"/>
    <w:rsid w:val="003B01C3"/>
    <w:rsid w:val="003B55F8"/>
    <w:rsid w:val="003B64AB"/>
    <w:rsid w:val="003C5BDE"/>
    <w:rsid w:val="003D212E"/>
    <w:rsid w:val="003E3B69"/>
    <w:rsid w:val="003E5741"/>
    <w:rsid w:val="003E5CD7"/>
    <w:rsid w:val="004153D5"/>
    <w:rsid w:val="004212B4"/>
    <w:rsid w:val="004272A6"/>
    <w:rsid w:val="00432687"/>
    <w:rsid w:val="00441E89"/>
    <w:rsid w:val="00450287"/>
    <w:rsid w:val="00454361"/>
    <w:rsid w:val="00455B81"/>
    <w:rsid w:val="00464C2E"/>
    <w:rsid w:val="0048112D"/>
    <w:rsid w:val="00490ADC"/>
    <w:rsid w:val="00492076"/>
    <w:rsid w:val="00496196"/>
    <w:rsid w:val="004A232A"/>
    <w:rsid w:val="004A4D6C"/>
    <w:rsid w:val="004A6A24"/>
    <w:rsid w:val="004C16AB"/>
    <w:rsid w:val="004C5D62"/>
    <w:rsid w:val="004C6943"/>
    <w:rsid w:val="004D5B4F"/>
    <w:rsid w:val="004E3028"/>
    <w:rsid w:val="004F2DA0"/>
    <w:rsid w:val="004F39E6"/>
    <w:rsid w:val="00503C2A"/>
    <w:rsid w:val="00504029"/>
    <w:rsid w:val="00507387"/>
    <w:rsid w:val="00507918"/>
    <w:rsid w:val="005228CF"/>
    <w:rsid w:val="00522ACE"/>
    <w:rsid w:val="00545512"/>
    <w:rsid w:val="0055265D"/>
    <w:rsid w:val="0056102D"/>
    <w:rsid w:val="005663FC"/>
    <w:rsid w:val="005721C4"/>
    <w:rsid w:val="0058487E"/>
    <w:rsid w:val="005868E0"/>
    <w:rsid w:val="00590001"/>
    <w:rsid w:val="005B0AB0"/>
    <w:rsid w:val="005B2A44"/>
    <w:rsid w:val="005B7AF8"/>
    <w:rsid w:val="005C1103"/>
    <w:rsid w:val="005C3C87"/>
    <w:rsid w:val="005E5766"/>
    <w:rsid w:val="005E6F8C"/>
    <w:rsid w:val="005E7FC8"/>
    <w:rsid w:val="00604299"/>
    <w:rsid w:val="0060759C"/>
    <w:rsid w:val="00612075"/>
    <w:rsid w:val="00622F00"/>
    <w:rsid w:val="00635AE4"/>
    <w:rsid w:val="00644AB3"/>
    <w:rsid w:val="00644FC1"/>
    <w:rsid w:val="00646BCE"/>
    <w:rsid w:val="00650E15"/>
    <w:rsid w:val="006561DF"/>
    <w:rsid w:val="00671B7F"/>
    <w:rsid w:val="00672F4A"/>
    <w:rsid w:val="00673357"/>
    <w:rsid w:val="00684EB3"/>
    <w:rsid w:val="006964C1"/>
    <w:rsid w:val="006A4968"/>
    <w:rsid w:val="006A4CD7"/>
    <w:rsid w:val="006A52A1"/>
    <w:rsid w:val="006A5328"/>
    <w:rsid w:val="006A5DE5"/>
    <w:rsid w:val="006C1EA0"/>
    <w:rsid w:val="006C7AFB"/>
    <w:rsid w:val="006E3EC6"/>
    <w:rsid w:val="006E47A6"/>
    <w:rsid w:val="006F7C25"/>
    <w:rsid w:val="00703520"/>
    <w:rsid w:val="00706613"/>
    <w:rsid w:val="00711209"/>
    <w:rsid w:val="0071392B"/>
    <w:rsid w:val="007162E6"/>
    <w:rsid w:val="00722302"/>
    <w:rsid w:val="00734276"/>
    <w:rsid w:val="0073585E"/>
    <w:rsid w:val="00736F64"/>
    <w:rsid w:val="007453CD"/>
    <w:rsid w:val="007476B8"/>
    <w:rsid w:val="00767E3F"/>
    <w:rsid w:val="00777F53"/>
    <w:rsid w:val="00781C62"/>
    <w:rsid w:val="007847B8"/>
    <w:rsid w:val="00785181"/>
    <w:rsid w:val="0079146D"/>
    <w:rsid w:val="00792E40"/>
    <w:rsid w:val="007A5BA1"/>
    <w:rsid w:val="007A6519"/>
    <w:rsid w:val="007B1C2E"/>
    <w:rsid w:val="007B75B7"/>
    <w:rsid w:val="007C2CBF"/>
    <w:rsid w:val="007C35D5"/>
    <w:rsid w:val="007C6C52"/>
    <w:rsid w:val="007D0D33"/>
    <w:rsid w:val="007D27AF"/>
    <w:rsid w:val="007E2D61"/>
    <w:rsid w:val="007E4510"/>
    <w:rsid w:val="00801DE7"/>
    <w:rsid w:val="00802C1E"/>
    <w:rsid w:val="0080594F"/>
    <w:rsid w:val="008162F7"/>
    <w:rsid w:val="00824AE5"/>
    <w:rsid w:val="00825597"/>
    <w:rsid w:val="00825820"/>
    <w:rsid w:val="0084035B"/>
    <w:rsid w:val="0084728A"/>
    <w:rsid w:val="0087201A"/>
    <w:rsid w:val="00884DFA"/>
    <w:rsid w:val="00887684"/>
    <w:rsid w:val="00893907"/>
    <w:rsid w:val="008942D4"/>
    <w:rsid w:val="00896F44"/>
    <w:rsid w:val="008977FC"/>
    <w:rsid w:val="008A1CC6"/>
    <w:rsid w:val="008A3CE4"/>
    <w:rsid w:val="008A5E31"/>
    <w:rsid w:val="008B1923"/>
    <w:rsid w:val="008B5FFD"/>
    <w:rsid w:val="008C1157"/>
    <w:rsid w:val="008C1931"/>
    <w:rsid w:val="008E5DC5"/>
    <w:rsid w:val="008F5159"/>
    <w:rsid w:val="0090770F"/>
    <w:rsid w:val="00911982"/>
    <w:rsid w:val="009131FC"/>
    <w:rsid w:val="00913A3B"/>
    <w:rsid w:val="009149DD"/>
    <w:rsid w:val="00915CD2"/>
    <w:rsid w:val="00920016"/>
    <w:rsid w:val="00922594"/>
    <w:rsid w:val="009262BE"/>
    <w:rsid w:val="00926E8E"/>
    <w:rsid w:val="0092739B"/>
    <w:rsid w:val="00930EA8"/>
    <w:rsid w:val="00932080"/>
    <w:rsid w:val="00940C1C"/>
    <w:rsid w:val="009412F2"/>
    <w:rsid w:val="00942D23"/>
    <w:rsid w:val="009519FE"/>
    <w:rsid w:val="0095312F"/>
    <w:rsid w:val="00964CAD"/>
    <w:rsid w:val="009656C8"/>
    <w:rsid w:val="009731F5"/>
    <w:rsid w:val="00982B7E"/>
    <w:rsid w:val="00987376"/>
    <w:rsid w:val="009876AE"/>
    <w:rsid w:val="0099407D"/>
    <w:rsid w:val="009958B1"/>
    <w:rsid w:val="009A0A4E"/>
    <w:rsid w:val="009A3F8A"/>
    <w:rsid w:val="009B4915"/>
    <w:rsid w:val="009C576E"/>
    <w:rsid w:val="009C6923"/>
    <w:rsid w:val="009E1008"/>
    <w:rsid w:val="009E6EA1"/>
    <w:rsid w:val="009E6FE5"/>
    <w:rsid w:val="009F103E"/>
    <w:rsid w:val="009F714C"/>
    <w:rsid w:val="00A00255"/>
    <w:rsid w:val="00A0443E"/>
    <w:rsid w:val="00A11FD1"/>
    <w:rsid w:val="00A13BFE"/>
    <w:rsid w:val="00A24A9B"/>
    <w:rsid w:val="00A25782"/>
    <w:rsid w:val="00A34435"/>
    <w:rsid w:val="00A41A06"/>
    <w:rsid w:val="00A43708"/>
    <w:rsid w:val="00A47B78"/>
    <w:rsid w:val="00A5003B"/>
    <w:rsid w:val="00A57FF2"/>
    <w:rsid w:val="00A62E53"/>
    <w:rsid w:val="00A74AA1"/>
    <w:rsid w:val="00A75731"/>
    <w:rsid w:val="00A838B0"/>
    <w:rsid w:val="00A84283"/>
    <w:rsid w:val="00A97643"/>
    <w:rsid w:val="00AA1CF0"/>
    <w:rsid w:val="00AA7549"/>
    <w:rsid w:val="00AA7BEB"/>
    <w:rsid w:val="00AB3963"/>
    <w:rsid w:val="00AC0284"/>
    <w:rsid w:val="00AC3C72"/>
    <w:rsid w:val="00AD736E"/>
    <w:rsid w:val="00AE2059"/>
    <w:rsid w:val="00AF067B"/>
    <w:rsid w:val="00B0631D"/>
    <w:rsid w:val="00B172F0"/>
    <w:rsid w:val="00B3204F"/>
    <w:rsid w:val="00B3575B"/>
    <w:rsid w:val="00B36E08"/>
    <w:rsid w:val="00B405D9"/>
    <w:rsid w:val="00B442F7"/>
    <w:rsid w:val="00B523B5"/>
    <w:rsid w:val="00B60B51"/>
    <w:rsid w:val="00B7543F"/>
    <w:rsid w:val="00B778A6"/>
    <w:rsid w:val="00B853AA"/>
    <w:rsid w:val="00B933F5"/>
    <w:rsid w:val="00BA4CD8"/>
    <w:rsid w:val="00BC4302"/>
    <w:rsid w:val="00BD6414"/>
    <w:rsid w:val="00BD703F"/>
    <w:rsid w:val="00BE3322"/>
    <w:rsid w:val="00BE61E2"/>
    <w:rsid w:val="00BF24DD"/>
    <w:rsid w:val="00BF342F"/>
    <w:rsid w:val="00BF4644"/>
    <w:rsid w:val="00BF5CD7"/>
    <w:rsid w:val="00C20A92"/>
    <w:rsid w:val="00C23711"/>
    <w:rsid w:val="00C3009C"/>
    <w:rsid w:val="00C31ADD"/>
    <w:rsid w:val="00C321F0"/>
    <w:rsid w:val="00C437CC"/>
    <w:rsid w:val="00C5288E"/>
    <w:rsid w:val="00C52F1D"/>
    <w:rsid w:val="00C5377B"/>
    <w:rsid w:val="00C5622B"/>
    <w:rsid w:val="00C624DE"/>
    <w:rsid w:val="00C64E8D"/>
    <w:rsid w:val="00C67800"/>
    <w:rsid w:val="00C72E3F"/>
    <w:rsid w:val="00C752E9"/>
    <w:rsid w:val="00C758D1"/>
    <w:rsid w:val="00C8117C"/>
    <w:rsid w:val="00C90AB1"/>
    <w:rsid w:val="00C923F6"/>
    <w:rsid w:val="00C93863"/>
    <w:rsid w:val="00C9762A"/>
    <w:rsid w:val="00CA1450"/>
    <w:rsid w:val="00CA6247"/>
    <w:rsid w:val="00CB1965"/>
    <w:rsid w:val="00CB36E7"/>
    <w:rsid w:val="00CB7203"/>
    <w:rsid w:val="00CC2F62"/>
    <w:rsid w:val="00CC36E9"/>
    <w:rsid w:val="00CD224B"/>
    <w:rsid w:val="00CD6158"/>
    <w:rsid w:val="00CE3FD0"/>
    <w:rsid w:val="00CF3EED"/>
    <w:rsid w:val="00D057F8"/>
    <w:rsid w:val="00D1021C"/>
    <w:rsid w:val="00D10B92"/>
    <w:rsid w:val="00D23843"/>
    <w:rsid w:val="00D26A0E"/>
    <w:rsid w:val="00D34A9C"/>
    <w:rsid w:val="00D37AF5"/>
    <w:rsid w:val="00D4038D"/>
    <w:rsid w:val="00D511DC"/>
    <w:rsid w:val="00D6032E"/>
    <w:rsid w:val="00D7108D"/>
    <w:rsid w:val="00D722C8"/>
    <w:rsid w:val="00D7370B"/>
    <w:rsid w:val="00D855FC"/>
    <w:rsid w:val="00D91173"/>
    <w:rsid w:val="00D934FC"/>
    <w:rsid w:val="00D935D5"/>
    <w:rsid w:val="00DA5703"/>
    <w:rsid w:val="00DC3111"/>
    <w:rsid w:val="00DC4158"/>
    <w:rsid w:val="00DC7DA5"/>
    <w:rsid w:val="00DD082F"/>
    <w:rsid w:val="00DD1FEF"/>
    <w:rsid w:val="00DD4CDD"/>
    <w:rsid w:val="00DF08DC"/>
    <w:rsid w:val="00DF3A22"/>
    <w:rsid w:val="00E017B3"/>
    <w:rsid w:val="00E04614"/>
    <w:rsid w:val="00E04BA5"/>
    <w:rsid w:val="00E051FE"/>
    <w:rsid w:val="00E20525"/>
    <w:rsid w:val="00E23BD4"/>
    <w:rsid w:val="00E255AA"/>
    <w:rsid w:val="00E27CCA"/>
    <w:rsid w:val="00E33B02"/>
    <w:rsid w:val="00E357F3"/>
    <w:rsid w:val="00E546CD"/>
    <w:rsid w:val="00E563D4"/>
    <w:rsid w:val="00E57C50"/>
    <w:rsid w:val="00E62B5E"/>
    <w:rsid w:val="00E763D2"/>
    <w:rsid w:val="00E77889"/>
    <w:rsid w:val="00E85C22"/>
    <w:rsid w:val="00E90379"/>
    <w:rsid w:val="00E917B1"/>
    <w:rsid w:val="00EA4DDD"/>
    <w:rsid w:val="00EC5C4E"/>
    <w:rsid w:val="00EC5E41"/>
    <w:rsid w:val="00ED6B3F"/>
    <w:rsid w:val="00EE7E3E"/>
    <w:rsid w:val="00EF2EC6"/>
    <w:rsid w:val="00F133FB"/>
    <w:rsid w:val="00F13544"/>
    <w:rsid w:val="00F16E3D"/>
    <w:rsid w:val="00F21E55"/>
    <w:rsid w:val="00F30C9D"/>
    <w:rsid w:val="00F421A9"/>
    <w:rsid w:val="00F422E6"/>
    <w:rsid w:val="00F50AAF"/>
    <w:rsid w:val="00F75F3C"/>
    <w:rsid w:val="00F8289E"/>
    <w:rsid w:val="00F84FDE"/>
    <w:rsid w:val="00F95243"/>
    <w:rsid w:val="00F9611C"/>
    <w:rsid w:val="00FA7930"/>
    <w:rsid w:val="00FB329D"/>
    <w:rsid w:val="00FB647B"/>
    <w:rsid w:val="00FC0E47"/>
    <w:rsid w:val="00FC26AB"/>
    <w:rsid w:val="00FC4B36"/>
    <w:rsid w:val="00FE2759"/>
    <w:rsid w:val="00FE411B"/>
    <w:rsid w:val="00FE7931"/>
    <w:rsid w:val="00FF0DE1"/>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033B9C"/>
    <w:pPr>
      <w:tabs>
        <w:tab w:val="left" w:pos="720"/>
      </w:tabs>
      <w:autoSpaceDE w:val="0"/>
      <w:autoSpaceDN w:val="0"/>
      <w:adjustRightInd w:val="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B9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40019"/>
    <w:pPr>
      <w:tabs>
        <w:tab w:val="right" w:leader="dot" w:pos="9350"/>
      </w:tabs>
      <w:spacing w:before="40"/>
      <w:ind w:left="720" w:hanging="72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0F7DD8"/>
    <w:pPr>
      <w:tabs>
        <w:tab w:val="right" w:leader="dot" w:pos="9270"/>
      </w:tabs>
      <w:ind w:left="1627" w:right="720" w:hanging="907"/>
    </w:p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 w:type="paragraph" w:styleId="NoSpacing">
    <w:name w:val="No Spacing"/>
    <w:uiPriority w:val="1"/>
    <w:qFormat/>
    <w:rsid w:val="00F75F3C"/>
    <w:pPr>
      <w:spacing w:after="0" w:line="240" w:lineRule="auto"/>
    </w:pPr>
    <w:rPr>
      <w:rFonts w:ascii="Times New Roman" w:hAnsi="Times New Roman"/>
      <w:sz w:val="24"/>
    </w:rPr>
  </w:style>
  <w:style w:type="character" w:styleId="BookTitle">
    <w:name w:val="Book Title"/>
    <w:basedOn w:val="DefaultParagraphFont"/>
    <w:uiPriority w:val="33"/>
    <w:qFormat/>
    <w:rsid w:val="004C6943"/>
    <w:rPr>
      <w:b/>
      <w:bCs/>
      <w:i/>
      <w:iCs/>
      <w:spacing w:val="5"/>
    </w:rPr>
  </w:style>
  <w:style w:type="character" w:styleId="FollowedHyperlink">
    <w:name w:val="FollowedHyperlink"/>
    <w:basedOn w:val="DefaultParagraphFont"/>
    <w:uiPriority w:val="99"/>
    <w:semiHidden/>
    <w:unhideWhenUsed/>
    <w:rsid w:val="00441E89"/>
    <w:rPr>
      <w:color w:val="954F72" w:themeColor="followedHyperlink"/>
      <w:u w:val="single"/>
    </w:rPr>
  </w:style>
  <w:style w:type="paragraph" w:styleId="NormalWeb">
    <w:name w:val="Normal (Web)"/>
    <w:basedOn w:val="Normal"/>
    <w:uiPriority w:val="99"/>
    <w:semiHidden/>
    <w:unhideWhenUsed/>
    <w:rsid w:val="0024008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40080"/>
    <w:rPr>
      <w:i/>
      <w:iCs/>
    </w:rPr>
  </w:style>
  <w:style w:type="paragraph" w:customStyle="1" w:styleId="Default">
    <w:name w:val="Default"/>
    <w:rsid w:val="00304E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link w:val="Style1Char"/>
    <w:rsid w:val="00033B9C"/>
    <w:pPr>
      <w:autoSpaceDE w:val="0"/>
      <w:autoSpaceDN w:val="0"/>
      <w:adjustRightInd w:val="0"/>
      <w:jc w:val="center"/>
    </w:pPr>
    <w:rPr>
      <w:rFonts w:cs="Times New Roman"/>
      <w:b/>
      <w:bCs/>
      <w:sz w:val="28"/>
      <w:szCs w:val="28"/>
    </w:rPr>
  </w:style>
  <w:style w:type="character" w:customStyle="1" w:styleId="Style1Char">
    <w:name w:val="Style1 Char"/>
    <w:basedOn w:val="DefaultParagraphFont"/>
    <w:link w:val="Style1"/>
    <w:rsid w:val="00033B9C"/>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a9.uscourts.gov/guides/section-1983-out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d.uscourts.gov/sites/default/files/forms/patent%20Jury%20Instru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G:\JURYIN~1\MEBD41~1\1600_I~1.WPD" TargetMode="External"/><Relationship Id="rId10" Type="http://schemas.openxmlformats.org/officeDocument/2006/relationships/hyperlink" Target="mailto:juryinstructions@ce9.uscourts.gov" TargetMode="External"/><Relationship Id="rId4" Type="http://schemas.openxmlformats.org/officeDocument/2006/relationships/settings" Target="settings.xml"/><Relationship Id="rId9" Type="http://schemas.openxmlformats.org/officeDocument/2006/relationships/hyperlink" Target="http://www3.ce9.uscourts.gov/jury-instructions/model-civil" TargetMode="External"/><Relationship Id="rId14" Type="http://schemas.openxmlformats.org/officeDocument/2006/relationships/hyperlink" Target="http://www.cand.uscourts.gov/filelibrary/5/patentmodfinal6.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369</Pages>
  <Words>161102</Words>
  <Characters>918284</Characters>
  <Application>Microsoft Office Word</Application>
  <DocSecurity>0</DocSecurity>
  <Lines>7652</Lines>
  <Paragraphs>2154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Aejung Yoon</cp:lastModifiedBy>
  <cp:revision>74</cp:revision>
  <cp:lastPrinted>2022-08-22T15:51:00Z</cp:lastPrinted>
  <dcterms:created xsi:type="dcterms:W3CDTF">2022-08-24T18:19:00Z</dcterms:created>
  <dcterms:modified xsi:type="dcterms:W3CDTF">2022-10-26T22:35:00Z</dcterms:modified>
</cp:coreProperties>
</file>